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2883D9" w14:textId="0781C2CD" w:rsidR="00AD0D74" w:rsidRDefault="00E96B59" w:rsidP="00AD0D74">
      <w:pPr>
        <w:rPr>
          <w:rFonts w:ascii="Verdana" w:hAnsi="Verdana"/>
          <w:sz w:val="24"/>
          <w:szCs w:val="24"/>
        </w:rPr>
        <w:sectPr w:rsidR="00AD0D74" w:rsidSect="003169FC">
          <w:pgSz w:w="11906" w:h="16838"/>
          <w:pgMar w:top="0" w:right="0" w:bottom="0" w:left="0" w:header="708" w:footer="708" w:gutter="0"/>
          <w:cols w:space="708"/>
          <w:docGrid w:linePitch="360"/>
        </w:sectPr>
      </w:pPr>
      <w:bookmarkStart w:id="0" w:name="_GoBack"/>
      <w:bookmarkEnd w:id="0"/>
      <w:r>
        <w:rPr>
          <w:noProof/>
          <w:lang w:val="en-AU" w:eastAsia="en-AU" w:bidi="ar-SA"/>
        </w:rPr>
        <mc:AlternateContent>
          <mc:Choice Requires="wps">
            <w:drawing>
              <wp:anchor distT="0" distB="0" distL="114300" distR="114300" simplePos="0" relativeHeight="251661312" behindDoc="0" locked="0" layoutInCell="1" allowOverlap="1" wp14:anchorId="02AD7D4F" wp14:editId="1DC4F6FA">
                <wp:simplePos x="0" y="0"/>
                <wp:positionH relativeFrom="column">
                  <wp:posOffset>4352290</wp:posOffset>
                </wp:positionH>
                <wp:positionV relativeFrom="paragraph">
                  <wp:posOffset>3345815</wp:posOffset>
                </wp:positionV>
                <wp:extent cx="3148330" cy="559435"/>
                <wp:effectExtent l="0" t="0" r="0" b="0"/>
                <wp:wrapNone/>
                <wp:docPr id="8" name="Text Box 2" descr="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330" cy="559435"/>
                        </a:xfrm>
                        <a:prstGeom prst="rect">
                          <a:avLst/>
                        </a:prstGeom>
                        <a:noFill/>
                        <a:ln w="9525">
                          <a:noFill/>
                          <a:miter lim="800000"/>
                          <a:headEnd/>
                          <a:tailEnd/>
                        </a:ln>
                      </wps:spPr>
                      <wps:txbx>
                        <w:txbxContent>
                          <w:p w14:paraId="2FCE7264" w14:textId="77777777" w:rsidR="00F5026A" w:rsidRPr="00202702" w:rsidRDefault="00F5026A" w:rsidP="00AD0D74">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4</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Title: Rectangle - Description: Rectangle design feature" style="position:absolute;left:0;text-align:left;margin-left:342.7pt;margin-top:263.45pt;width:247.9pt;height:4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" filled="f" stroked="f">
                <v:textbox>
                  <w:txbxContent>
                    <w:p w14:paraId="2FCE7264" w14:textId="77777777" w:rsidR="00F5026A" w:rsidRPr="00202702" w:rsidRDefault="00F5026A" w:rsidP="00AD0D74">
                      <w:pPr>
                        <w:rPr>
                          <w:rFonts w:ascii="Myriad Pro" w:hAnsi="Myriad Pro"/>
                          <w:color w:val="FFFFFF" w:themeColor="background1"/>
                          <w:sz w:val="64"/>
                          <w:szCs w:val="64"/>
                        </w:rPr>
                      </w:pPr>
                      <w:r w:rsidRPr="00B144A8">
                        <w:rPr>
                          <w:rFonts w:ascii="Myriad Pro" w:hAnsi="Myriad Pro"/>
                          <w:color w:val="FFFFFF" w:themeColor="background1"/>
                          <w:sz w:val="56"/>
                          <w:szCs w:val="56"/>
                        </w:rPr>
                        <w:t xml:space="preserve">2 0 1 </w:t>
                      </w:r>
                      <w:r>
                        <w:rPr>
                          <w:rFonts w:ascii="Myriad Pro" w:hAnsi="Myriad Pro"/>
                          <w:color w:val="FFFFFF" w:themeColor="background1"/>
                          <w:sz w:val="56"/>
                          <w:szCs w:val="56"/>
                        </w:rPr>
                        <w:t>4</w:t>
                      </w:r>
                      <w:r w:rsidRPr="00B144A8">
                        <w:rPr>
                          <w:rFonts w:ascii="Myriad Pro" w:hAnsi="Myriad Pro"/>
                          <w:color w:val="FFFFFF" w:themeColor="background1"/>
                          <w:sz w:val="56"/>
                          <w:szCs w:val="56"/>
                        </w:rPr>
                        <w:t xml:space="preserve">  -  2 0</w:t>
                      </w:r>
                      <w:r>
                        <w:rPr>
                          <w:rFonts w:ascii="Myriad Pro" w:hAnsi="Myriad Pro"/>
                          <w:color w:val="FFFFFF" w:themeColor="background1"/>
                          <w:sz w:val="64"/>
                          <w:szCs w:val="64"/>
                        </w:rPr>
                        <w:t xml:space="preserve"> </w:t>
                      </w:r>
                      <w:r w:rsidRPr="00B144A8">
                        <w:rPr>
                          <w:rFonts w:ascii="Myriad Pro" w:hAnsi="Myriad Pro"/>
                          <w:color w:val="FFFFFF" w:themeColor="background1"/>
                          <w:sz w:val="56"/>
                          <w:szCs w:val="56"/>
                        </w:rPr>
                        <w:t>1</w:t>
                      </w:r>
                      <w:r>
                        <w:rPr>
                          <w:rFonts w:ascii="Myriad Pro" w:hAnsi="Myriad Pro"/>
                          <w:color w:val="FFFFFF" w:themeColor="background1"/>
                          <w:sz w:val="64"/>
                          <w:szCs w:val="64"/>
                        </w:rPr>
                        <w:t xml:space="preserve"> </w:t>
                      </w:r>
                      <w:r>
                        <w:rPr>
                          <w:rFonts w:ascii="Myriad Pro" w:hAnsi="Myriad Pro"/>
                          <w:color w:val="FFFFFF" w:themeColor="background1"/>
                          <w:sz w:val="56"/>
                          <w:szCs w:val="56"/>
                        </w:rPr>
                        <w:t>5</w:t>
                      </w:r>
                    </w:p>
                  </w:txbxContent>
                </v:textbox>
              </v:shape>
            </w:pict>
          </mc:Fallback>
        </mc:AlternateContent>
      </w:r>
      <w:r>
        <w:rPr>
          <w:noProof/>
          <w:lang w:val="en-AU" w:eastAsia="en-AU" w:bidi="ar-SA"/>
        </w:rPr>
        <mc:AlternateContent>
          <mc:Choice Requires="wps">
            <w:drawing>
              <wp:anchor distT="0" distB="0" distL="114300" distR="114300" simplePos="0" relativeHeight="251659264" behindDoc="0" locked="0" layoutInCell="1" allowOverlap="1" wp14:anchorId="504BAAC5" wp14:editId="181ADB89">
                <wp:simplePos x="0" y="0"/>
                <wp:positionH relativeFrom="column">
                  <wp:posOffset>4378325</wp:posOffset>
                </wp:positionH>
                <wp:positionV relativeFrom="paragraph">
                  <wp:posOffset>3365500</wp:posOffset>
                </wp:positionV>
                <wp:extent cx="2895600" cy="444500"/>
                <wp:effectExtent l="0" t="0" r="19050" b="12700"/>
                <wp:wrapNone/>
                <wp:docPr id="1" name="Rectangle 1" descr="Green rectangle design feature" title="Green rectangle"/>
                <wp:cNvGraphicFramePr/>
                <a:graphic xmlns:a="http://schemas.openxmlformats.org/drawingml/2006/main">
                  <a:graphicData uri="http://schemas.microsoft.com/office/word/2010/wordprocessingShape">
                    <wps:wsp>
                      <wps:cNvSpPr/>
                      <wps:spPr>
                        <a:xfrm>
                          <a:off x="0" y="0"/>
                          <a:ext cx="2895600" cy="444500"/>
                        </a:xfrm>
                        <a:prstGeom prst="rect">
                          <a:avLst/>
                        </a:prstGeom>
                        <a:solidFill>
                          <a:srgbClr val="00CC99"/>
                        </a:solidFill>
                        <a:ln>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169105" w14:textId="77777777" w:rsidR="00F5026A" w:rsidRDefault="00F5026A" w:rsidP="00AD0D7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7" alt="Title: Green rectangle - Description: Green rectangle design feature" style="position:absolute;left:0;text-align:left;margin-left:344.75pt;margin-top:265pt;width:228pt;height: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" fillcolor="#0c9" strokecolor="#0c9" strokeweight="2pt">
                <v:textbox>
                  <w:txbxContent>
                    <w:p w14:paraId="0E169105" w14:textId="77777777" w:rsidR="00F5026A" w:rsidRDefault="00F5026A" w:rsidP="00AD0D74">
                      <w:pPr>
                        <w:jc w:val="center"/>
                      </w:pPr>
                    </w:p>
                  </w:txbxContent>
                </v:textbox>
              </v:rect>
            </w:pict>
          </mc:Fallback>
        </mc:AlternateContent>
      </w:r>
      <w:r w:rsidR="0021409B">
        <w:rPr>
          <w:noProof/>
          <w:lang w:val="en-AU" w:eastAsia="en-AU" w:bidi="ar-SA"/>
        </w:rPr>
        <mc:AlternateContent>
          <mc:Choice Requires="wps">
            <w:drawing>
              <wp:anchor distT="0" distB="0" distL="114300" distR="114300" simplePos="0" relativeHeight="251660288" behindDoc="0" locked="0" layoutInCell="1" allowOverlap="1" wp14:anchorId="600EB812" wp14:editId="6173CE6C">
                <wp:simplePos x="0" y="0"/>
                <wp:positionH relativeFrom="column">
                  <wp:posOffset>4308475</wp:posOffset>
                </wp:positionH>
                <wp:positionV relativeFrom="paragraph">
                  <wp:posOffset>628650</wp:posOffset>
                </wp:positionV>
                <wp:extent cx="2895600" cy="0"/>
                <wp:effectExtent l="0" t="0" r="19050" b="19050"/>
                <wp:wrapNone/>
                <wp:docPr id="4" name="Straight Connector 4" descr="Green line design feature" title="Straight connector"/>
                <wp:cNvGraphicFramePr/>
                <a:graphic xmlns:a="http://schemas.openxmlformats.org/drawingml/2006/main">
                  <a:graphicData uri="http://schemas.microsoft.com/office/word/2010/wordprocessingShape">
                    <wps:wsp>
                      <wps:cNvCnPr/>
                      <wps:spPr>
                        <a:xfrm>
                          <a:off x="0" y="0"/>
                          <a:ext cx="2895600" cy="0"/>
                        </a:xfrm>
                        <a:prstGeom prst="line">
                          <a:avLst/>
                        </a:prstGeom>
                        <a:ln>
                          <a:solidFill>
                            <a:srgbClr val="00CC99"/>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 o:spid="_x0000_s1026" alt="Title: Straight connector - Description: Green line design feature"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39.25pt,49.5pt" to="567.25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" strokecolor="#0c9"/>
            </w:pict>
          </mc:Fallback>
        </mc:AlternateContent>
      </w:r>
      <w:r w:rsidR="00AD0D74">
        <w:rPr>
          <w:noProof/>
          <w:lang w:val="en-AU" w:eastAsia="en-AU" w:bidi="ar-SA"/>
        </w:rPr>
        <mc:AlternateContent>
          <mc:Choice Requires="wps">
            <w:drawing>
              <wp:anchor distT="0" distB="0" distL="114300" distR="114300" simplePos="0" relativeHeight="251662336" behindDoc="0" locked="0" layoutInCell="1" allowOverlap="1" wp14:anchorId="071CD801" wp14:editId="166627D7">
                <wp:simplePos x="0" y="0"/>
                <wp:positionH relativeFrom="column">
                  <wp:posOffset>144145</wp:posOffset>
                </wp:positionH>
                <wp:positionV relativeFrom="paragraph">
                  <wp:posOffset>10107295</wp:posOffset>
                </wp:positionV>
                <wp:extent cx="7127875" cy="490855"/>
                <wp:effectExtent l="0" t="0" r="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7875" cy="490855"/>
                        </a:xfrm>
                        <a:prstGeom prst="rect">
                          <a:avLst/>
                        </a:prstGeom>
                        <a:noFill/>
                        <a:ln w="9525">
                          <a:noFill/>
                          <a:miter lim="800000"/>
                          <a:headEnd/>
                          <a:tailEnd/>
                        </a:ln>
                      </wps:spPr>
                      <wps:txbx>
                        <w:txbxContent>
                          <w:p w14:paraId="15AE94E2" w14:textId="77777777" w:rsidR="00F5026A" w:rsidRPr="009D0E70" w:rsidRDefault="00F5026A" w:rsidP="00AD0D74">
                            <w:pPr>
                              <w:rPr>
                                <w:rFonts w:cs="Arial"/>
                                <w:sz w:val="18"/>
                                <w:szCs w:val="18"/>
                              </w:rPr>
                            </w:pPr>
                            <w:r w:rsidRPr="009D0E70">
                              <w:rPr>
                                <w:rFonts w:cs="Arial"/>
                                <w:lang w:val="en-AU"/>
                              </w:rPr>
                              <w:t>Christie Gallen, Kristie Thompson, Chris Paxman, Jochen Mueller</w:t>
                            </w:r>
                          </w:p>
                          <w:p w14:paraId="65926C81" w14:textId="77777777" w:rsidR="00F5026A" w:rsidRDefault="00F5026A" w:rsidP="00AD0D74">
                            <w:pPr>
                              <w:rPr>
                                <w:rFonts w:ascii="Verdana" w:hAnsi="Verdana"/>
                                <w:sz w:val="18"/>
                                <w:szCs w:val="18"/>
                              </w:rPr>
                            </w:pPr>
                          </w:p>
                          <w:p w14:paraId="3D5978DD" w14:textId="77777777" w:rsidR="00F5026A" w:rsidRPr="00CE625E" w:rsidRDefault="00F5026A" w:rsidP="00AD0D74">
                            <w:pPr>
                              <w:rPr>
                                <w:rFonts w:cs="Arial"/>
                                <w:sz w:val="32"/>
                              </w:rPr>
                            </w:pPr>
                          </w:p>
                          <w:p w14:paraId="2C7E949F" w14:textId="77777777" w:rsidR="00F5026A" w:rsidRDefault="00F5026A" w:rsidP="00AD0D74">
                            <w:pPr>
                              <w:rPr>
                                <w:rFonts w:ascii="Verdana" w:hAnsi="Verdana"/>
                                <w:sz w:val="24"/>
                                <w:szCs w:val="24"/>
                              </w:rPr>
                            </w:pPr>
                            <w:r w:rsidRPr="002450CE">
                              <w:rPr>
                                <w:rFonts w:ascii="Verdana" w:hAnsi="Verdana"/>
                                <w:sz w:val="24"/>
                                <w:szCs w:val="24"/>
                              </w:rPr>
                              <w:t xml:space="preserve"> </w:t>
                            </w:r>
                          </w:p>
                          <w:p w14:paraId="0F18658A" w14:textId="77777777" w:rsidR="00F5026A" w:rsidRDefault="00F5026A" w:rsidP="00AD0D74">
                            <w:pPr>
                              <w:rPr>
                                <w:rFonts w:ascii="Verdana" w:hAnsi="Verdana"/>
                                <w:sz w:val="24"/>
                                <w:szCs w:val="24"/>
                              </w:rPr>
                            </w:pPr>
                          </w:p>
                          <w:p w14:paraId="35FC2771" w14:textId="77777777" w:rsidR="00F5026A" w:rsidRDefault="00F5026A" w:rsidP="00AD0D74">
                            <w:pPr>
                              <w:rPr>
                                <w:rFonts w:ascii="Verdana" w:hAnsi="Verdana"/>
                                <w:sz w:val="24"/>
                                <w:szCs w:val="24"/>
                              </w:rPr>
                            </w:pPr>
                          </w:p>
                          <w:p w14:paraId="2581D865" w14:textId="77777777" w:rsidR="00F5026A" w:rsidRPr="002450CE" w:rsidRDefault="00F5026A" w:rsidP="00AD0D74">
                            <w:pPr>
                              <w:rPr>
                                <w:rFonts w:ascii="Verdana" w:hAnsi="Verdana"/>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1.35pt;margin-top:795.85pt;width:561.25pt;height:38.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" filled="f" stroked="f">
                <v:textbox>
                  <w:txbxContent>
                    <w:p w14:paraId="15AE94E2" w14:textId="77777777" w:rsidR="00F5026A" w:rsidRPr="009D0E70" w:rsidRDefault="00F5026A" w:rsidP="00AD0D74">
                      <w:pPr>
                        <w:rPr>
                          <w:rFonts w:cs="Arial"/>
                          <w:sz w:val="18"/>
                          <w:szCs w:val="18"/>
                        </w:rPr>
                      </w:pPr>
                      <w:r w:rsidRPr="009D0E70">
                        <w:rPr>
                          <w:rFonts w:cs="Arial"/>
                          <w:lang w:val="en-AU"/>
                        </w:rPr>
                        <w:t>Christie Gallen, Kristie Thompson, Chris Paxman, Jochen Mueller</w:t>
                      </w:r>
                    </w:p>
                    <w:p w14:paraId="65926C81" w14:textId="77777777" w:rsidR="00F5026A" w:rsidRDefault="00F5026A" w:rsidP="00AD0D74">
                      <w:pPr>
                        <w:rPr>
                          <w:rFonts w:ascii="Verdana" w:hAnsi="Verdana"/>
                          <w:sz w:val="18"/>
                          <w:szCs w:val="18"/>
                        </w:rPr>
                      </w:pPr>
                    </w:p>
                    <w:p w14:paraId="3D5978DD" w14:textId="77777777" w:rsidR="00F5026A" w:rsidRPr="00CE625E" w:rsidRDefault="00F5026A" w:rsidP="00AD0D74">
                      <w:pPr>
                        <w:rPr>
                          <w:rFonts w:cs="Arial"/>
                          <w:sz w:val="32"/>
                        </w:rPr>
                      </w:pPr>
                    </w:p>
                    <w:p w14:paraId="2C7E949F" w14:textId="77777777" w:rsidR="00F5026A" w:rsidRDefault="00F5026A" w:rsidP="00AD0D74">
                      <w:pPr>
                        <w:rPr>
                          <w:rFonts w:ascii="Verdana" w:hAnsi="Verdana"/>
                          <w:sz w:val="24"/>
                          <w:szCs w:val="24"/>
                        </w:rPr>
                      </w:pPr>
                      <w:r w:rsidRPr="002450CE">
                        <w:rPr>
                          <w:rFonts w:ascii="Verdana" w:hAnsi="Verdana"/>
                          <w:sz w:val="24"/>
                          <w:szCs w:val="24"/>
                        </w:rPr>
                        <w:t xml:space="preserve"> </w:t>
                      </w:r>
                    </w:p>
                    <w:p w14:paraId="0F18658A" w14:textId="77777777" w:rsidR="00F5026A" w:rsidRDefault="00F5026A" w:rsidP="00AD0D74">
                      <w:pPr>
                        <w:rPr>
                          <w:rFonts w:ascii="Verdana" w:hAnsi="Verdana"/>
                          <w:sz w:val="24"/>
                          <w:szCs w:val="24"/>
                        </w:rPr>
                      </w:pPr>
                    </w:p>
                    <w:p w14:paraId="35FC2771" w14:textId="77777777" w:rsidR="00F5026A" w:rsidRDefault="00F5026A" w:rsidP="00AD0D74">
                      <w:pPr>
                        <w:rPr>
                          <w:rFonts w:ascii="Verdana" w:hAnsi="Verdana"/>
                          <w:sz w:val="24"/>
                          <w:szCs w:val="24"/>
                        </w:rPr>
                      </w:pPr>
                    </w:p>
                    <w:p w14:paraId="2581D865" w14:textId="77777777" w:rsidR="00F5026A" w:rsidRPr="002450CE" w:rsidRDefault="00F5026A" w:rsidP="00AD0D74">
                      <w:pPr>
                        <w:rPr>
                          <w:rFonts w:ascii="Verdana" w:hAnsi="Verdana"/>
                          <w:sz w:val="24"/>
                          <w:szCs w:val="24"/>
                        </w:rPr>
                      </w:pPr>
                    </w:p>
                  </w:txbxContent>
                </v:textbox>
              </v:shape>
            </w:pict>
          </mc:Fallback>
        </mc:AlternateContent>
      </w:r>
      <w:r w:rsidR="00AD0D74">
        <w:rPr>
          <w:noProof/>
          <w:lang w:val="en-AU" w:eastAsia="en-AU" w:bidi="ar-SA"/>
        </w:rPr>
        <w:drawing>
          <wp:inline distT="0" distB="0" distL="0" distR="0" wp14:anchorId="04AFFFFD" wp14:editId="6EFC34B2">
            <wp:extent cx="7497413" cy="10596880"/>
            <wp:effectExtent l="0" t="0" r="8890" b="0"/>
            <wp:docPr id="2" name="Picture 2" descr="Front cover with logos, title and image - view south towards the Russell River National Park and the junction of the Russell and Mulgrave Rivers over flooded sugar fields © Dieter Tracey, 2015." title="Fro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8.jpg"/>
                    <pic:cNvPicPr/>
                  </pic:nvPicPr>
                  <pic:blipFill>
                    <a:blip r:embed="rId13">
                      <a:extLst>
                        <a:ext uri="{28A0092B-C50C-407E-A947-70E740481C1C}">
                          <a14:useLocalDpi xmlns:a14="http://schemas.microsoft.com/office/drawing/2010/main" val="0"/>
                        </a:ext>
                      </a:extLst>
                    </a:blip>
                    <a:stretch>
                      <a:fillRect/>
                    </a:stretch>
                  </pic:blipFill>
                  <pic:spPr>
                    <a:xfrm>
                      <a:off x="0" y="0"/>
                      <a:ext cx="7496523" cy="10595621"/>
                    </a:xfrm>
                    <a:prstGeom prst="rect">
                      <a:avLst/>
                    </a:prstGeom>
                  </pic:spPr>
                </pic:pic>
              </a:graphicData>
            </a:graphic>
          </wp:inline>
        </w:drawing>
      </w:r>
    </w:p>
    <w:p w14:paraId="4E56CDCF" w14:textId="77777777" w:rsidR="00D9085F" w:rsidRDefault="00D9085F" w:rsidP="00EC6710">
      <w:pPr>
        <w:rPr>
          <w:rFonts w:eastAsia="Dotum" w:cs="Arial"/>
          <w:b/>
          <w:lang w:val="en-AU"/>
        </w:rPr>
      </w:pPr>
    </w:p>
    <w:p w14:paraId="73225DF4" w14:textId="77777777" w:rsidR="0059608E" w:rsidRPr="00D40EBE" w:rsidRDefault="00D40EBE" w:rsidP="00D40EBE">
      <w:pPr>
        <w:spacing w:before="120" w:after="120"/>
        <w:rPr>
          <w:rFonts w:ascii="Arial Narrow" w:eastAsia="Dotum" w:hAnsi="Arial Narrow" w:cs="Arial"/>
          <w:color w:val="262626" w:themeColor="text1" w:themeTint="D9"/>
          <w:lang w:val="en-AU"/>
        </w:rPr>
      </w:pPr>
      <w:r w:rsidRPr="00D40EBE">
        <w:rPr>
          <w:rFonts w:ascii="Arial Narrow" w:eastAsia="Dotum" w:hAnsi="Arial Narrow" w:cs="Arial"/>
          <w:lang w:val="en-AU"/>
        </w:rPr>
        <w:t>Project Team</w:t>
      </w:r>
      <w:r w:rsidRPr="00D40EBE">
        <w:rPr>
          <w:rFonts w:ascii="Arial Narrow" w:eastAsia="Dotum" w:hAnsi="Arial Narrow" w:cs="Arial"/>
          <w:color w:val="262626" w:themeColor="text1" w:themeTint="D9"/>
          <w:lang w:val="en-AU"/>
        </w:rPr>
        <w:t xml:space="preserve"> - </w:t>
      </w:r>
      <w:r w:rsidR="0059608E" w:rsidRPr="00D40EBE">
        <w:rPr>
          <w:rFonts w:ascii="Arial Narrow" w:eastAsia="Dotum" w:hAnsi="Arial Narrow" w:cs="Arial"/>
          <w:color w:val="262626" w:themeColor="text1" w:themeTint="D9"/>
          <w:lang w:val="en-AU"/>
        </w:rPr>
        <w:t>Inshore Marine Water Quality Monitoring</w:t>
      </w:r>
      <w:r w:rsidR="007A17C3" w:rsidRPr="00D40EBE">
        <w:rPr>
          <w:rFonts w:ascii="Arial Narrow" w:eastAsia="Dotum" w:hAnsi="Arial Narrow" w:cs="Arial"/>
          <w:color w:val="262626" w:themeColor="text1" w:themeTint="D9"/>
          <w:lang w:val="en-AU"/>
        </w:rPr>
        <w:t xml:space="preserve"> - </w:t>
      </w:r>
      <w:r w:rsidR="0059608E" w:rsidRPr="00D40EBE">
        <w:rPr>
          <w:rFonts w:ascii="Arial Narrow" w:eastAsia="Dotum" w:hAnsi="Arial Narrow" w:cs="Arial"/>
          <w:color w:val="262626" w:themeColor="text1" w:themeTint="D9"/>
          <w:lang w:val="en-AU"/>
        </w:rPr>
        <w:t>Christie Gallen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Chris Paxman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Kristie Thompson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Elissa O’Malley</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Natalia Montero Ruiz</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Jochen Mueller</w:t>
      </w:r>
      <w:r w:rsidR="0059608E" w:rsidRPr="00D40EBE">
        <w:rPr>
          <w:rFonts w:ascii="Arial Narrow" w:eastAsia="Dotum" w:hAnsi="Arial Narrow" w:cs="Arial"/>
          <w:color w:val="262626" w:themeColor="text1" w:themeTint="D9"/>
          <w:vertAlign w:val="superscript"/>
          <w:lang w:val="en-AU"/>
        </w:rPr>
        <w:t>1</w:t>
      </w:r>
    </w:p>
    <w:p w14:paraId="087B5F17" w14:textId="77777777" w:rsidR="0059608E" w:rsidRPr="00D40EBE" w:rsidRDefault="00D40EBE" w:rsidP="00D40EBE">
      <w:pPr>
        <w:spacing w:before="120" w:after="120"/>
        <w:rPr>
          <w:rFonts w:ascii="Arial Narrow" w:eastAsia="Dotum" w:hAnsi="Arial Narrow" w:cs="Arial"/>
          <w:color w:val="262626" w:themeColor="text1" w:themeTint="D9"/>
          <w:lang w:val="en-AU"/>
        </w:rPr>
      </w:pPr>
      <w:r w:rsidRPr="00D40EBE">
        <w:rPr>
          <w:rFonts w:ascii="Arial Narrow" w:eastAsia="Dotum" w:hAnsi="Arial Narrow" w:cs="Arial"/>
          <w:lang w:val="en-AU"/>
        </w:rPr>
        <w:t>Project Team</w:t>
      </w:r>
      <w:r w:rsidRPr="00D40EBE">
        <w:rPr>
          <w:rFonts w:ascii="Arial Narrow" w:eastAsia="Dotum" w:hAnsi="Arial Narrow" w:cs="Arial"/>
          <w:color w:val="262626" w:themeColor="text1" w:themeTint="D9"/>
          <w:lang w:val="en-AU"/>
        </w:rPr>
        <w:t xml:space="preserve"> - </w:t>
      </w:r>
      <w:r w:rsidR="0059608E" w:rsidRPr="00D40EBE">
        <w:rPr>
          <w:rFonts w:ascii="Arial Narrow" w:eastAsia="Dotum" w:hAnsi="Arial Narrow" w:cs="Arial"/>
          <w:color w:val="262626" w:themeColor="text1" w:themeTint="D9"/>
          <w:lang w:val="en-AU"/>
        </w:rPr>
        <w:t>Assessment of Terrestrial Run-off Entering the Reef</w:t>
      </w:r>
      <w:r w:rsidR="007A17C3" w:rsidRPr="00D40EBE">
        <w:rPr>
          <w:rFonts w:ascii="Arial Narrow" w:eastAsia="Dotum" w:hAnsi="Arial Narrow" w:cs="Arial"/>
          <w:color w:val="262626" w:themeColor="text1" w:themeTint="D9"/>
          <w:lang w:val="en-AU"/>
        </w:rPr>
        <w:t xml:space="preserve">: </w:t>
      </w:r>
      <w:r w:rsidR="0059608E" w:rsidRPr="00D40EBE">
        <w:rPr>
          <w:rFonts w:ascii="Arial Narrow" w:eastAsia="Dotum" w:hAnsi="Arial Narrow" w:cs="Arial"/>
          <w:color w:val="262626" w:themeColor="text1" w:themeTint="D9"/>
          <w:lang w:val="en-AU"/>
        </w:rPr>
        <w:t>Christie Gallen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Kristie Thompson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Chris Paxman</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Jochen Mueller</w:t>
      </w:r>
      <w:r w:rsidR="0059608E" w:rsidRPr="00D40EBE">
        <w:rPr>
          <w:rFonts w:ascii="Arial Narrow" w:eastAsia="Dotum" w:hAnsi="Arial Narrow" w:cs="Arial"/>
          <w:color w:val="262626" w:themeColor="text1" w:themeTint="D9"/>
          <w:vertAlign w:val="superscript"/>
          <w:lang w:val="en-AU"/>
        </w:rPr>
        <w:t>1</w:t>
      </w:r>
      <w:r w:rsidR="0059608E" w:rsidRPr="00D40EBE">
        <w:rPr>
          <w:rFonts w:ascii="Arial Narrow" w:eastAsia="Dotum" w:hAnsi="Arial Narrow" w:cs="Arial"/>
          <w:color w:val="262626" w:themeColor="text1" w:themeTint="D9"/>
          <w:lang w:val="en-AU"/>
        </w:rPr>
        <w:t xml:space="preserve">, Eduardo </w:t>
      </w:r>
      <w:r w:rsidR="0059608E" w:rsidRPr="00D40EBE">
        <w:rPr>
          <w:rFonts w:ascii="Arial Narrow" w:hAnsi="Arial Narrow"/>
          <w:color w:val="262626"/>
        </w:rPr>
        <w:t>Da Silva</w:t>
      </w:r>
      <w:r w:rsidR="0059608E" w:rsidRPr="00D40EBE">
        <w:rPr>
          <w:rFonts w:ascii="Arial Narrow" w:hAnsi="Arial Narrow"/>
          <w:color w:val="262626"/>
          <w:vertAlign w:val="superscript"/>
        </w:rPr>
        <w:t>2</w:t>
      </w:r>
      <w:r w:rsidR="0059608E" w:rsidRPr="00D40EBE">
        <w:rPr>
          <w:rFonts w:ascii="Arial Narrow" w:hAnsi="Arial Narrow"/>
          <w:color w:val="262626"/>
        </w:rPr>
        <w:t>, Dominique O’Brien</w:t>
      </w:r>
      <w:r w:rsidR="0059608E" w:rsidRPr="00D40EBE">
        <w:rPr>
          <w:rFonts w:ascii="Arial Narrow" w:hAnsi="Arial Narrow"/>
          <w:color w:val="262626"/>
          <w:vertAlign w:val="superscript"/>
        </w:rPr>
        <w:t>2</w:t>
      </w:r>
      <w:r w:rsidR="0059608E" w:rsidRPr="00D40EBE">
        <w:rPr>
          <w:rFonts w:ascii="Arial Narrow" w:hAnsi="Arial Narrow"/>
          <w:color w:val="262626"/>
        </w:rPr>
        <w:t>, Dieter Tracey</w:t>
      </w:r>
      <w:r w:rsidR="0059608E" w:rsidRPr="00D40EBE">
        <w:rPr>
          <w:rFonts w:ascii="Arial Narrow" w:hAnsi="Arial Narrow"/>
          <w:color w:val="262626"/>
          <w:vertAlign w:val="superscript"/>
        </w:rPr>
        <w:t>2</w:t>
      </w:r>
      <w:r w:rsidR="0059608E" w:rsidRPr="00D40EBE">
        <w:rPr>
          <w:rFonts w:ascii="Arial Narrow" w:eastAsia="Dotum" w:hAnsi="Arial Narrow" w:cs="Arial"/>
          <w:color w:val="262626" w:themeColor="text1" w:themeTint="D9"/>
          <w:lang w:val="en-AU"/>
        </w:rPr>
        <w:t>, Caroline Petus</w:t>
      </w:r>
      <w:r w:rsidR="0059608E" w:rsidRPr="00D40EBE">
        <w:rPr>
          <w:rFonts w:ascii="Arial Narrow" w:eastAsia="Dotum" w:hAnsi="Arial Narrow" w:cs="Arial"/>
          <w:color w:val="262626" w:themeColor="text1" w:themeTint="D9"/>
          <w:vertAlign w:val="superscript"/>
          <w:lang w:val="en-AU"/>
        </w:rPr>
        <w:t>2</w:t>
      </w:r>
      <w:r w:rsidR="0059608E" w:rsidRPr="00D40EBE">
        <w:rPr>
          <w:rFonts w:ascii="Arial Narrow" w:eastAsia="Dotum" w:hAnsi="Arial Narrow" w:cs="Arial"/>
          <w:color w:val="262626" w:themeColor="text1" w:themeTint="D9"/>
          <w:lang w:val="en-AU"/>
        </w:rPr>
        <w:t>, Michelle Devlin</w:t>
      </w:r>
      <w:r w:rsidR="0059608E" w:rsidRPr="00D40EBE">
        <w:rPr>
          <w:rFonts w:ascii="Arial Narrow" w:eastAsia="Dotum" w:hAnsi="Arial Narrow" w:cs="Arial"/>
          <w:color w:val="262626" w:themeColor="text1" w:themeTint="D9"/>
          <w:vertAlign w:val="superscript"/>
          <w:lang w:val="en-AU"/>
        </w:rPr>
        <w:t>2</w:t>
      </w:r>
    </w:p>
    <w:p w14:paraId="7FFBBC29" w14:textId="77777777" w:rsidR="0059608E" w:rsidRPr="007A17C3" w:rsidRDefault="0059608E" w:rsidP="00916836">
      <w:pPr>
        <w:spacing w:before="120" w:after="120"/>
        <w:rPr>
          <w:rFonts w:ascii="Arial Narrow" w:eastAsia="Dotum" w:hAnsi="Arial Narrow" w:cs="Arial"/>
          <w:lang w:val="en-AU"/>
        </w:rPr>
      </w:pPr>
    </w:p>
    <w:p w14:paraId="776E63AE" w14:textId="77777777" w:rsidR="0059608E" w:rsidRDefault="0059608E" w:rsidP="00461163">
      <w:pPr>
        <w:rPr>
          <w:rFonts w:ascii="Arial Narrow" w:hAnsi="Arial Narrow"/>
          <w:lang w:val="en-AU"/>
        </w:rPr>
      </w:pPr>
      <w:r w:rsidRPr="007A17C3">
        <w:rPr>
          <w:rFonts w:ascii="Arial Narrow" w:hAnsi="Arial Narrow"/>
          <w:vertAlign w:val="superscript"/>
          <w:lang w:val="en-AU"/>
        </w:rPr>
        <w:t>1</w:t>
      </w:r>
      <w:r w:rsidRPr="007A17C3">
        <w:rPr>
          <w:rFonts w:ascii="Arial Narrow" w:hAnsi="Arial Narrow"/>
          <w:lang w:val="en-AU"/>
        </w:rPr>
        <w:t>The National Research Centre for Environmental Toxicology (Entox)</w:t>
      </w:r>
    </w:p>
    <w:p w14:paraId="60F314E7" w14:textId="77777777" w:rsidR="007A17C3" w:rsidRPr="00916836" w:rsidRDefault="007A17C3" w:rsidP="00461163">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The University of Queensland</w:t>
      </w:r>
    </w:p>
    <w:p w14:paraId="6875C426" w14:textId="77777777" w:rsidR="007A17C3" w:rsidRPr="00916836" w:rsidRDefault="007A17C3" w:rsidP="00461163">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39 Kessels Rd</w:t>
      </w:r>
    </w:p>
    <w:p w14:paraId="08F2C4AB" w14:textId="77777777" w:rsidR="007A17C3" w:rsidRPr="00916836" w:rsidRDefault="007A17C3" w:rsidP="00461163">
      <w:pPr>
        <w:pStyle w:val="BodyText3"/>
        <w:spacing w:after="0"/>
        <w:rPr>
          <w:rFonts w:ascii="Arial Narrow" w:hAnsi="Arial Narrow" w:cs="Arial"/>
          <w:sz w:val="22"/>
          <w:szCs w:val="22"/>
          <w:lang w:val="en-AU"/>
        </w:rPr>
      </w:pPr>
      <w:r>
        <w:rPr>
          <w:rFonts w:ascii="Arial Narrow" w:hAnsi="Arial Narrow" w:cs="Arial"/>
          <w:sz w:val="22"/>
          <w:szCs w:val="22"/>
          <w:lang w:val="en-AU"/>
        </w:rPr>
        <w:t>Coopers Plains Qld</w:t>
      </w:r>
      <w:r w:rsidRPr="00916836">
        <w:rPr>
          <w:rFonts w:ascii="Arial Narrow" w:hAnsi="Arial Narrow" w:cs="Arial"/>
          <w:sz w:val="22"/>
          <w:szCs w:val="22"/>
          <w:lang w:val="en-AU"/>
        </w:rPr>
        <w:t xml:space="preserve"> 4108</w:t>
      </w:r>
    </w:p>
    <w:p w14:paraId="646F85F2" w14:textId="77777777" w:rsidR="007A17C3" w:rsidRPr="007A17C3" w:rsidRDefault="007A17C3" w:rsidP="00461163">
      <w:pPr>
        <w:rPr>
          <w:rFonts w:ascii="Arial Narrow" w:hAnsi="Arial Narrow"/>
          <w:lang w:val="en-AU"/>
        </w:rPr>
      </w:pPr>
    </w:p>
    <w:p w14:paraId="25728D1A" w14:textId="77777777" w:rsidR="007A17C3" w:rsidRPr="007A17C3" w:rsidRDefault="0059608E" w:rsidP="00461163">
      <w:pPr>
        <w:rPr>
          <w:rFonts w:ascii="Arial Narrow" w:hAnsi="Arial Narrow"/>
        </w:rPr>
      </w:pPr>
      <w:r w:rsidRPr="007A17C3">
        <w:rPr>
          <w:rFonts w:ascii="Arial Narrow" w:hAnsi="Arial Narrow"/>
          <w:vertAlign w:val="superscript"/>
          <w:lang w:val="en-AU"/>
        </w:rPr>
        <w:t>2</w:t>
      </w:r>
      <w:r w:rsidRPr="007A17C3">
        <w:rPr>
          <w:rFonts w:ascii="Arial Narrow" w:hAnsi="Arial Narrow"/>
        </w:rPr>
        <w:t xml:space="preserve"> The Centre for Tropical Water &amp; Aquatic Ecosystem Research</w:t>
      </w:r>
      <w:r w:rsidRPr="007A17C3" w:rsidDel="003A6B4D">
        <w:rPr>
          <w:rFonts w:ascii="Arial Narrow" w:hAnsi="Arial Narrow"/>
        </w:rPr>
        <w:t xml:space="preserve"> </w:t>
      </w:r>
      <w:r w:rsidRPr="007A17C3">
        <w:rPr>
          <w:rFonts w:ascii="Arial Narrow" w:hAnsi="Arial Narrow"/>
        </w:rPr>
        <w:t xml:space="preserve">(TropWATER), </w:t>
      </w:r>
    </w:p>
    <w:p w14:paraId="369BDF69" w14:textId="77777777" w:rsidR="007A17C3" w:rsidRPr="007A17C3" w:rsidRDefault="0059608E" w:rsidP="00461163">
      <w:pPr>
        <w:rPr>
          <w:rFonts w:ascii="Arial Narrow" w:hAnsi="Arial Narrow"/>
        </w:rPr>
      </w:pPr>
      <w:r w:rsidRPr="007A17C3">
        <w:rPr>
          <w:rFonts w:ascii="Arial Narrow" w:hAnsi="Arial Narrow"/>
        </w:rPr>
        <w:t xml:space="preserve">Catchment to Reef Processes Research Group, </w:t>
      </w:r>
    </w:p>
    <w:p w14:paraId="14D68521" w14:textId="77777777" w:rsidR="0059608E" w:rsidRPr="007A17C3" w:rsidRDefault="0059608E" w:rsidP="00461163">
      <w:pPr>
        <w:rPr>
          <w:rFonts w:ascii="Arial Narrow" w:hAnsi="Arial Narrow"/>
          <w:lang w:val="en-AU"/>
        </w:rPr>
      </w:pPr>
      <w:r w:rsidRPr="007A17C3">
        <w:rPr>
          <w:rFonts w:ascii="Arial Narrow" w:hAnsi="Arial Narrow"/>
        </w:rPr>
        <w:t>James Cook University</w:t>
      </w:r>
    </w:p>
    <w:p w14:paraId="04BE0F7E" w14:textId="77777777" w:rsidR="0059608E" w:rsidRDefault="007A17C3" w:rsidP="00461163">
      <w:pPr>
        <w:rPr>
          <w:rFonts w:cs="Tahoma"/>
          <w:color w:val="000000"/>
          <w:lang w:val="en-AU" w:eastAsia="en-GB"/>
        </w:rPr>
      </w:pPr>
      <w:r w:rsidRPr="007A17C3">
        <w:rPr>
          <w:rFonts w:cs="Tahoma"/>
          <w:color w:val="000000"/>
          <w:lang w:val="en-AU" w:eastAsia="en-GB"/>
        </w:rPr>
        <w:t>Townsville, Qld 4811</w:t>
      </w:r>
    </w:p>
    <w:p w14:paraId="379769C6" w14:textId="77777777" w:rsidR="00461163" w:rsidRPr="002C71C7" w:rsidRDefault="00461163" w:rsidP="00461163">
      <w:pPr>
        <w:pStyle w:val="Infopage"/>
        <w:spacing w:before="120"/>
      </w:pPr>
    </w:p>
    <w:p w14:paraId="46C198C9" w14:textId="0346073F" w:rsidR="00461163" w:rsidRPr="002C71C7" w:rsidRDefault="00461163" w:rsidP="00461163">
      <w:pPr>
        <w:pBdr>
          <w:top w:val="single" w:sz="12" w:space="1" w:color="0070C0"/>
          <w:left w:val="single" w:sz="12" w:space="4" w:color="0070C0"/>
          <w:bottom w:val="single" w:sz="12" w:space="1" w:color="0070C0"/>
          <w:right w:val="single" w:sz="12" w:space="4" w:color="0070C0"/>
        </w:pBdr>
        <w:spacing w:before="120"/>
        <w:rPr>
          <w:rFonts w:ascii="Arial Narrow" w:eastAsia="MS Mincho" w:hAnsi="Arial Narrow" w:cs="Arial"/>
          <w:lang w:eastAsia="ja-JP"/>
        </w:rPr>
      </w:pPr>
      <w:r>
        <w:rPr>
          <w:rFonts w:ascii="Arial Narrow" w:eastAsia="MS Mincho" w:hAnsi="Arial Narrow" w:cs="Arial"/>
          <w:lang w:eastAsia="ja-JP"/>
        </w:rPr>
        <w:t>© Copyright University of Queensland</w:t>
      </w:r>
      <w:r w:rsidRPr="002C71C7">
        <w:rPr>
          <w:rFonts w:ascii="Arial Narrow" w:eastAsia="MS Mincho" w:hAnsi="Arial Narrow" w:cs="Arial"/>
          <w:lang w:eastAsia="ja-JP"/>
        </w:rPr>
        <w:t xml:space="preserve"> 201</w:t>
      </w:r>
      <w:r>
        <w:rPr>
          <w:rFonts w:ascii="Arial Narrow" w:eastAsia="MS Mincho" w:hAnsi="Arial Narrow" w:cs="Arial"/>
          <w:lang w:eastAsia="ja-JP"/>
        </w:rPr>
        <w:t>6</w:t>
      </w:r>
      <w:r w:rsidRPr="002C71C7">
        <w:rPr>
          <w:rFonts w:ascii="Arial Narrow" w:eastAsia="MS Mincho" w:hAnsi="Arial Narrow" w:cs="Arial"/>
          <w:lang w:eastAsia="ja-JP"/>
        </w:rPr>
        <w:t xml:space="preserve"> </w:t>
      </w:r>
    </w:p>
    <w:p w14:paraId="0C0F3848" w14:textId="23CD1560" w:rsidR="00461163" w:rsidRPr="002C71C7" w:rsidRDefault="00461163" w:rsidP="00461163">
      <w:pPr>
        <w:spacing w:before="120"/>
        <w:rPr>
          <w:rFonts w:ascii="Arial Narrow" w:eastAsia="MS Mincho" w:hAnsi="Arial Narrow" w:cs="Arial"/>
          <w:lang w:eastAsia="ja-JP"/>
        </w:rPr>
      </w:pPr>
      <w:r w:rsidRPr="002C71C7">
        <w:rPr>
          <w:rFonts w:ascii="Arial Narrow" w:eastAsia="MS Mincho" w:hAnsi="Arial Narrow" w:cs="Arial"/>
          <w:lang w:eastAsia="ja-JP"/>
        </w:rPr>
        <w:t xml:space="preserve">All rights are reserved and no part of this document may be reproduced, stored or copied in any form or by any means whatsoever except with the prior written permission of </w:t>
      </w:r>
      <w:r>
        <w:rPr>
          <w:rFonts w:ascii="Arial Narrow" w:eastAsia="MS Mincho" w:hAnsi="Arial Narrow" w:cs="Arial"/>
          <w:lang w:eastAsia="ja-JP"/>
        </w:rPr>
        <w:t>the University of Queensland</w:t>
      </w:r>
      <w:r w:rsidRPr="002C71C7">
        <w:rPr>
          <w:rFonts w:ascii="Arial Narrow" w:eastAsia="MS Mincho" w:hAnsi="Arial Narrow" w:cs="Arial"/>
          <w:lang w:eastAsia="ja-JP"/>
        </w:rPr>
        <w:t>.</w:t>
      </w:r>
    </w:p>
    <w:p w14:paraId="0A6519B6" w14:textId="77777777" w:rsidR="00916836" w:rsidRPr="007A17C3" w:rsidRDefault="00916836" w:rsidP="00916836">
      <w:pPr>
        <w:spacing w:before="120" w:after="120"/>
        <w:rPr>
          <w:rFonts w:ascii="Arial Narrow" w:hAnsi="Arial Narrow" w:cs="Arial"/>
          <w:lang w:val="en-AU"/>
        </w:rPr>
      </w:pPr>
    </w:p>
    <w:p w14:paraId="639812C9" w14:textId="77777777" w:rsidR="00384BD6" w:rsidRDefault="00384BD6" w:rsidP="00916836">
      <w:pPr>
        <w:spacing w:before="120" w:after="120"/>
        <w:rPr>
          <w:rFonts w:ascii="Arial Narrow" w:hAnsi="Arial Narrow" w:cs="Arial"/>
          <w:lang w:val="en-AU"/>
        </w:rPr>
      </w:pPr>
    </w:p>
    <w:p w14:paraId="5C15A7A6" w14:textId="77777777" w:rsidR="00916836" w:rsidRPr="007A17C3" w:rsidRDefault="00916836" w:rsidP="00916836">
      <w:pPr>
        <w:spacing w:before="120" w:after="120"/>
        <w:rPr>
          <w:rFonts w:ascii="Arial Narrow" w:hAnsi="Arial Narrow" w:cs="Arial"/>
          <w:lang w:val="en-AU"/>
        </w:rPr>
      </w:pPr>
      <w:r w:rsidRPr="007A17C3">
        <w:rPr>
          <w:rFonts w:ascii="Arial Narrow" w:hAnsi="Arial Narrow" w:cs="Arial"/>
          <w:lang w:val="en-AU"/>
        </w:rPr>
        <w:t>ISBN:</w:t>
      </w:r>
      <w:r w:rsidRPr="007A17C3">
        <w:rPr>
          <w:rFonts w:ascii="Arial Narrow" w:hAnsi="Arial Narrow"/>
        </w:rPr>
        <w:t xml:space="preserve"> </w:t>
      </w:r>
      <w:r w:rsidR="00184D34">
        <w:rPr>
          <w:rFonts w:ascii="Arial Narrow" w:hAnsi="Arial Narrow" w:cs="Arial"/>
          <w:lang w:val="en-AU"/>
        </w:rPr>
        <w:t>978174272166</w:t>
      </w:r>
      <w:r w:rsidRPr="007A17C3">
        <w:rPr>
          <w:rFonts w:ascii="Arial Narrow" w:hAnsi="Arial Narrow" w:cs="Arial"/>
          <w:lang w:val="en-AU"/>
        </w:rPr>
        <w:t>8</w:t>
      </w:r>
    </w:p>
    <w:p w14:paraId="45CD6418" w14:textId="77777777" w:rsidR="00916836" w:rsidRPr="007A17C3" w:rsidRDefault="00916836" w:rsidP="00916836">
      <w:pPr>
        <w:spacing w:before="120" w:after="120"/>
        <w:rPr>
          <w:rFonts w:ascii="Arial Narrow" w:hAnsi="Arial Narrow" w:cs="Arial"/>
          <w:lang w:val="en-AU"/>
        </w:rPr>
      </w:pPr>
    </w:p>
    <w:p w14:paraId="7385CFEC" w14:textId="77777777" w:rsidR="0059608E" w:rsidRPr="007A17C3" w:rsidRDefault="007A17C3" w:rsidP="00916836">
      <w:pPr>
        <w:spacing w:before="120" w:after="120"/>
        <w:rPr>
          <w:rFonts w:ascii="Arial Narrow" w:eastAsia="Dotum" w:hAnsi="Arial Narrow" w:cs="Arial"/>
          <w:lang w:val="en-AU"/>
        </w:rPr>
      </w:pPr>
      <w:r>
        <w:rPr>
          <w:rFonts w:ascii="Arial Narrow" w:eastAsia="Dotum" w:hAnsi="Arial Narrow" w:cs="Arial"/>
          <w:lang w:val="en-AU"/>
        </w:rPr>
        <w:t>Report should be cited as:</w:t>
      </w:r>
    </w:p>
    <w:p w14:paraId="6F867D74" w14:textId="77777777" w:rsidR="007E433D" w:rsidRPr="007A17C3" w:rsidRDefault="0059608E" w:rsidP="00916836">
      <w:pPr>
        <w:spacing w:before="120" w:after="120"/>
        <w:rPr>
          <w:rFonts w:ascii="Arial Narrow" w:hAnsi="Arial Narrow" w:cs="Arial"/>
          <w:lang w:val="en-AU"/>
        </w:rPr>
      </w:pPr>
      <w:r w:rsidRPr="007A17C3">
        <w:rPr>
          <w:rFonts w:ascii="Arial Narrow" w:hAnsi="Arial Narrow" w:cs="Arial"/>
          <w:lang w:val="en-AU"/>
        </w:rPr>
        <w:t>Gallen, C., Thompson, K., Paxman, C., Devlin, M., Mueller, J. (201</w:t>
      </w:r>
      <w:r w:rsidR="00813584" w:rsidRPr="007A17C3">
        <w:rPr>
          <w:rFonts w:ascii="Arial Narrow" w:hAnsi="Arial Narrow" w:cs="Arial"/>
          <w:lang w:val="en-AU"/>
        </w:rPr>
        <w:t>6</w:t>
      </w:r>
      <w:r w:rsidRPr="007A17C3">
        <w:rPr>
          <w:rFonts w:ascii="Arial Narrow" w:hAnsi="Arial Narrow" w:cs="Arial"/>
          <w:lang w:val="en-AU"/>
        </w:rPr>
        <w:t>)</w:t>
      </w:r>
      <w:r w:rsidR="00916836" w:rsidRPr="007A17C3">
        <w:rPr>
          <w:rFonts w:ascii="Arial Narrow" w:hAnsi="Arial Narrow" w:cs="Arial"/>
          <w:lang w:val="en-AU"/>
        </w:rPr>
        <w:t xml:space="preserve"> </w:t>
      </w:r>
      <w:r w:rsidR="00916836" w:rsidRPr="007A17C3">
        <w:rPr>
          <w:rFonts w:ascii="Arial Narrow" w:hAnsi="Arial Narrow" w:cs="Arial"/>
          <w:lang w:val="en-GB"/>
        </w:rPr>
        <w:t xml:space="preserve">Marine Monitoring Program. </w:t>
      </w:r>
      <w:r w:rsidRPr="007A17C3">
        <w:rPr>
          <w:rFonts w:ascii="Arial Narrow" w:hAnsi="Arial Narrow" w:cs="Arial"/>
          <w:lang w:val="en-AU"/>
        </w:rPr>
        <w:t xml:space="preserve"> </w:t>
      </w:r>
      <w:r w:rsidR="00F8763E" w:rsidRPr="007A17C3">
        <w:rPr>
          <w:rFonts w:ascii="Arial Narrow" w:hAnsi="Arial Narrow" w:cs="Arial"/>
          <w:lang w:val="en-AU"/>
        </w:rPr>
        <w:t>Annual Report for inshore pesticide monitoring</w:t>
      </w:r>
      <w:r w:rsidR="00916836" w:rsidRPr="007A17C3">
        <w:rPr>
          <w:rFonts w:ascii="Arial Narrow" w:hAnsi="Arial Narrow" w:cs="Arial"/>
          <w:lang w:val="en-AU"/>
        </w:rPr>
        <w:t xml:space="preserve">: </w:t>
      </w:r>
      <w:r w:rsidRPr="007A17C3">
        <w:rPr>
          <w:rFonts w:ascii="Arial Narrow" w:hAnsi="Arial Narrow" w:cs="Arial"/>
          <w:lang w:val="en-AU"/>
        </w:rPr>
        <w:t>2</w:t>
      </w:r>
      <w:r w:rsidR="00916836" w:rsidRPr="007A17C3">
        <w:rPr>
          <w:rFonts w:ascii="Arial Narrow" w:hAnsi="Arial Narrow" w:cs="Arial"/>
          <w:lang w:val="en-AU"/>
        </w:rPr>
        <w:t>014 to</w:t>
      </w:r>
      <w:r w:rsidRPr="007A17C3">
        <w:rPr>
          <w:rFonts w:ascii="Arial Narrow" w:hAnsi="Arial Narrow" w:cs="Arial"/>
          <w:lang w:val="en-AU"/>
        </w:rPr>
        <w:t xml:space="preserve"> 2015</w:t>
      </w:r>
      <w:r w:rsidR="00916836" w:rsidRPr="007A17C3">
        <w:rPr>
          <w:rFonts w:ascii="Arial Narrow" w:hAnsi="Arial Narrow" w:cs="Arial"/>
          <w:lang w:val="en-AU"/>
        </w:rPr>
        <w:t xml:space="preserve">. </w:t>
      </w:r>
      <w:r w:rsidR="00916836" w:rsidRPr="007A17C3">
        <w:rPr>
          <w:rFonts w:ascii="Arial Narrow" w:hAnsi="Arial Narrow" w:cs="Arial"/>
          <w:lang w:val="en-GB"/>
        </w:rPr>
        <w:t xml:space="preserve">Report for the Great Barrier Reef Marine Park Authority. </w:t>
      </w:r>
      <w:r w:rsidR="00916836" w:rsidRPr="007A17C3">
        <w:rPr>
          <w:rFonts w:ascii="Arial Narrow" w:hAnsi="Arial Narrow" w:cs="Arial"/>
          <w:lang w:val="en-AU"/>
        </w:rPr>
        <w:t xml:space="preserve">The University of Queensland, </w:t>
      </w:r>
      <w:r w:rsidRPr="007A17C3">
        <w:rPr>
          <w:rFonts w:ascii="Arial Narrow" w:hAnsi="Arial Narrow" w:cs="Arial"/>
          <w:lang w:val="en-AU"/>
        </w:rPr>
        <w:t>The National Research Centre for Environmental Toxicology (Entox)</w:t>
      </w:r>
      <w:r w:rsidR="00136467" w:rsidRPr="007A17C3">
        <w:rPr>
          <w:rFonts w:ascii="Arial Narrow" w:hAnsi="Arial Narrow" w:cs="Arial"/>
          <w:lang w:val="en-AU"/>
        </w:rPr>
        <w:t>, Brisbane</w:t>
      </w:r>
      <w:r w:rsidRPr="007A17C3">
        <w:rPr>
          <w:rFonts w:ascii="Arial Narrow" w:hAnsi="Arial Narrow" w:cs="Arial"/>
          <w:lang w:val="en-AU"/>
        </w:rPr>
        <w:t>.</w:t>
      </w:r>
      <w:r w:rsidR="00D066B2" w:rsidRPr="007A17C3">
        <w:rPr>
          <w:rFonts w:ascii="Arial Narrow" w:hAnsi="Arial Narrow" w:cs="Arial"/>
          <w:lang w:val="en-AU"/>
        </w:rPr>
        <w:t xml:space="preserve"> </w:t>
      </w:r>
    </w:p>
    <w:p w14:paraId="1587BA90" w14:textId="77777777" w:rsidR="007E433D" w:rsidRPr="007A17C3" w:rsidRDefault="007E433D" w:rsidP="00916836">
      <w:pPr>
        <w:spacing w:before="120" w:after="120"/>
        <w:rPr>
          <w:rFonts w:ascii="Arial Narrow" w:hAnsi="Arial Narrow" w:cs="Arial"/>
          <w:lang w:val="en-AU"/>
        </w:rPr>
      </w:pPr>
    </w:p>
    <w:p w14:paraId="6FA16554" w14:textId="77777777" w:rsidR="00A84E6A" w:rsidRPr="007A17C3" w:rsidRDefault="00916836" w:rsidP="00916836">
      <w:pPr>
        <w:spacing w:before="120" w:after="120"/>
        <w:rPr>
          <w:rFonts w:ascii="Arial Narrow" w:hAnsi="Arial Narrow" w:cs="Arial"/>
          <w:lang w:val="en-AU"/>
        </w:rPr>
      </w:pPr>
      <w:r w:rsidRPr="007A17C3">
        <w:rPr>
          <w:rFonts w:ascii="Arial Narrow" w:hAnsi="Arial Narrow"/>
        </w:rPr>
        <w:t>Front c</w:t>
      </w:r>
      <w:r w:rsidR="00A84E6A" w:rsidRPr="007A17C3">
        <w:rPr>
          <w:rFonts w:ascii="Arial Narrow" w:hAnsi="Arial Narrow"/>
        </w:rPr>
        <w:t>over image: View south towards the Russell River National Park and the junction of the Russell and Mulgrave Rivers over flooded sugar fields © Dieter Tracey, 2015</w:t>
      </w:r>
      <w:r w:rsidR="00943472" w:rsidRPr="007A17C3">
        <w:rPr>
          <w:rFonts w:ascii="Arial Narrow" w:hAnsi="Arial Narrow"/>
        </w:rPr>
        <w:t>.</w:t>
      </w:r>
    </w:p>
    <w:p w14:paraId="1DB930CB" w14:textId="77777777" w:rsidR="0059608E" w:rsidRPr="007A17C3" w:rsidRDefault="0059608E" w:rsidP="00916836">
      <w:pPr>
        <w:spacing w:before="120" w:after="120"/>
        <w:rPr>
          <w:rFonts w:ascii="Arial Narrow" w:hAnsi="Arial Narrow" w:cs="Arial"/>
          <w:lang w:val="en-AU"/>
        </w:rPr>
      </w:pPr>
    </w:p>
    <w:p w14:paraId="6491972A" w14:textId="77777777" w:rsidR="00EC733D" w:rsidRPr="002C71C7" w:rsidRDefault="00EC733D" w:rsidP="00EC733D">
      <w:pPr>
        <w:spacing w:before="120"/>
        <w:rPr>
          <w:rFonts w:ascii="Arial Narrow" w:eastAsia="MS Mincho" w:hAnsi="Arial Narrow" w:cs="Arial"/>
          <w:b/>
          <w:lang w:eastAsia="ja-JP"/>
        </w:rPr>
      </w:pPr>
      <w:r w:rsidRPr="002C71C7">
        <w:rPr>
          <w:rFonts w:ascii="Arial Narrow" w:eastAsia="MS Mincho" w:hAnsi="Arial Narrow" w:cs="Arial"/>
          <w:b/>
          <w:lang w:eastAsia="ja-JP"/>
        </w:rPr>
        <w:t>DISCLAIMER</w:t>
      </w:r>
    </w:p>
    <w:p w14:paraId="406101AC" w14:textId="77777777" w:rsidR="00EC733D" w:rsidRDefault="00EC733D" w:rsidP="00EC733D">
      <w:pPr>
        <w:spacing w:before="120"/>
        <w:rPr>
          <w:rFonts w:ascii="Arial Narrow" w:eastAsia="MS Mincho" w:hAnsi="Arial Narrow" w:cs="Arial"/>
          <w:lang w:eastAsia="ja-JP"/>
        </w:rPr>
      </w:pPr>
      <w:r w:rsidRPr="002C71C7">
        <w:rPr>
          <w:rFonts w:ascii="Arial Narrow" w:eastAsia="MS Mincho" w:hAnsi="Arial Narrow" w:cs="Arial"/>
          <w:lang w:eastAsia="ja-JP"/>
        </w:rPr>
        <w:t xml:space="preserve">While reasonable efforts have been made to ensure that the contents of this document are factually correct, </w:t>
      </w:r>
      <w:r>
        <w:rPr>
          <w:rFonts w:ascii="Arial Narrow" w:eastAsia="MS Mincho" w:hAnsi="Arial Narrow" w:cs="Arial"/>
          <w:lang w:eastAsia="ja-JP"/>
        </w:rPr>
        <w:t>Entox</w:t>
      </w:r>
      <w:r w:rsidRPr="002C71C7">
        <w:rPr>
          <w:rFonts w:ascii="Arial Narrow" w:eastAsia="MS Mincho" w:hAnsi="Arial Narrow" w:cs="Arial"/>
          <w:lang w:eastAsia="ja-JP"/>
        </w:rPr>
        <w:t xml:space="preserve"> does not make any representation or give any warranty regarding the accuracy, completeness, currency or suitability for any particular purpose of the information or statements contained in this document. To the extent permitted by law </w:t>
      </w:r>
      <w:r>
        <w:rPr>
          <w:rFonts w:ascii="Arial Narrow" w:eastAsia="MS Mincho" w:hAnsi="Arial Narrow" w:cs="Arial"/>
          <w:lang w:eastAsia="ja-JP"/>
        </w:rPr>
        <w:t>Entox</w:t>
      </w:r>
      <w:r w:rsidRPr="002C71C7">
        <w:rPr>
          <w:rFonts w:ascii="Arial Narrow" w:eastAsia="MS Mincho" w:hAnsi="Arial Narrow" w:cs="Arial"/>
          <w:lang w:eastAsia="ja-JP"/>
        </w:rPr>
        <w:t xml:space="preserve"> shall not be liable for any loss, damage, cost or expense that may be occasioned directly or indirectly through the use of or reliance on the contents of this document.</w:t>
      </w:r>
    </w:p>
    <w:p w14:paraId="6489EE09" w14:textId="77777777" w:rsidR="00EC733D" w:rsidRDefault="00EC733D" w:rsidP="00EC733D">
      <w:pPr>
        <w:spacing w:before="120"/>
        <w:rPr>
          <w:rFonts w:ascii="Arial Narrow" w:eastAsia="MS Mincho" w:hAnsi="Arial Narrow" w:cs="Arial"/>
          <w:lang w:eastAsia="ja-JP"/>
        </w:rPr>
      </w:pPr>
    </w:p>
    <w:p w14:paraId="1A7DC536" w14:textId="77777777" w:rsidR="0059608E" w:rsidRPr="007A17C3" w:rsidRDefault="0059608E" w:rsidP="00916836">
      <w:pPr>
        <w:pStyle w:val="BodyText3"/>
        <w:spacing w:before="120"/>
        <w:rPr>
          <w:rFonts w:ascii="Arial Narrow" w:eastAsia="Dotum" w:hAnsi="Arial Narrow" w:cs="Arial"/>
          <w:sz w:val="22"/>
          <w:szCs w:val="22"/>
          <w:lang w:val="en-AU"/>
        </w:rPr>
      </w:pPr>
      <w:r w:rsidRPr="007A17C3">
        <w:rPr>
          <w:rFonts w:ascii="Arial Narrow" w:eastAsia="Dotum" w:hAnsi="Arial Narrow" w:cs="Arial"/>
          <w:sz w:val="22"/>
          <w:szCs w:val="22"/>
          <w:lang w:val="en-AU"/>
        </w:rPr>
        <w:t>Direct Enquiries to –</w:t>
      </w:r>
    </w:p>
    <w:p w14:paraId="66035858" w14:textId="77777777" w:rsidR="0059608E" w:rsidRPr="00916836" w:rsidRDefault="0059608E" w:rsidP="00506FED">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Professor Jochen Mueller</w:t>
      </w:r>
    </w:p>
    <w:p w14:paraId="29611CDC" w14:textId="77777777" w:rsidR="0059608E" w:rsidRPr="00916836" w:rsidRDefault="0059608E" w:rsidP="00506FED">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Phone: +61 7 3000 9197</w:t>
      </w:r>
    </w:p>
    <w:p w14:paraId="0D9CE530" w14:textId="77777777" w:rsidR="0059608E" w:rsidRPr="00916836" w:rsidRDefault="0059608E" w:rsidP="00506FED">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Fax: +61 7 3274 9003</w:t>
      </w:r>
    </w:p>
    <w:p w14:paraId="57111DEE" w14:textId="77777777" w:rsidR="0059608E" w:rsidRPr="00916836" w:rsidRDefault="0059608E" w:rsidP="00506FED">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 xml:space="preserve">Email: </w:t>
      </w:r>
      <w:hyperlink r:id="rId14" w:history="1">
        <w:r w:rsidRPr="00916836">
          <w:rPr>
            <w:rStyle w:val="Hyperlink"/>
            <w:rFonts w:ascii="Arial Narrow" w:hAnsi="Arial Narrow" w:cs="Arial"/>
            <w:sz w:val="22"/>
            <w:szCs w:val="22"/>
            <w:lang w:val="en-AU"/>
          </w:rPr>
          <w:t>j.mueller@uq.edu.au</w:t>
        </w:r>
      </w:hyperlink>
    </w:p>
    <w:p w14:paraId="46B615D7" w14:textId="77777777" w:rsidR="0059608E" w:rsidRPr="00916836" w:rsidRDefault="0059608E" w:rsidP="00506FED">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 xml:space="preserve">Web: </w:t>
      </w:r>
      <w:hyperlink r:id="rId15" w:history="1">
        <w:r w:rsidR="00813584" w:rsidRPr="00916836">
          <w:rPr>
            <w:rStyle w:val="Hyperlink"/>
            <w:rFonts w:ascii="Arial Narrow" w:hAnsi="Arial Narrow" w:cs="Arial"/>
            <w:sz w:val="22"/>
            <w:szCs w:val="22"/>
            <w:lang w:val="en-AU"/>
          </w:rPr>
          <w:t>www.entox.uq.edu.au</w:t>
        </w:r>
      </w:hyperlink>
      <w:r w:rsidR="00813584" w:rsidRPr="00916836">
        <w:rPr>
          <w:rStyle w:val="Hyperlink"/>
          <w:rFonts w:ascii="Arial Narrow" w:hAnsi="Arial Narrow" w:cs="Arial"/>
          <w:sz w:val="22"/>
          <w:szCs w:val="22"/>
          <w:lang w:val="en-AU"/>
        </w:rPr>
        <w:t xml:space="preserve"> </w:t>
      </w:r>
    </w:p>
    <w:p w14:paraId="5270C5E7" w14:textId="77777777" w:rsidR="0059608E" w:rsidRPr="00916836" w:rsidRDefault="0059608E" w:rsidP="00916836">
      <w:pPr>
        <w:pStyle w:val="BodyText3"/>
        <w:spacing w:before="120"/>
        <w:rPr>
          <w:rFonts w:ascii="Arial Narrow" w:hAnsi="Arial Narrow"/>
          <w:sz w:val="22"/>
          <w:szCs w:val="22"/>
          <w:lang w:val="en-AU"/>
        </w:rPr>
      </w:pPr>
    </w:p>
    <w:p w14:paraId="4B64FEDE" w14:textId="77777777" w:rsidR="007E433D" w:rsidRPr="00916836" w:rsidRDefault="007E433D" w:rsidP="00916836">
      <w:pPr>
        <w:pStyle w:val="BodyText3"/>
        <w:spacing w:before="120"/>
        <w:rPr>
          <w:rFonts w:ascii="Arial Narrow" w:hAnsi="Arial Narrow" w:cs="Arial"/>
          <w:sz w:val="22"/>
          <w:szCs w:val="22"/>
          <w:lang w:val="en-AU"/>
        </w:rPr>
      </w:pPr>
    </w:p>
    <w:p w14:paraId="7C925D37" w14:textId="77777777" w:rsidR="007E433D" w:rsidRDefault="007E433D" w:rsidP="006130D4">
      <w:pPr>
        <w:pStyle w:val="BodyText3"/>
        <w:spacing w:line="360" w:lineRule="auto"/>
        <w:rPr>
          <w:rFonts w:cs="Arial"/>
          <w:sz w:val="22"/>
          <w:szCs w:val="22"/>
          <w:lang w:val="en-AU"/>
        </w:rPr>
        <w:sectPr w:rsidR="007E433D" w:rsidSect="00464B07">
          <w:headerReference w:type="default" r:id="rId16"/>
          <w:pgSz w:w="12240" w:h="15840"/>
          <w:pgMar w:top="624" w:right="720" w:bottom="624" w:left="720" w:header="709" w:footer="709" w:gutter="0"/>
          <w:pgNumType w:start="1"/>
          <w:cols w:space="708"/>
          <w:docGrid w:linePitch="360"/>
        </w:sectPr>
      </w:pPr>
    </w:p>
    <w:p w14:paraId="160F0DA1" w14:textId="77777777" w:rsidR="0059608E" w:rsidRDefault="0059608E">
      <w:pPr>
        <w:ind w:firstLine="357"/>
        <w:jc w:val="left"/>
        <w:rPr>
          <w:rFonts w:cs="Arial"/>
          <w:lang w:val="en-AU"/>
        </w:rPr>
      </w:pPr>
    </w:p>
    <w:p w14:paraId="5A8A9CB3" w14:textId="77777777" w:rsidR="0059608E" w:rsidRPr="00C11BBA" w:rsidRDefault="0059608E" w:rsidP="006130D4">
      <w:pPr>
        <w:rPr>
          <w:b/>
          <w:sz w:val="36"/>
          <w:szCs w:val="36"/>
          <w:u w:val="single"/>
          <w:lang w:val="en-AU"/>
        </w:rPr>
      </w:pPr>
      <w:bookmarkStart w:id="1" w:name="_Toc163983473"/>
      <w:bookmarkStart w:id="2" w:name="_Toc163983956"/>
      <w:bookmarkStart w:id="3" w:name="_Toc165707293"/>
      <w:r w:rsidRPr="00C11BBA">
        <w:rPr>
          <w:b/>
          <w:sz w:val="36"/>
          <w:szCs w:val="36"/>
          <w:u w:val="single"/>
          <w:lang w:val="en-AU"/>
        </w:rPr>
        <w:t>Table of Contents</w:t>
      </w:r>
      <w:bookmarkEnd w:id="1"/>
      <w:bookmarkEnd w:id="2"/>
      <w:bookmarkEnd w:id="3"/>
    </w:p>
    <w:sdt>
      <w:sdtPr>
        <w:rPr>
          <w:rFonts w:eastAsiaTheme="minorEastAsia" w:cstheme="minorBidi"/>
          <w:b w:val="0"/>
          <w:bCs w:val="0"/>
          <w:caps w:val="0"/>
          <w:sz w:val="22"/>
          <w:szCs w:val="22"/>
          <w:lang w:val="en-US" w:eastAsia="en-US"/>
        </w:rPr>
        <w:id w:val="-2104402256"/>
        <w:docPartObj>
          <w:docPartGallery w:val="Table of Contents"/>
          <w:docPartUnique/>
        </w:docPartObj>
      </w:sdtPr>
      <w:sdtEndPr>
        <w:rPr>
          <w:noProof/>
        </w:rPr>
      </w:sdtEndPr>
      <w:sdtContent>
        <w:p w14:paraId="12AA563F" w14:textId="77777777" w:rsidR="00C34E72" w:rsidRDefault="00C34E72" w:rsidP="00C34E72">
          <w:pPr>
            <w:pStyle w:val="TOCHeading"/>
            <w:numPr>
              <w:ilvl w:val="0"/>
              <w:numId w:val="0"/>
            </w:numPr>
            <w:ind w:left="432"/>
          </w:pPr>
          <w:r>
            <w:t>Contents</w:t>
          </w:r>
        </w:p>
        <w:p w14:paraId="03906FCD" w14:textId="77777777" w:rsidR="009D24D5" w:rsidRDefault="00C34E72">
          <w:pPr>
            <w:pStyle w:val="TOC1"/>
            <w:tabs>
              <w:tab w:val="left" w:pos="440"/>
              <w:tab w:val="right" w:leader="dot" w:pos="10790"/>
            </w:tabs>
            <w:rPr>
              <w:b w:val="0"/>
              <w:bCs w:val="0"/>
              <w:noProof/>
              <w:sz w:val="22"/>
              <w:szCs w:val="22"/>
              <w:lang w:val="en-AU" w:eastAsia="en-AU" w:bidi="ar-SA"/>
            </w:rPr>
          </w:pPr>
          <w:r w:rsidRPr="000F7A33">
            <w:rPr>
              <w:rFonts w:ascii="Arial" w:hAnsi="Arial" w:cs="Arial"/>
              <w:sz w:val="22"/>
              <w:szCs w:val="22"/>
            </w:rPr>
            <w:fldChar w:fldCharType="begin"/>
          </w:r>
          <w:r w:rsidRPr="000F7A33">
            <w:rPr>
              <w:rFonts w:ascii="Arial" w:hAnsi="Arial" w:cs="Arial"/>
              <w:sz w:val="22"/>
              <w:szCs w:val="22"/>
            </w:rPr>
            <w:instrText xml:space="preserve"> TOC \o "1-3" \h \z \u </w:instrText>
          </w:r>
          <w:r w:rsidRPr="000F7A33">
            <w:rPr>
              <w:rFonts w:ascii="Arial" w:hAnsi="Arial" w:cs="Arial"/>
              <w:sz w:val="22"/>
              <w:szCs w:val="22"/>
            </w:rPr>
            <w:fldChar w:fldCharType="separate"/>
          </w:r>
          <w:hyperlink w:anchor="_Toc462651931" w:history="1">
            <w:r w:rsidR="009D24D5" w:rsidRPr="00DA45F7">
              <w:rPr>
                <w:rStyle w:val="Hyperlink"/>
                <w:noProof/>
              </w:rPr>
              <w:t>1</w:t>
            </w:r>
            <w:r w:rsidR="009D24D5">
              <w:rPr>
                <w:b w:val="0"/>
                <w:bCs w:val="0"/>
                <w:noProof/>
                <w:sz w:val="22"/>
                <w:szCs w:val="22"/>
                <w:lang w:val="en-AU" w:eastAsia="en-AU" w:bidi="ar-SA"/>
              </w:rPr>
              <w:tab/>
            </w:r>
            <w:r w:rsidR="009D24D5" w:rsidRPr="00DA45F7">
              <w:rPr>
                <w:rStyle w:val="Hyperlink"/>
                <w:noProof/>
              </w:rPr>
              <w:t>EXECUTIVE SUMMARY</w:t>
            </w:r>
            <w:r w:rsidR="009D24D5">
              <w:rPr>
                <w:noProof/>
                <w:webHidden/>
              </w:rPr>
              <w:tab/>
            </w:r>
            <w:r w:rsidR="009D24D5">
              <w:rPr>
                <w:noProof/>
                <w:webHidden/>
              </w:rPr>
              <w:fldChar w:fldCharType="begin"/>
            </w:r>
            <w:r w:rsidR="009D24D5">
              <w:rPr>
                <w:noProof/>
                <w:webHidden/>
              </w:rPr>
              <w:instrText xml:space="preserve"> PAGEREF _Toc462651931 \h </w:instrText>
            </w:r>
            <w:r w:rsidR="009D24D5">
              <w:rPr>
                <w:noProof/>
                <w:webHidden/>
              </w:rPr>
            </w:r>
            <w:r w:rsidR="009D24D5">
              <w:rPr>
                <w:noProof/>
                <w:webHidden/>
              </w:rPr>
              <w:fldChar w:fldCharType="separate"/>
            </w:r>
            <w:r w:rsidR="00E51A34">
              <w:rPr>
                <w:noProof/>
                <w:webHidden/>
              </w:rPr>
              <w:t>1</w:t>
            </w:r>
            <w:r w:rsidR="009D24D5">
              <w:rPr>
                <w:noProof/>
                <w:webHidden/>
              </w:rPr>
              <w:fldChar w:fldCharType="end"/>
            </w:r>
          </w:hyperlink>
        </w:p>
        <w:p w14:paraId="571DC1F2"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32" w:history="1">
            <w:r w:rsidR="009D24D5" w:rsidRPr="00DA45F7">
              <w:rPr>
                <w:rStyle w:val="Hyperlink"/>
                <w:noProof/>
              </w:rPr>
              <w:t>2</w:t>
            </w:r>
            <w:r w:rsidR="009D24D5">
              <w:rPr>
                <w:b w:val="0"/>
                <w:bCs w:val="0"/>
                <w:noProof/>
                <w:sz w:val="22"/>
                <w:szCs w:val="22"/>
                <w:lang w:val="en-AU" w:eastAsia="en-AU" w:bidi="ar-SA"/>
              </w:rPr>
              <w:tab/>
            </w:r>
            <w:r w:rsidR="009D24D5" w:rsidRPr="00DA45F7">
              <w:rPr>
                <w:rStyle w:val="Hyperlink"/>
                <w:noProof/>
              </w:rPr>
              <w:t>INTRODUCTION</w:t>
            </w:r>
            <w:r w:rsidR="009D24D5">
              <w:rPr>
                <w:noProof/>
                <w:webHidden/>
              </w:rPr>
              <w:tab/>
            </w:r>
            <w:r w:rsidR="009D24D5">
              <w:rPr>
                <w:noProof/>
                <w:webHidden/>
              </w:rPr>
              <w:fldChar w:fldCharType="begin"/>
            </w:r>
            <w:r w:rsidR="009D24D5">
              <w:rPr>
                <w:noProof/>
                <w:webHidden/>
              </w:rPr>
              <w:instrText xml:space="preserve"> PAGEREF _Toc462651932 \h </w:instrText>
            </w:r>
            <w:r w:rsidR="009D24D5">
              <w:rPr>
                <w:noProof/>
                <w:webHidden/>
              </w:rPr>
            </w:r>
            <w:r w:rsidR="009D24D5">
              <w:rPr>
                <w:noProof/>
                <w:webHidden/>
              </w:rPr>
              <w:fldChar w:fldCharType="separate"/>
            </w:r>
            <w:r w:rsidR="00E51A34">
              <w:rPr>
                <w:noProof/>
                <w:webHidden/>
              </w:rPr>
              <w:t>6</w:t>
            </w:r>
            <w:r w:rsidR="009D24D5">
              <w:rPr>
                <w:noProof/>
                <w:webHidden/>
              </w:rPr>
              <w:fldChar w:fldCharType="end"/>
            </w:r>
          </w:hyperlink>
        </w:p>
        <w:p w14:paraId="2BA63CC7"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33" w:history="1">
            <w:r w:rsidR="009D24D5" w:rsidRPr="00DA45F7">
              <w:rPr>
                <w:rStyle w:val="Hyperlink"/>
                <w:noProof/>
              </w:rPr>
              <w:t>3</w:t>
            </w:r>
            <w:r w:rsidR="009D24D5">
              <w:rPr>
                <w:b w:val="0"/>
                <w:bCs w:val="0"/>
                <w:noProof/>
                <w:sz w:val="22"/>
                <w:szCs w:val="22"/>
                <w:lang w:val="en-AU" w:eastAsia="en-AU" w:bidi="ar-SA"/>
              </w:rPr>
              <w:tab/>
            </w:r>
            <w:r w:rsidR="009D24D5" w:rsidRPr="00DA45F7">
              <w:rPr>
                <w:rStyle w:val="Hyperlink"/>
                <w:noProof/>
              </w:rPr>
              <w:t>METHODOLOGY</w:t>
            </w:r>
            <w:r w:rsidR="009D24D5">
              <w:rPr>
                <w:noProof/>
                <w:webHidden/>
              </w:rPr>
              <w:tab/>
            </w:r>
            <w:r w:rsidR="009D24D5">
              <w:rPr>
                <w:noProof/>
                <w:webHidden/>
              </w:rPr>
              <w:fldChar w:fldCharType="begin"/>
            </w:r>
            <w:r w:rsidR="009D24D5">
              <w:rPr>
                <w:noProof/>
                <w:webHidden/>
              </w:rPr>
              <w:instrText xml:space="preserve"> PAGEREF _Toc462651933 \h </w:instrText>
            </w:r>
            <w:r w:rsidR="009D24D5">
              <w:rPr>
                <w:noProof/>
                <w:webHidden/>
              </w:rPr>
            </w:r>
            <w:r w:rsidR="009D24D5">
              <w:rPr>
                <w:noProof/>
                <w:webHidden/>
              </w:rPr>
              <w:fldChar w:fldCharType="separate"/>
            </w:r>
            <w:r w:rsidR="00E51A34">
              <w:rPr>
                <w:noProof/>
                <w:webHidden/>
              </w:rPr>
              <w:t>8</w:t>
            </w:r>
            <w:r w:rsidR="009D24D5">
              <w:rPr>
                <w:noProof/>
                <w:webHidden/>
              </w:rPr>
              <w:fldChar w:fldCharType="end"/>
            </w:r>
          </w:hyperlink>
        </w:p>
        <w:p w14:paraId="23766C4C"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34" w:history="1">
            <w:r w:rsidR="009D24D5" w:rsidRPr="00DA45F7">
              <w:rPr>
                <w:rStyle w:val="Hyperlink"/>
                <w:noProof/>
                <w:lang w:val="en-AU"/>
              </w:rPr>
              <w:t>3.1</w:t>
            </w:r>
            <w:r w:rsidR="009D24D5">
              <w:rPr>
                <w:i w:val="0"/>
                <w:iCs w:val="0"/>
                <w:noProof/>
                <w:sz w:val="22"/>
                <w:szCs w:val="22"/>
                <w:lang w:val="en-AU" w:eastAsia="en-AU" w:bidi="ar-SA"/>
              </w:rPr>
              <w:tab/>
            </w:r>
            <w:r w:rsidR="009D24D5" w:rsidRPr="00DA45F7">
              <w:rPr>
                <w:rStyle w:val="Hyperlink"/>
                <w:noProof/>
                <w:lang w:val="en-AU"/>
              </w:rPr>
              <w:t>Sampling sites</w:t>
            </w:r>
            <w:r w:rsidR="009D24D5">
              <w:rPr>
                <w:noProof/>
                <w:webHidden/>
              </w:rPr>
              <w:tab/>
            </w:r>
            <w:r w:rsidR="009D24D5">
              <w:rPr>
                <w:noProof/>
                <w:webHidden/>
              </w:rPr>
              <w:fldChar w:fldCharType="begin"/>
            </w:r>
            <w:r w:rsidR="009D24D5">
              <w:rPr>
                <w:noProof/>
                <w:webHidden/>
              </w:rPr>
              <w:instrText xml:space="preserve"> PAGEREF _Toc462651934 \h </w:instrText>
            </w:r>
            <w:r w:rsidR="009D24D5">
              <w:rPr>
                <w:noProof/>
                <w:webHidden/>
              </w:rPr>
            </w:r>
            <w:r w:rsidR="009D24D5">
              <w:rPr>
                <w:noProof/>
                <w:webHidden/>
              </w:rPr>
              <w:fldChar w:fldCharType="separate"/>
            </w:r>
            <w:r w:rsidR="00E51A34">
              <w:rPr>
                <w:noProof/>
                <w:webHidden/>
              </w:rPr>
              <w:t>8</w:t>
            </w:r>
            <w:r w:rsidR="009D24D5">
              <w:rPr>
                <w:noProof/>
                <w:webHidden/>
              </w:rPr>
              <w:fldChar w:fldCharType="end"/>
            </w:r>
          </w:hyperlink>
        </w:p>
        <w:p w14:paraId="11255676" w14:textId="77777777" w:rsidR="009D24D5" w:rsidRDefault="00F745D3">
          <w:pPr>
            <w:pStyle w:val="TOC3"/>
            <w:tabs>
              <w:tab w:val="left" w:pos="1100"/>
              <w:tab w:val="right" w:leader="dot" w:pos="10790"/>
            </w:tabs>
            <w:rPr>
              <w:noProof/>
              <w:sz w:val="22"/>
              <w:szCs w:val="22"/>
              <w:lang w:val="en-AU" w:eastAsia="en-AU" w:bidi="ar-SA"/>
            </w:rPr>
          </w:pPr>
          <w:hyperlink w:anchor="_Toc462651935" w:history="1">
            <w:r w:rsidR="009D24D5" w:rsidRPr="00DA45F7">
              <w:rPr>
                <w:rStyle w:val="Hyperlink"/>
                <w:noProof/>
              </w:rPr>
              <w:t>3.1.1</w:t>
            </w:r>
            <w:r w:rsidR="009D24D5">
              <w:rPr>
                <w:noProof/>
                <w:sz w:val="22"/>
                <w:szCs w:val="22"/>
                <w:lang w:val="en-AU" w:eastAsia="en-AU" w:bidi="ar-SA"/>
              </w:rPr>
              <w:tab/>
            </w:r>
            <w:r w:rsidR="009D24D5" w:rsidRPr="00DA45F7">
              <w:rPr>
                <w:rStyle w:val="Hyperlink"/>
                <w:noProof/>
              </w:rPr>
              <w:t>Fixed site monitoring (passive samplers)</w:t>
            </w:r>
            <w:r w:rsidR="009D24D5">
              <w:rPr>
                <w:noProof/>
                <w:webHidden/>
              </w:rPr>
              <w:tab/>
            </w:r>
            <w:r w:rsidR="009D24D5">
              <w:rPr>
                <w:noProof/>
                <w:webHidden/>
              </w:rPr>
              <w:fldChar w:fldCharType="begin"/>
            </w:r>
            <w:r w:rsidR="009D24D5">
              <w:rPr>
                <w:noProof/>
                <w:webHidden/>
              </w:rPr>
              <w:instrText xml:space="preserve"> PAGEREF _Toc462651935 \h </w:instrText>
            </w:r>
            <w:r w:rsidR="009D24D5">
              <w:rPr>
                <w:noProof/>
                <w:webHidden/>
              </w:rPr>
            </w:r>
            <w:r w:rsidR="009D24D5">
              <w:rPr>
                <w:noProof/>
                <w:webHidden/>
              </w:rPr>
              <w:fldChar w:fldCharType="separate"/>
            </w:r>
            <w:r w:rsidR="00E51A34">
              <w:rPr>
                <w:noProof/>
                <w:webHidden/>
              </w:rPr>
              <w:t>8</w:t>
            </w:r>
            <w:r w:rsidR="009D24D5">
              <w:rPr>
                <w:noProof/>
                <w:webHidden/>
              </w:rPr>
              <w:fldChar w:fldCharType="end"/>
            </w:r>
          </w:hyperlink>
        </w:p>
        <w:p w14:paraId="60729ED8" w14:textId="77777777" w:rsidR="009D24D5" w:rsidRDefault="00F745D3">
          <w:pPr>
            <w:pStyle w:val="TOC3"/>
            <w:tabs>
              <w:tab w:val="left" w:pos="1100"/>
              <w:tab w:val="right" w:leader="dot" w:pos="10790"/>
            </w:tabs>
            <w:rPr>
              <w:noProof/>
              <w:sz w:val="22"/>
              <w:szCs w:val="22"/>
              <w:lang w:val="en-AU" w:eastAsia="en-AU" w:bidi="ar-SA"/>
            </w:rPr>
          </w:pPr>
          <w:hyperlink w:anchor="_Toc462651936" w:history="1">
            <w:r w:rsidR="009D24D5" w:rsidRPr="00DA45F7">
              <w:rPr>
                <w:rStyle w:val="Hyperlink"/>
                <w:noProof/>
              </w:rPr>
              <w:t>3.1.2</w:t>
            </w:r>
            <w:r w:rsidR="009D24D5">
              <w:rPr>
                <w:noProof/>
                <w:sz w:val="22"/>
                <w:szCs w:val="22"/>
                <w:lang w:val="en-AU" w:eastAsia="en-AU" w:bidi="ar-SA"/>
              </w:rPr>
              <w:tab/>
            </w:r>
            <w:r w:rsidR="009D24D5" w:rsidRPr="00DA45F7">
              <w:rPr>
                <w:rStyle w:val="Hyperlink"/>
                <w:noProof/>
              </w:rPr>
              <w:t>Flood plume sampling (grab and passive samplers)</w:t>
            </w:r>
            <w:r w:rsidR="009D24D5">
              <w:rPr>
                <w:noProof/>
                <w:webHidden/>
              </w:rPr>
              <w:tab/>
            </w:r>
            <w:r w:rsidR="009D24D5">
              <w:rPr>
                <w:noProof/>
                <w:webHidden/>
              </w:rPr>
              <w:fldChar w:fldCharType="begin"/>
            </w:r>
            <w:r w:rsidR="009D24D5">
              <w:rPr>
                <w:noProof/>
                <w:webHidden/>
              </w:rPr>
              <w:instrText xml:space="preserve"> PAGEREF _Toc462651936 \h </w:instrText>
            </w:r>
            <w:r w:rsidR="009D24D5">
              <w:rPr>
                <w:noProof/>
                <w:webHidden/>
              </w:rPr>
            </w:r>
            <w:r w:rsidR="009D24D5">
              <w:rPr>
                <w:noProof/>
                <w:webHidden/>
              </w:rPr>
              <w:fldChar w:fldCharType="separate"/>
            </w:r>
            <w:r w:rsidR="00E51A34">
              <w:rPr>
                <w:noProof/>
                <w:webHidden/>
              </w:rPr>
              <w:t>12</w:t>
            </w:r>
            <w:r w:rsidR="009D24D5">
              <w:rPr>
                <w:noProof/>
                <w:webHidden/>
              </w:rPr>
              <w:fldChar w:fldCharType="end"/>
            </w:r>
          </w:hyperlink>
        </w:p>
        <w:p w14:paraId="2844A43B"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37" w:history="1">
            <w:r w:rsidR="009D24D5" w:rsidRPr="00DA45F7">
              <w:rPr>
                <w:rStyle w:val="Hyperlink"/>
                <w:noProof/>
                <w:lang w:val="en-AU"/>
              </w:rPr>
              <w:t>3.2</w:t>
            </w:r>
            <w:r w:rsidR="009D24D5">
              <w:rPr>
                <w:i w:val="0"/>
                <w:iCs w:val="0"/>
                <w:noProof/>
                <w:sz w:val="22"/>
                <w:szCs w:val="22"/>
                <w:lang w:val="en-AU" w:eastAsia="en-AU" w:bidi="ar-SA"/>
              </w:rPr>
              <w:tab/>
            </w:r>
            <w:r w:rsidR="009D24D5" w:rsidRPr="00DA45F7">
              <w:rPr>
                <w:rStyle w:val="Hyperlink"/>
                <w:noProof/>
                <w:lang w:val="en-AU"/>
              </w:rPr>
              <w:t>Fixed site monitoring for long-term trends</w:t>
            </w:r>
            <w:r w:rsidR="009D24D5">
              <w:rPr>
                <w:noProof/>
                <w:webHidden/>
              </w:rPr>
              <w:tab/>
            </w:r>
            <w:r w:rsidR="009D24D5">
              <w:rPr>
                <w:noProof/>
                <w:webHidden/>
              </w:rPr>
              <w:fldChar w:fldCharType="begin"/>
            </w:r>
            <w:r w:rsidR="009D24D5">
              <w:rPr>
                <w:noProof/>
                <w:webHidden/>
              </w:rPr>
              <w:instrText xml:space="preserve"> PAGEREF _Toc462651937 \h </w:instrText>
            </w:r>
            <w:r w:rsidR="009D24D5">
              <w:rPr>
                <w:noProof/>
                <w:webHidden/>
              </w:rPr>
            </w:r>
            <w:r w:rsidR="009D24D5">
              <w:rPr>
                <w:noProof/>
                <w:webHidden/>
              </w:rPr>
              <w:fldChar w:fldCharType="separate"/>
            </w:r>
            <w:r w:rsidR="00E51A34">
              <w:rPr>
                <w:noProof/>
                <w:webHidden/>
              </w:rPr>
              <w:t>14</w:t>
            </w:r>
            <w:r w:rsidR="009D24D5">
              <w:rPr>
                <w:noProof/>
                <w:webHidden/>
              </w:rPr>
              <w:fldChar w:fldCharType="end"/>
            </w:r>
          </w:hyperlink>
        </w:p>
        <w:p w14:paraId="6C5D2427"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38" w:history="1">
            <w:r w:rsidR="009D24D5" w:rsidRPr="00DA45F7">
              <w:rPr>
                <w:rStyle w:val="Hyperlink"/>
                <w:noProof/>
                <w:lang w:val="en-AU"/>
              </w:rPr>
              <w:t>3.3</w:t>
            </w:r>
            <w:r w:rsidR="009D24D5">
              <w:rPr>
                <w:i w:val="0"/>
                <w:iCs w:val="0"/>
                <w:noProof/>
                <w:sz w:val="22"/>
                <w:szCs w:val="22"/>
                <w:lang w:val="en-AU" w:eastAsia="en-AU" w:bidi="ar-SA"/>
              </w:rPr>
              <w:tab/>
            </w:r>
            <w:r w:rsidR="009D24D5" w:rsidRPr="00DA45F7">
              <w:rPr>
                <w:rStyle w:val="Hyperlink"/>
                <w:noProof/>
                <w:lang w:val="en-AU"/>
              </w:rPr>
              <w:t>Flood plume sampling</w:t>
            </w:r>
            <w:r w:rsidR="009D24D5">
              <w:rPr>
                <w:noProof/>
                <w:webHidden/>
              </w:rPr>
              <w:tab/>
            </w:r>
            <w:r w:rsidR="009D24D5">
              <w:rPr>
                <w:noProof/>
                <w:webHidden/>
              </w:rPr>
              <w:fldChar w:fldCharType="begin"/>
            </w:r>
            <w:r w:rsidR="009D24D5">
              <w:rPr>
                <w:noProof/>
                <w:webHidden/>
              </w:rPr>
              <w:instrText xml:space="preserve"> PAGEREF _Toc462651938 \h </w:instrText>
            </w:r>
            <w:r w:rsidR="009D24D5">
              <w:rPr>
                <w:noProof/>
                <w:webHidden/>
              </w:rPr>
            </w:r>
            <w:r w:rsidR="009D24D5">
              <w:rPr>
                <w:noProof/>
                <w:webHidden/>
              </w:rPr>
              <w:fldChar w:fldCharType="separate"/>
            </w:r>
            <w:r w:rsidR="00E51A34">
              <w:rPr>
                <w:noProof/>
                <w:webHidden/>
              </w:rPr>
              <w:t>15</w:t>
            </w:r>
            <w:r w:rsidR="009D24D5">
              <w:rPr>
                <w:noProof/>
                <w:webHidden/>
              </w:rPr>
              <w:fldChar w:fldCharType="end"/>
            </w:r>
          </w:hyperlink>
        </w:p>
        <w:p w14:paraId="4C40D943"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39" w:history="1">
            <w:r w:rsidR="009D24D5" w:rsidRPr="00DA45F7">
              <w:rPr>
                <w:rStyle w:val="Hyperlink"/>
                <w:noProof/>
                <w:lang w:val="en-AU"/>
              </w:rPr>
              <w:t>3.4</w:t>
            </w:r>
            <w:r w:rsidR="009D24D5">
              <w:rPr>
                <w:i w:val="0"/>
                <w:iCs w:val="0"/>
                <w:noProof/>
                <w:sz w:val="22"/>
                <w:szCs w:val="22"/>
                <w:lang w:val="en-AU" w:eastAsia="en-AU" w:bidi="ar-SA"/>
              </w:rPr>
              <w:tab/>
            </w:r>
            <w:r w:rsidR="009D24D5" w:rsidRPr="00DA45F7">
              <w:rPr>
                <w:rStyle w:val="Hyperlink"/>
                <w:noProof/>
                <w:lang w:val="en-AU"/>
              </w:rPr>
              <w:t>Target Chemicals</w:t>
            </w:r>
            <w:r w:rsidR="009D24D5">
              <w:rPr>
                <w:noProof/>
                <w:webHidden/>
              </w:rPr>
              <w:tab/>
            </w:r>
            <w:r w:rsidR="009D24D5">
              <w:rPr>
                <w:noProof/>
                <w:webHidden/>
              </w:rPr>
              <w:fldChar w:fldCharType="begin"/>
            </w:r>
            <w:r w:rsidR="009D24D5">
              <w:rPr>
                <w:noProof/>
                <w:webHidden/>
              </w:rPr>
              <w:instrText xml:space="preserve"> PAGEREF _Toc462651939 \h </w:instrText>
            </w:r>
            <w:r w:rsidR="009D24D5">
              <w:rPr>
                <w:noProof/>
                <w:webHidden/>
              </w:rPr>
            </w:r>
            <w:r w:rsidR="009D24D5">
              <w:rPr>
                <w:noProof/>
                <w:webHidden/>
              </w:rPr>
              <w:fldChar w:fldCharType="separate"/>
            </w:r>
            <w:r w:rsidR="00E51A34">
              <w:rPr>
                <w:noProof/>
                <w:webHidden/>
              </w:rPr>
              <w:t>15</w:t>
            </w:r>
            <w:r w:rsidR="009D24D5">
              <w:rPr>
                <w:noProof/>
                <w:webHidden/>
              </w:rPr>
              <w:fldChar w:fldCharType="end"/>
            </w:r>
          </w:hyperlink>
        </w:p>
        <w:p w14:paraId="6EDBCB29"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40" w:history="1">
            <w:r w:rsidR="009D24D5" w:rsidRPr="00DA45F7">
              <w:rPr>
                <w:rStyle w:val="Hyperlink"/>
                <w:noProof/>
                <w:lang w:val="en-GB"/>
              </w:rPr>
              <w:t>3.5</w:t>
            </w:r>
            <w:r w:rsidR="009D24D5">
              <w:rPr>
                <w:i w:val="0"/>
                <w:iCs w:val="0"/>
                <w:noProof/>
                <w:sz w:val="22"/>
                <w:szCs w:val="22"/>
                <w:lang w:val="en-AU" w:eastAsia="en-AU" w:bidi="ar-SA"/>
              </w:rPr>
              <w:tab/>
            </w:r>
            <w:r w:rsidR="009D24D5" w:rsidRPr="00DA45F7">
              <w:rPr>
                <w:rStyle w:val="Hyperlink"/>
                <w:noProof/>
                <w:lang w:val="en-GB"/>
              </w:rPr>
              <w:t>Mapping the frequency and extent of flood plumes (frequency maps)</w:t>
            </w:r>
            <w:r w:rsidR="009D24D5">
              <w:rPr>
                <w:noProof/>
                <w:webHidden/>
              </w:rPr>
              <w:tab/>
            </w:r>
            <w:r w:rsidR="009D24D5">
              <w:rPr>
                <w:noProof/>
                <w:webHidden/>
              </w:rPr>
              <w:fldChar w:fldCharType="begin"/>
            </w:r>
            <w:r w:rsidR="009D24D5">
              <w:rPr>
                <w:noProof/>
                <w:webHidden/>
              </w:rPr>
              <w:instrText xml:space="preserve"> PAGEREF _Toc462651940 \h </w:instrText>
            </w:r>
            <w:r w:rsidR="009D24D5">
              <w:rPr>
                <w:noProof/>
                <w:webHidden/>
              </w:rPr>
            </w:r>
            <w:r w:rsidR="009D24D5">
              <w:rPr>
                <w:noProof/>
                <w:webHidden/>
              </w:rPr>
              <w:fldChar w:fldCharType="separate"/>
            </w:r>
            <w:r w:rsidR="00E51A34">
              <w:rPr>
                <w:noProof/>
                <w:webHidden/>
              </w:rPr>
              <w:t>16</w:t>
            </w:r>
            <w:r w:rsidR="009D24D5">
              <w:rPr>
                <w:noProof/>
                <w:webHidden/>
              </w:rPr>
              <w:fldChar w:fldCharType="end"/>
            </w:r>
          </w:hyperlink>
        </w:p>
        <w:p w14:paraId="010DCC59"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41" w:history="1">
            <w:r w:rsidR="009D24D5" w:rsidRPr="00DA45F7">
              <w:rPr>
                <w:rStyle w:val="Hyperlink"/>
                <w:noProof/>
              </w:rPr>
              <w:t>3.6</w:t>
            </w:r>
            <w:r w:rsidR="009D24D5">
              <w:rPr>
                <w:i w:val="0"/>
                <w:iCs w:val="0"/>
                <w:noProof/>
                <w:sz w:val="22"/>
                <w:szCs w:val="22"/>
                <w:lang w:val="en-AU" w:eastAsia="en-AU" w:bidi="ar-SA"/>
              </w:rPr>
              <w:tab/>
            </w:r>
            <w:r w:rsidR="009D24D5" w:rsidRPr="00DA45F7">
              <w:rPr>
                <w:rStyle w:val="Hyperlink"/>
                <w:noProof/>
              </w:rPr>
              <w:t>Reporting Metrics</w:t>
            </w:r>
            <w:r w:rsidR="009D24D5">
              <w:rPr>
                <w:noProof/>
                <w:webHidden/>
              </w:rPr>
              <w:tab/>
            </w:r>
            <w:r w:rsidR="009D24D5">
              <w:rPr>
                <w:noProof/>
                <w:webHidden/>
              </w:rPr>
              <w:fldChar w:fldCharType="begin"/>
            </w:r>
            <w:r w:rsidR="009D24D5">
              <w:rPr>
                <w:noProof/>
                <w:webHidden/>
              </w:rPr>
              <w:instrText xml:space="preserve"> PAGEREF _Toc462651941 \h </w:instrText>
            </w:r>
            <w:r w:rsidR="009D24D5">
              <w:rPr>
                <w:noProof/>
                <w:webHidden/>
              </w:rPr>
            </w:r>
            <w:r w:rsidR="009D24D5">
              <w:rPr>
                <w:noProof/>
                <w:webHidden/>
              </w:rPr>
              <w:fldChar w:fldCharType="separate"/>
            </w:r>
            <w:r w:rsidR="00E51A34">
              <w:rPr>
                <w:noProof/>
                <w:webHidden/>
              </w:rPr>
              <w:t>16</w:t>
            </w:r>
            <w:r w:rsidR="009D24D5">
              <w:rPr>
                <w:noProof/>
                <w:webHidden/>
              </w:rPr>
              <w:fldChar w:fldCharType="end"/>
            </w:r>
          </w:hyperlink>
        </w:p>
        <w:p w14:paraId="09652DE7"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42" w:history="1">
            <w:r w:rsidR="009D24D5" w:rsidRPr="00DA45F7">
              <w:rPr>
                <w:rStyle w:val="Hyperlink"/>
                <w:noProof/>
              </w:rPr>
              <w:t>4</w:t>
            </w:r>
            <w:r w:rsidR="009D24D5">
              <w:rPr>
                <w:b w:val="0"/>
                <w:bCs w:val="0"/>
                <w:noProof/>
                <w:sz w:val="22"/>
                <w:szCs w:val="22"/>
                <w:lang w:val="en-AU" w:eastAsia="en-AU" w:bidi="ar-SA"/>
              </w:rPr>
              <w:tab/>
            </w:r>
            <w:r w:rsidR="009D24D5" w:rsidRPr="00DA45F7">
              <w:rPr>
                <w:rStyle w:val="Hyperlink"/>
                <w:noProof/>
              </w:rPr>
              <w:t>RESULTS</w:t>
            </w:r>
            <w:r w:rsidR="009D24D5">
              <w:rPr>
                <w:noProof/>
                <w:webHidden/>
              </w:rPr>
              <w:tab/>
            </w:r>
            <w:r w:rsidR="009D24D5">
              <w:rPr>
                <w:noProof/>
                <w:webHidden/>
              </w:rPr>
              <w:fldChar w:fldCharType="begin"/>
            </w:r>
            <w:r w:rsidR="009D24D5">
              <w:rPr>
                <w:noProof/>
                <w:webHidden/>
              </w:rPr>
              <w:instrText xml:space="preserve"> PAGEREF _Toc462651942 \h </w:instrText>
            </w:r>
            <w:r w:rsidR="009D24D5">
              <w:rPr>
                <w:noProof/>
                <w:webHidden/>
              </w:rPr>
            </w:r>
            <w:r w:rsidR="009D24D5">
              <w:rPr>
                <w:noProof/>
                <w:webHidden/>
              </w:rPr>
              <w:fldChar w:fldCharType="separate"/>
            </w:r>
            <w:r w:rsidR="00E51A34">
              <w:rPr>
                <w:noProof/>
                <w:webHidden/>
              </w:rPr>
              <w:t>18</w:t>
            </w:r>
            <w:r w:rsidR="009D24D5">
              <w:rPr>
                <w:noProof/>
                <w:webHidden/>
              </w:rPr>
              <w:fldChar w:fldCharType="end"/>
            </w:r>
          </w:hyperlink>
        </w:p>
        <w:p w14:paraId="099EB9E9"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43" w:history="1">
            <w:r w:rsidR="009D24D5" w:rsidRPr="00DA45F7">
              <w:rPr>
                <w:rStyle w:val="Hyperlink"/>
                <w:noProof/>
                <w:lang w:val="en-AU"/>
              </w:rPr>
              <w:t>4.1</w:t>
            </w:r>
            <w:r w:rsidR="009D24D5">
              <w:rPr>
                <w:i w:val="0"/>
                <w:iCs w:val="0"/>
                <w:noProof/>
                <w:sz w:val="22"/>
                <w:szCs w:val="22"/>
                <w:lang w:val="en-AU" w:eastAsia="en-AU" w:bidi="ar-SA"/>
              </w:rPr>
              <w:tab/>
            </w:r>
            <w:r w:rsidR="009D24D5" w:rsidRPr="00DA45F7">
              <w:rPr>
                <w:rStyle w:val="Hyperlink"/>
                <w:noProof/>
                <w:lang w:val="en-AU"/>
              </w:rPr>
              <w:t>Pressures influencing pesticide concentrations in the Reef</w:t>
            </w:r>
            <w:r w:rsidR="009D24D5">
              <w:rPr>
                <w:noProof/>
                <w:webHidden/>
              </w:rPr>
              <w:tab/>
            </w:r>
            <w:r w:rsidR="009D24D5">
              <w:rPr>
                <w:noProof/>
                <w:webHidden/>
              </w:rPr>
              <w:fldChar w:fldCharType="begin"/>
            </w:r>
            <w:r w:rsidR="009D24D5">
              <w:rPr>
                <w:noProof/>
                <w:webHidden/>
              </w:rPr>
              <w:instrText xml:space="preserve"> PAGEREF _Toc462651943 \h </w:instrText>
            </w:r>
            <w:r w:rsidR="009D24D5">
              <w:rPr>
                <w:noProof/>
                <w:webHidden/>
              </w:rPr>
            </w:r>
            <w:r w:rsidR="009D24D5">
              <w:rPr>
                <w:noProof/>
                <w:webHidden/>
              </w:rPr>
              <w:fldChar w:fldCharType="separate"/>
            </w:r>
            <w:r w:rsidR="00E51A34">
              <w:rPr>
                <w:noProof/>
                <w:webHidden/>
              </w:rPr>
              <w:t>18</w:t>
            </w:r>
            <w:r w:rsidR="009D24D5">
              <w:rPr>
                <w:noProof/>
                <w:webHidden/>
              </w:rPr>
              <w:fldChar w:fldCharType="end"/>
            </w:r>
          </w:hyperlink>
        </w:p>
        <w:p w14:paraId="294EC719" w14:textId="77777777" w:rsidR="009D24D5" w:rsidRDefault="00F745D3">
          <w:pPr>
            <w:pStyle w:val="TOC3"/>
            <w:tabs>
              <w:tab w:val="left" w:pos="1100"/>
              <w:tab w:val="right" w:leader="dot" w:pos="10790"/>
            </w:tabs>
            <w:rPr>
              <w:noProof/>
              <w:sz w:val="22"/>
              <w:szCs w:val="22"/>
              <w:lang w:val="en-AU" w:eastAsia="en-AU" w:bidi="ar-SA"/>
            </w:rPr>
          </w:pPr>
          <w:hyperlink w:anchor="_Toc462651944" w:history="1">
            <w:r w:rsidR="009D24D5" w:rsidRPr="00DA45F7">
              <w:rPr>
                <w:rStyle w:val="Hyperlink"/>
                <w:noProof/>
              </w:rPr>
              <w:t>4.1.1</w:t>
            </w:r>
            <w:r w:rsidR="009D24D5">
              <w:rPr>
                <w:noProof/>
                <w:sz w:val="22"/>
                <w:szCs w:val="22"/>
                <w:lang w:val="en-AU" w:eastAsia="en-AU" w:bidi="ar-SA"/>
              </w:rPr>
              <w:tab/>
            </w:r>
            <w:r w:rsidR="009D24D5" w:rsidRPr="00DA45F7">
              <w:rPr>
                <w:rStyle w:val="Hyperlink"/>
                <w:noProof/>
              </w:rPr>
              <w:t>Rainfall</w:t>
            </w:r>
            <w:r w:rsidR="009D24D5">
              <w:rPr>
                <w:noProof/>
                <w:webHidden/>
              </w:rPr>
              <w:tab/>
            </w:r>
            <w:r w:rsidR="009D24D5">
              <w:rPr>
                <w:noProof/>
                <w:webHidden/>
              </w:rPr>
              <w:fldChar w:fldCharType="begin"/>
            </w:r>
            <w:r w:rsidR="009D24D5">
              <w:rPr>
                <w:noProof/>
                <w:webHidden/>
              </w:rPr>
              <w:instrText xml:space="preserve"> PAGEREF _Toc462651944 \h </w:instrText>
            </w:r>
            <w:r w:rsidR="009D24D5">
              <w:rPr>
                <w:noProof/>
                <w:webHidden/>
              </w:rPr>
            </w:r>
            <w:r w:rsidR="009D24D5">
              <w:rPr>
                <w:noProof/>
                <w:webHidden/>
              </w:rPr>
              <w:fldChar w:fldCharType="separate"/>
            </w:r>
            <w:r w:rsidR="00E51A34">
              <w:rPr>
                <w:noProof/>
                <w:webHidden/>
              </w:rPr>
              <w:t>18</w:t>
            </w:r>
            <w:r w:rsidR="009D24D5">
              <w:rPr>
                <w:noProof/>
                <w:webHidden/>
              </w:rPr>
              <w:fldChar w:fldCharType="end"/>
            </w:r>
          </w:hyperlink>
        </w:p>
        <w:p w14:paraId="4E38C2B1" w14:textId="77777777" w:rsidR="009D24D5" w:rsidRDefault="00F745D3">
          <w:pPr>
            <w:pStyle w:val="TOC3"/>
            <w:tabs>
              <w:tab w:val="left" w:pos="1100"/>
              <w:tab w:val="right" w:leader="dot" w:pos="10790"/>
            </w:tabs>
            <w:rPr>
              <w:noProof/>
              <w:sz w:val="22"/>
              <w:szCs w:val="22"/>
              <w:lang w:val="en-AU" w:eastAsia="en-AU" w:bidi="ar-SA"/>
            </w:rPr>
          </w:pPr>
          <w:hyperlink w:anchor="_Toc462651945" w:history="1">
            <w:r w:rsidR="009D24D5" w:rsidRPr="00DA45F7">
              <w:rPr>
                <w:rStyle w:val="Hyperlink"/>
                <w:noProof/>
              </w:rPr>
              <w:t>4.1.2</w:t>
            </w:r>
            <w:r w:rsidR="009D24D5">
              <w:rPr>
                <w:noProof/>
                <w:sz w:val="22"/>
                <w:szCs w:val="22"/>
                <w:lang w:val="en-AU" w:eastAsia="en-AU" w:bidi="ar-SA"/>
              </w:rPr>
              <w:tab/>
            </w:r>
            <w:r w:rsidR="009D24D5" w:rsidRPr="00DA45F7">
              <w:rPr>
                <w:rStyle w:val="Hyperlink"/>
                <w:noProof/>
              </w:rPr>
              <w:t>Cyclones</w:t>
            </w:r>
            <w:r w:rsidR="009D24D5">
              <w:rPr>
                <w:noProof/>
                <w:webHidden/>
              </w:rPr>
              <w:tab/>
            </w:r>
            <w:r w:rsidR="009D24D5">
              <w:rPr>
                <w:noProof/>
                <w:webHidden/>
              </w:rPr>
              <w:fldChar w:fldCharType="begin"/>
            </w:r>
            <w:r w:rsidR="009D24D5">
              <w:rPr>
                <w:noProof/>
                <w:webHidden/>
              </w:rPr>
              <w:instrText xml:space="preserve"> PAGEREF _Toc462651945 \h </w:instrText>
            </w:r>
            <w:r w:rsidR="009D24D5">
              <w:rPr>
                <w:noProof/>
                <w:webHidden/>
              </w:rPr>
            </w:r>
            <w:r w:rsidR="009D24D5">
              <w:rPr>
                <w:noProof/>
                <w:webHidden/>
              </w:rPr>
              <w:fldChar w:fldCharType="separate"/>
            </w:r>
            <w:r w:rsidR="00E51A34">
              <w:rPr>
                <w:noProof/>
                <w:webHidden/>
              </w:rPr>
              <w:t>21</w:t>
            </w:r>
            <w:r w:rsidR="009D24D5">
              <w:rPr>
                <w:noProof/>
                <w:webHidden/>
              </w:rPr>
              <w:fldChar w:fldCharType="end"/>
            </w:r>
          </w:hyperlink>
        </w:p>
        <w:p w14:paraId="7291CFC2" w14:textId="77777777" w:rsidR="009D24D5" w:rsidRDefault="00F745D3">
          <w:pPr>
            <w:pStyle w:val="TOC3"/>
            <w:tabs>
              <w:tab w:val="left" w:pos="1100"/>
              <w:tab w:val="right" w:leader="dot" w:pos="10790"/>
            </w:tabs>
            <w:rPr>
              <w:noProof/>
              <w:sz w:val="22"/>
              <w:szCs w:val="22"/>
              <w:lang w:val="en-AU" w:eastAsia="en-AU" w:bidi="ar-SA"/>
            </w:rPr>
          </w:pPr>
          <w:hyperlink w:anchor="_Toc462651946" w:history="1">
            <w:r w:rsidR="009D24D5" w:rsidRPr="00DA45F7">
              <w:rPr>
                <w:rStyle w:val="Hyperlink"/>
                <w:noProof/>
              </w:rPr>
              <w:t>4.1.3</w:t>
            </w:r>
            <w:r w:rsidR="009D24D5">
              <w:rPr>
                <w:noProof/>
                <w:sz w:val="22"/>
                <w:szCs w:val="22"/>
                <w:lang w:val="en-AU" w:eastAsia="en-AU" w:bidi="ar-SA"/>
              </w:rPr>
              <w:tab/>
            </w:r>
            <w:r w:rsidR="009D24D5" w:rsidRPr="00DA45F7">
              <w:rPr>
                <w:rStyle w:val="Hyperlink"/>
                <w:noProof/>
              </w:rPr>
              <w:t>River discharge</w:t>
            </w:r>
            <w:r w:rsidR="009D24D5">
              <w:rPr>
                <w:noProof/>
                <w:webHidden/>
              </w:rPr>
              <w:tab/>
            </w:r>
            <w:r w:rsidR="009D24D5">
              <w:rPr>
                <w:noProof/>
                <w:webHidden/>
              </w:rPr>
              <w:fldChar w:fldCharType="begin"/>
            </w:r>
            <w:r w:rsidR="009D24D5">
              <w:rPr>
                <w:noProof/>
                <w:webHidden/>
              </w:rPr>
              <w:instrText xml:space="preserve"> PAGEREF _Toc462651946 \h </w:instrText>
            </w:r>
            <w:r w:rsidR="009D24D5">
              <w:rPr>
                <w:noProof/>
                <w:webHidden/>
              </w:rPr>
            </w:r>
            <w:r w:rsidR="009D24D5">
              <w:rPr>
                <w:noProof/>
                <w:webHidden/>
              </w:rPr>
              <w:fldChar w:fldCharType="separate"/>
            </w:r>
            <w:r w:rsidR="00E51A34">
              <w:rPr>
                <w:noProof/>
                <w:webHidden/>
              </w:rPr>
              <w:t>22</w:t>
            </w:r>
            <w:r w:rsidR="009D24D5">
              <w:rPr>
                <w:noProof/>
                <w:webHidden/>
              </w:rPr>
              <w:fldChar w:fldCharType="end"/>
            </w:r>
          </w:hyperlink>
        </w:p>
        <w:p w14:paraId="5EDC4AB3" w14:textId="77777777" w:rsidR="009D24D5" w:rsidRDefault="00F745D3">
          <w:pPr>
            <w:pStyle w:val="TOC3"/>
            <w:tabs>
              <w:tab w:val="left" w:pos="1100"/>
              <w:tab w:val="right" w:leader="dot" w:pos="10790"/>
            </w:tabs>
            <w:rPr>
              <w:noProof/>
              <w:sz w:val="22"/>
              <w:szCs w:val="22"/>
              <w:lang w:val="en-AU" w:eastAsia="en-AU" w:bidi="ar-SA"/>
            </w:rPr>
          </w:pPr>
          <w:hyperlink w:anchor="_Toc462651947" w:history="1">
            <w:r w:rsidR="009D24D5" w:rsidRPr="00DA45F7">
              <w:rPr>
                <w:rStyle w:val="Hyperlink"/>
                <w:noProof/>
              </w:rPr>
              <w:t>4.1.4</w:t>
            </w:r>
            <w:r w:rsidR="009D24D5">
              <w:rPr>
                <w:noProof/>
                <w:sz w:val="22"/>
                <w:szCs w:val="22"/>
                <w:lang w:val="en-AU" w:eastAsia="en-AU" w:bidi="ar-SA"/>
              </w:rPr>
              <w:tab/>
            </w:r>
            <w:r w:rsidR="009D24D5" w:rsidRPr="00DA45F7">
              <w:rPr>
                <w:rStyle w:val="Hyperlink"/>
                <w:noProof/>
              </w:rPr>
              <w:t>Pesticide loads</w:t>
            </w:r>
            <w:r w:rsidR="009D24D5">
              <w:rPr>
                <w:noProof/>
                <w:webHidden/>
              </w:rPr>
              <w:tab/>
            </w:r>
            <w:r w:rsidR="009D24D5">
              <w:rPr>
                <w:noProof/>
                <w:webHidden/>
              </w:rPr>
              <w:fldChar w:fldCharType="begin"/>
            </w:r>
            <w:r w:rsidR="009D24D5">
              <w:rPr>
                <w:noProof/>
                <w:webHidden/>
              </w:rPr>
              <w:instrText xml:space="preserve"> PAGEREF _Toc462651947 \h </w:instrText>
            </w:r>
            <w:r w:rsidR="009D24D5">
              <w:rPr>
                <w:noProof/>
                <w:webHidden/>
              </w:rPr>
            </w:r>
            <w:r w:rsidR="009D24D5">
              <w:rPr>
                <w:noProof/>
                <w:webHidden/>
              </w:rPr>
              <w:fldChar w:fldCharType="separate"/>
            </w:r>
            <w:r w:rsidR="00E51A34">
              <w:rPr>
                <w:noProof/>
                <w:webHidden/>
              </w:rPr>
              <w:t>23</w:t>
            </w:r>
            <w:r w:rsidR="009D24D5">
              <w:rPr>
                <w:noProof/>
                <w:webHidden/>
              </w:rPr>
              <w:fldChar w:fldCharType="end"/>
            </w:r>
          </w:hyperlink>
        </w:p>
        <w:p w14:paraId="442A8D5E" w14:textId="77777777" w:rsidR="009D24D5" w:rsidRDefault="00F745D3">
          <w:pPr>
            <w:pStyle w:val="TOC3"/>
            <w:tabs>
              <w:tab w:val="left" w:pos="1100"/>
              <w:tab w:val="right" w:leader="dot" w:pos="10790"/>
            </w:tabs>
            <w:rPr>
              <w:noProof/>
              <w:sz w:val="22"/>
              <w:szCs w:val="22"/>
              <w:lang w:val="en-AU" w:eastAsia="en-AU" w:bidi="ar-SA"/>
            </w:rPr>
          </w:pPr>
          <w:hyperlink w:anchor="_Toc462651948" w:history="1">
            <w:r w:rsidR="009D24D5" w:rsidRPr="00DA45F7">
              <w:rPr>
                <w:rStyle w:val="Hyperlink"/>
                <w:noProof/>
              </w:rPr>
              <w:t>4.1.5</w:t>
            </w:r>
            <w:r w:rsidR="009D24D5">
              <w:rPr>
                <w:noProof/>
                <w:sz w:val="22"/>
                <w:szCs w:val="22"/>
                <w:lang w:val="en-AU" w:eastAsia="en-AU" w:bidi="ar-SA"/>
              </w:rPr>
              <w:tab/>
            </w:r>
            <w:r w:rsidR="009D24D5" w:rsidRPr="00DA45F7">
              <w:rPr>
                <w:rStyle w:val="Hyperlink"/>
                <w:noProof/>
              </w:rPr>
              <w:t>Land use</w:t>
            </w:r>
            <w:r w:rsidR="009D24D5">
              <w:rPr>
                <w:noProof/>
                <w:webHidden/>
              </w:rPr>
              <w:tab/>
            </w:r>
            <w:r w:rsidR="009D24D5">
              <w:rPr>
                <w:noProof/>
                <w:webHidden/>
              </w:rPr>
              <w:fldChar w:fldCharType="begin"/>
            </w:r>
            <w:r w:rsidR="009D24D5">
              <w:rPr>
                <w:noProof/>
                <w:webHidden/>
              </w:rPr>
              <w:instrText xml:space="preserve"> PAGEREF _Toc462651948 \h </w:instrText>
            </w:r>
            <w:r w:rsidR="009D24D5">
              <w:rPr>
                <w:noProof/>
                <w:webHidden/>
              </w:rPr>
            </w:r>
            <w:r w:rsidR="009D24D5">
              <w:rPr>
                <w:noProof/>
                <w:webHidden/>
              </w:rPr>
              <w:fldChar w:fldCharType="separate"/>
            </w:r>
            <w:r w:rsidR="00E51A34">
              <w:rPr>
                <w:noProof/>
                <w:webHidden/>
              </w:rPr>
              <w:t>24</w:t>
            </w:r>
            <w:r w:rsidR="009D24D5">
              <w:rPr>
                <w:noProof/>
                <w:webHidden/>
              </w:rPr>
              <w:fldChar w:fldCharType="end"/>
            </w:r>
          </w:hyperlink>
        </w:p>
        <w:p w14:paraId="2F7E2EE8" w14:textId="77777777" w:rsidR="009D24D5" w:rsidRDefault="00F745D3">
          <w:pPr>
            <w:pStyle w:val="TOC3"/>
            <w:tabs>
              <w:tab w:val="left" w:pos="1100"/>
              <w:tab w:val="right" w:leader="dot" w:pos="10790"/>
            </w:tabs>
            <w:rPr>
              <w:noProof/>
              <w:sz w:val="22"/>
              <w:szCs w:val="22"/>
              <w:lang w:val="en-AU" w:eastAsia="en-AU" w:bidi="ar-SA"/>
            </w:rPr>
          </w:pPr>
          <w:hyperlink w:anchor="_Toc462651949" w:history="1">
            <w:r w:rsidR="009D24D5" w:rsidRPr="00DA45F7">
              <w:rPr>
                <w:rStyle w:val="Hyperlink"/>
                <w:noProof/>
              </w:rPr>
              <w:t>4.1.6</w:t>
            </w:r>
            <w:r w:rsidR="009D24D5">
              <w:rPr>
                <w:noProof/>
                <w:sz w:val="22"/>
                <w:szCs w:val="22"/>
                <w:lang w:val="en-AU" w:eastAsia="en-AU" w:bidi="ar-SA"/>
              </w:rPr>
              <w:tab/>
            </w:r>
            <w:r w:rsidR="009D24D5" w:rsidRPr="00DA45F7">
              <w:rPr>
                <w:rStyle w:val="Hyperlink"/>
                <w:noProof/>
              </w:rPr>
              <w:t>Other pressures</w:t>
            </w:r>
            <w:r w:rsidR="009D24D5">
              <w:rPr>
                <w:noProof/>
                <w:webHidden/>
              </w:rPr>
              <w:tab/>
            </w:r>
            <w:r w:rsidR="009D24D5">
              <w:rPr>
                <w:noProof/>
                <w:webHidden/>
              </w:rPr>
              <w:fldChar w:fldCharType="begin"/>
            </w:r>
            <w:r w:rsidR="009D24D5">
              <w:rPr>
                <w:noProof/>
                <w:webHidden/>
              </w:rPr>
              <w:instrText xml:space="preserve"> PAGEREF _Toc462651949 \h </w:instrText>
            </w:r>
            <w:r w:rsidR="009D24D5">
              <w:rPr>
                <w:noProof/>
                <w:webHidden/>
              </w:rPr>
            </w:r>
            <w:r w:rsidR="009D24D5">
              <w:rPr>
                <w:noProof/>
                <w:webHidden/>
              </w:rPr>
              <w:fldChar w:fldCharType="separate"/>
            </w:r>
            <w:r w:rsidR="00E51A34">
              <w:rPr>
                <w:noProof/>
                <w:webHidden/>
              </w:rPr>
              <w:t>27</w:t>
            </w:r>
            <w:r w:rsidR="009D24D5">
              <w:rPr>
                <w:noProof/>
                <w:webHidden/>
              </w:rPr>
              <w:fldChar w:fldCharType="end"/>
            </w:r>
          </w:hyperlink>
        </w:p>
        <w:p w14:paraId="16DA595E"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50" w:history="1">
            <w:r w:rsidR="009D24D5" w:rsidRPr="00DA45F7">
              <w:rPr>
                <w:rStyle w:val="Hyperlink"/>
                <w:noProof/>
                <w:lang w:val="en-AU"/>
              </w:rPr>
              <w:t>4.2</w:t>
            </w:r>
            <w:r w:rsidR="009D24D5">
              <w:rPr>
                <w:i w:val="0"/>
                <w:iCs w:val="0"/>
                <w:noProof/>
                <w:sz w:val="22"/>
                <w:szCs w:val="22"/>
                <w:lang w:val="en-AU" w:eastAsia="en-AU" w:bidi="ar-SA"/>
              </w:rPr>
              <w:tab/>
            </w:r>
            <w:r w:rsidR="009D24D5" w:rsidRPr="00DA45F7">
              <w:rPr>
                <w:rStyle w:val="Hyperlink"/>
                <w:noProof/>
                <w:lang w:val="en-AU"/>
              </w:rPr>
              <w:t>Reef-wide results 2014-2015</w:t>
            </w:r>
            <w:r w:rsidR="009D24D5">
              <w:rPr>
                <w:noProof/>
                <w:webHidden/>
              </w:rPr>
              <w:tab/>
            </w:r>
            <w:r w:rsidR="009D24D5">
              <w:rPr>
                <w:noProof/>
                <w:webHidden/>
              </w:rPr>
              <w:fldChar w:fldCharType="begin"/>
            </w:r>
            <w:r w:rsidR="009D24D5">
              <w:rPr>
                <w:noProof/>
                <w:webHidden/>
              </w:rPr>
              <w:instrText xml:space="preserve"> PAGEREF _Toc462651950 \h </w:instrText>
            </w:r>
            <w:r w:rsidR="009D24D5">
              <w:rPr>
                <w:noProof/>
                <w:webHidden/>
              </w:rPr>
            </w:r>
            <w:r w:rsidR="009D24D5">
              <w:rPr>
                <w:noProof/>
                <w:webHidden/>
              </w:rPr>
              <w:fldChar w:fldCharType="separate"/>
            </w:r>
            <w:r w:rsidR="00E51A34">
              <w:rPr>
                <w:noProof/>
                <w:webHidden/>
              </w:rPr>
              <w:t>27</w:t>
            </w:r>
            <w:r w:rsidR="009D24D5">
              <w:rPr>
                <w:noProof/>
                <w:webHidden/>
              </w:rPr>
              <w:fldChar w:fldCharType="end"/>
            </w:r>
          </w:hyperlink>
        </w:p>
        <w:p w14:paraId="51A331E1" w14:textId="77777777" w:rsidR="009D24D5" w:rsidRDefault="00F745D3">
          <w:pPr>
            <w:pStyle w:val="TOC3"/>
            <w:tabs>
              <w:tab w:val="left" w:pos="1100"/>
              <w:tab w:val="right" w:leader="dot" w:pos="10790"/>
            </w:tabs>
            <w:rPr>
              <w:noProof/>
              <w:sz w:val="22"/>
              <w:szCs w:val="22"/>
              <w:lang w:val="en-AU" w:eastAsia="en-AU" w:bidi="ar-SA"/>
            </w:rPr>
          </w:pPr>
          <w:hyperlink w:anchor="_Toc462651951" w:history="1">
            <w:r w:rsidR="009D24D5" w:rsidRPr="00DA45F7">
              <w:rPr>
                <w:rStyle w:val="Hyperlink"/>
                <w:noProof/>
              </w:rPr>
              <w:t>4.2.1</w:t>
            </w:r>
            <w:r w:rsidR="009D24D5">
              <w:rPr>
                <w:noProof/>
                <w:sz w:val="22"/>
                <w:szCs w:val="22"/>
                <w:lang w:val="en-AU" w:eastAsia="en-AU" w:bidi="ar-SA"/>
              </w:rPr>
              <w:tab/>
            </w:r>
            <w:r w:rsidR="009D24D5" w:rsidRPr="00DA45F7">
              <w:rPr>
                <w:rStyle w:val="Hyperlink"/>
                <w:noProof/>
              </w:rPr>
              <w:t>Fixed site passive sampler return record</w:t>
            </w:r>
            <w:r w:rsidR="009D24D5">
              <w:rPr>
                <w:noProof/>
                <w:webHidden/>
              </w:rPr>
              <w:tab/>
            </w:r>
            <w:r w:rsidR="009D24D5">
              <w:rPr>
                <w:noProof/>
                <w:webHidden/>
              </w:rPr>
              <w:fldChar w:fldCharType="begin"/>
            </w:r>
            <w:r w:rsidR="009D24D5">
              <w:rPr>
                <w:noProof/>
                <w:webHidden/>
              </w:rPr>
              <w:instrText xml:space="preserve"> PAGEREF _Toc462651951 \h </w:instrText>
            </w:r>
            <w:r w:rsidR="009D24D5">
              <w:rPr>
                <w:noProof/>
                <w:webHidden/>
              </w:rPr>
            </w:r>
            <w:r w:rsidR="009D24D5">
              <w:rPr>
                <w:noProof/>
                <w:webHidden/>
              </w:rPr>
              <w:fldChar w:fldCharType="separate"/>
            </w:r>
            <w:r w:rsidR="00E51A34">
              <w:rPr>
                <w:noProof/>
                <w:webHidden/>
              </w:rPr>
              <w:t>27</w:t>
            </w:r>
            <w:r w:rsidR="009D24D5">
              <w:rPr>
                <w:noProof/>
                <w:webHidden/>
              </w:rPr>
              <w:fldChar w:fldCharType="end"/>
            </w:r>
          </w:hyperlink>
        </w:p>
        <w:p w14:paraId="7CBD708F" w14:textId="77777777" w:rsidR="009D24D5" w:rsidRDefault="00F745D3">
          <w:pPr>
            <w:pStyle w:val="TOC3"/>
            <w:tabs>
              <w:tab w:val="left" w:pos="1100"/>
              <w:tab w:val="right" w:leader="dot" w:pos="10790"/>
            </w:tabs>
            <w:rPr>
              <w:noProof/>
              <w:sz w:val="22"/>
              <w:szCs w:val="22"/>
              <w:lang w:val="en-AU" w:eastAsia="en-AU" w:bidi="ar-SA"/>
            </w:rPr>
          </w:pPr>
          <w:hyperlink w:anchor="_Toc462651952" w:history="1">
            <w:r w:rsidR="009D24D5" w:rsidRPr="00DA45F7">
              <w:rPr>
                <w:rStyle w:val="Hyperlink"/>
                <w:noProof/>
              </w:rPr>
              <w:t>4.2.2</w:t>
            </w:r>
            <w:r w:rsidR="009D24D5">
              <w:rPr>
                <w:noProof/>
                <w:sz w:val="22"/>
                <w:szCs w:val="22"/>
                <w:lang w:val="en-AU" w:eastAsia="en-AU" w:bidi="ar-SA"/>
              </w:rPr>
              <w:tab/>
            </w:r>
            <w:r w:rsidR="009D24D5" w:rsidRPr="00DA45F7">
              <w:rPr>
                <w:rStyle w:val="Hyperlink"/>
                <w:noProof/>
              </w:rPr>
              <w:t>Reef-wide summary pesticide results</w:t>
            </w:r>
            <w:r w:rsidR="009D24D5">
              <w:rPr>
                <w:noProof/>
                <w:webHidden/>
              </w:rPr>
              <w:tab/>
            </w:r>
            <w:r w:rsidR="009D24D5">
              <w:rPr>
                <w:noProof/>
                <w:webHidden/>
              </w:rPr>
              <w:fldChar w:fldCharType="begin"/>
            </w:r>
            <w:r w:rsidR="009D24D5">
              <w:rPr>
                <w:noProof/>
                <w:webHidden/>
              </w:rPr>
              <w:instrText xml:space="preserve"> PAGEREF _Toc462651952 \h </w:instrText>
            </w:r>
            <w:r w:rsidR="009D24D5">
              <w:rPr>
                <w:noProof/>
                <w:webHidden/>
              </w:rPr>
            </w:r>
            <w:r w:rsidR="009D24D5">
              <w:rPr>
                <w:noProof/>
                <w:webHidden/>
              </w:rPr>
              <w:fldChar w:fldCharType="separate"/>
            </w:r>
            <w:r w:rsidR="00E51A34">
              <w:rPr>
                <w:noProof/>
                <w:webHidden/>
              </w:rPr>
              <w:t>29</w:t>
            </w:r>
            <w:r w:rsidR="009D24D5">
              <w:rPr>
                <w:noProof/>
                <w:webHidden/>
              </w:rPr>
              <w:fldChar w:fldCharType="end"/>
            </w:r>
          </w:hyperlink>
        </w:p>
        <w:p w14:paraId="0A940667"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53" w:history="1">
            <w:r w:rsidR="009D24D5" w:rsidRPr="00DA45F7">
              <w:rPr>
                <w:rStyle w:val="Hyperlink"/>
                <w:noProof/>
                <w:lang w:val="en-AU"/>
              </w:rPr>
              <w:t>4.3</w:t>
            </w:r>
            <w:r w:rsidR="009D24D5">
              <w:rPr>
                <w:i w:val="0"/>
                <w:iCs w:val="0"/>
                <w:noProof/>
                <w:sz w:val="22"/>
                <w:szCs w:val="22"/>
                <w:lang w:val="en-AU" w:eastAsia="en-AU" w:bidi="ar-SA"/>
              </w:rPr>
              <w:tab/>
            </w:r>
            <w:r w:rsidR="009D24D5" w:rsidRPr="00DA45F7">
              <w:rPr>
                <w:rStyle w:val="Hyperlink"/>
                <w:noProof/>
                <w:lang w:val="en-AU"/>
              </w:rPr>
              <w:t>Regional results and discussion</w:t>
            </w:r>
            <w:r w:rsidR="009D24D5">
              <w:rPr>
                <w:noProof/>
                <w:webHidden/>
              </w:rPr>
              <w:tab/>
            </w:r>
            <w:r w:rsidR="009D24D5">
              <w:rPr>
                <w:noProof/>
                <w:webHidden/>
              </w:rPr>
              <w:fldChar w:fldCharType="begin"/>
            </w:r>
            <w:r w:rsidR="009D24D5">
              <w:rPr>
                <w:noProof/>
                <w:webHidden/>
              </w:rPr>
              <w:instrText xml:space="preserve"> PAGEREF _Toc462651953 \h </w:instrText>
            </w:r>
            <w:r w:rsidR="009D24D5">
              <w:rPr>
                <w:noProof/>
                <w:webHidden/>
              </w:rPr>
            </w:r>
            <w:r w:rsidR="009D24D5">
              <w:rPr>
                <w:noProof/>
                <w:webHidden/>
              </w:rPr>
              <w:fldChar w:fldCharType="separate"/>
            </w:r>
            <w:r w:rsidR="00E51A34">
              <w:rPr>
                <w:noProof/>
                <w:webHidden/>
              </w:rPr>
              <w:t>31</w:t>
            </w:r>
            <w:r w:rsidR="009D24D5">
              <w:rPr>
                <w:noProof/>
                <w:webHidden/>
              </w:rPr>
              <w:fldChar w:fldCharType="end"/>
            </w:r>
          </w:hyperlink>
        </w:p>
        <w:p w14:paraId="6BC658FC" w14:textId="77777777" w:rsidR="009D24D5" w:rsidRDefault="00F745D3">
          <w:pPr>
            <w:pStyle w:val="TOC3"/>
            <w:tabs>
              <w:tab w:val="left" w:pos="1100"/>
              <w:tab w:val="right" w:leader="dot" w:pos="10790"/>
            </w:tabs>
            <w:rPr>
              <w:noProof/>
              <w:sz w:val="22"/>
              <w:szCs w:val="22"/>
              <w:lang w:val="en-AU" w:eastAsia="en-AU" w:bidi="ar-SA"/>
            </w:rPr>
          </w:pPr>
          <w:hyperlink w:anchor="_Toc462651954" w:history="1">
            <w:r w:rsidR="009D24D5" w:rsidRPr="00DA45F7">
              <w:rPr>
                <w:rStyle w:val="Hyperlink"/>
                <w:noProof/>
              </w:rPr>
              <w:t>4.3.1</w:t>
            </w:r>
            <w:r w:rsidR="009D24D5">
              <w:rPr>
                <w:noProof/>
                <w:sz w:val="22"/>
                <w:szCs w:val="22"/>
                <w:lang w:val="en-AU" w:eastAsia="en-AU" w:bidi="ar-SA"/>
              </w:rPr>
              <w:tab/>
            </w:r>
            <w:r w:rsidR="009D24D5" w:rsidRPr="00DA45F7">
              <w:rPr>
                <w:rStyle w:val="Hyperlink"/>
                <w:noProof/>
              </w:rPr>
              <w:t>Wet Tropics</w:t>
            </w:r>
            <w:r w:rsidR="009D24D5">
              <w:rPr>
                <w:noProof/>
                <w:webHidden/>
              </w:rPr>
              <w:tab/>
            </w:r>
            <w:r w:rsidR="009D24D5">
              <w:rPr>
                <w:noProof/>
                <w:webHidden/>
              </w:rPr>
              <w:fldChar w:fldCharType="begin"/>
            </w:r>
            <w:r w:rsidR="009D24D5">
              <w:rPr>
                <w:noProof/>
                <w:webHidden/>
              </w:rPr>
              <w:instrText xml:space="preserve"> PAGEREF _Toc462651954 \h </w:instrText>
            </w:r>
            <w:r w:rsidR="009D24D5">
              <w:rPr>
                <w:noProof/>
                <w:webHidden/>
              </w:rPr>
            </w:r>
            <w:r w:rsidR="009D24D5">
              <w:rPr>
                <w:noProof/>
                <w:webHidden/>
              </w:rPr>
              <w:fldChar w:fldCharType="separate"/>
            </w:r>
            <w:r w:rsidR="00E51A34">
              <w:rPr>
                <w:noProof/>
                <w:webHidden/>
              </w:rPr>
              <w:t>31</w:t>
            </w:r>
            <w:r w:rsidR="009D24D5">
              <w:rPr>
                <w:noProof/>
                <w:webHidden/>
              </w:rPr>
              <w:fldChar w:fldCharType="end"/>
            </w:r>
          </w:hyperlink>
        </w:p>
        <w:p w14:paraId="3350A4E6" w14:textId="77777777" w:rsidR="009D24D5" w:rsidRDefault="00F745D3">
          <w:pPr>
            <w:pStyle w:val="TOC3"/>
            <w:tabs>
              <w:tab w:val="left" w:pos="1100"/>
              <w:tab w:val="right" w:leader="dot" w:pos="10790"/>
            </w:tabs>
            <w:rPr>
              <w:noProof/>
              <w:sz w:val="22"/>
              <w:szCs w:val="22"/>
              <w:lang w:val="en-AU" w:eastAsia="en-AU" w:bidi="ar-SA"/>
            </w:rPr>
          </w:pPr>
          <w:hyperlink w:anchor="_Toc462651955" w:history="1">
            <w:r w:rsidR="009D24D5" w:rsidRPr="00DA45F7">
              <w:rPr>
                <w:rStyle w:val="Hyperlink"/>
                <w:noProof/>
              </w:rPr>
              <w:t>4.3.2</w:t>
            </w:r>
            <w:r w:rsidR="009D24D5">
              <w:rPr>
                <w:noProof/>
                <w:sz w:val="22"/>
                <w:szCs w:val="22"/>
                <w:lang w:val="en-AU" w:eastAsia="en-AU" w:bidi="ar-SA"/>
              </w:rPr>
              <w:tab/>
            </w:r>
            <w:r w:rsidR="009D24D5" w:rsidRPr="00DA45F7">
              <w:rPr>
                <w:rStyle w:val="Hyperlink"/>
                <w:noProof/>
              </w:rPr>
              <w:t>Burdekin Region</w:t>
            </w:r>
            <w:r w:rsidR="009D24D5">
              <w:rPr>
                <w:noProof/>
                <w:webHidden/>
              </w:rPr>
              <w:tab/>
            </w:r>
            <w:r w:rsidR="009D24D5">
              <w:rPr>
                <w:noProof/>
                <w:webHidden/>
              </w:rPr>
              <w:fldChar w:fldCharType="begin"/>
            </w:r>
            <w:r w:rsidR="009D24D5">
              <w:rPr>
                <w:noProof/>
                <w:webHidden/>
              </w:rPr>
              <w:instrText xml:space="preserve"> PAGEREF _Toc462651955 \h </w:instrText>
            </w:r>
            <w:r w:rsidR="009D24D5">
              <w:rPr>
                <w:noProof/>
                <w:webHidden/>
              </w:rPr>
            </w:r>
            <w:r w:rsidR="009D24D5">
              <w:rPr>
                <w:noProof/>
                <w:webHidden/>
              </w:rPr>
              <w:fldChar w:fldCharType="separate"/>
            </w:r>
            <w:r w:rsidR="00E51A34">
              <w:rPr>
                <w:noProof/>
                <w:webHidden/>
              </w:rPr>
              <w:t>35</w:t>
            </w:r>
            <w:r w:rsidR="009D24D5">
              <w:rPr>
                <w:noProof/>
                <w:webHidden/>
              </w:rPr>
              <w:fldChar w:fldCharType="end"/>
            </w:r>
          </w:hyperlink>
        </w:p>
        <w:p w14:paraId="37D2CE04" w14:textId="77777777" w:rsidR="009D24D5" w:rsidRDefault="00F745D3">
          <w:pPr>
            <w:pStyle w:val="TOC3"/>
            <w:tabs>
              <w:tab w:val="left" w:pos="1100"/>
              <w:tab w:val="right" w:leader="dot" w:pos="10790"/>
            </w:tabs>
            <w:rPr>
              <w:noProof/>
              <w:sz w:val="22"/>
              <w:szCs w:val="22"/>
              <w:lang w:val="en-AU" w:eastAsia="en-AU" w:bidi="ar-SA"/>
            </w:rPr>
          </w:pPr>
          <w:hyperlink w:anchor="_Toc462651956" w:history="1">
            <w:r w:rsidR="009D24D5" w:rsidRPr="00DA45F7">
              <w:rPr>
                <w:rStyle w:val="Hyperlink"/>
                <w:noProof/>
              </w:rPr>
              <w:t>4.3.3</w:t>
            </w:r>
            <w:r w:rsidR="009D24D5">
              <w:rPr>
                <w:noProof/>
                <w:sz w:val="22"/>
                <w:szCs w:val="22"/>
                <w:lang w:val="en-AU" w:eastAsia="en-AU" w:bidi="ar-SA"/>
              </w:rPr>
              <w:tab/>
            </w:r>
            <w:r w:rsidR="009D24D5" w:rsidRPr="00DA45F7">
              <w:rPr>
                <w:rStyle w:val="Hyperlink"/>
                <w:noProof/>
              </w:rPr>
              <w:t>Barratta Creek case study</w:t>
            </w:r>
            <w:r w:rsidR="009D24D5">
              <w:rPr>
                <w:noProof/>
                <w:webHidden/>
              </w:rPr>
              <w:tab/>
            </w:r>
            <w:r w:rsidR="009D24D5">
              <w:rPr>
                <w:noProof/>
                <w:webHidden/>
              </w:rPr>
              <w:fldChar w:fldCharType="begin"/>
            </w:r>
            <w:r w:rsidR="009D24D5">
              <w:rPr>
                <w:noProof/>
                <w:webHidden/>
              </w:rPr>
              <w:instrText xml:space="preserve"> PAGEREF _Toc462651956 \h </w:instrText>
            </w:r>
            <w:r w:rsidR="009D24D5">
              <w:rPr>
                <w:noProof/>
                <w:webHidden/>
              </w:rPr>
            </w:r>
            <w:r w:rsidR="009D24D5">
              <w:rPr>
                <w:noProof/>
                <w:webHidden/>
              </w:rPr>
              <w:fldChar w:fldCharType="separate"/>
            </w:r>
            <w:r w:rsidR="00E51A34">
              <w:rPr>
                <w:noProof/>
                <w:webHidden/>
              </w:rPr>
              <w:t>37</w:t>
            </w:r>
            <w:r w:rsidR="009D24D5">
              <w:rPr>
                <w:noProof/>
                <w:webHidden/>
              </w:rPr>
              <w:fldChar w:fldCharType="end"/>
            </w:r>
          </w:hyperlink>
        </w:p>
        <w:p w14:paraId="2D364DB7" w14:textId="77777777" w:rsidR="009D24D5" w:rsidRDefault="00F745D3">
          <w:pPr>
            <w:pStyle w:val="TOC3"/>
            <w:tabs>
              <w:tab w:val="left" w:pos="1100"/>
              <w:tab w:val="right" w:leader="dot" w:pos="10790"/>
            </w:tabs>
            <w:rPr>
              <w:noProof/>
              <w:sz w:val="22"/>
              <w:szCs w:val="22"/>
              <w:lang w:val="en-AU" w:eastAsia="en-AU" w:bidi="ar-SA"/>
            </w:rPr>
          </w:pPr>
          <w:hyperlink w:anchor="_Toc462651957" w:history="1">
            <w:r w:rsidR="009D24D5" w:rsidRPr="00DA45F7">
              <w:rPr>
                <w:rStyle w:val="Hyperlink"/>
                <w:noProof/>
              </w:rPr>
              <w:t>4.3.4</w:t>
            </w:r>
            <w:r w:rsidR="009D24D5">
              <w:rPr>
                <w:noProof/>
                <w:sz w:val="22"/>
                <w:szCs w:val="22"/>
                <w:lang w:val="en-AU" w:eastAsia="en-AU" w:bidi="ar-SA"/>
              </w:rPr>
              <w:tab/>
            </w:r>
            <w:r w:rsidR="009D24D5" w:rsidRPr="00DA45F7">
              <w:rPr>
                <w:rStyle w:val="Hyperlink"/>
                <w:noProof/>
              </w:rPr>
              <w:t>Mackay Whitsunday Region</w:t>
            </w:r>
            <w:r w:rsidR="009D24D5">
              <w:rPr>
                <w:noProof/>
                <w:webHidden/>
              </w:rPr>
              <w:tab/>
            </w:r>
            <w:r w:rsidR="009D24D5">
              <w:rPr>
                <w:noProof/>
                <w:webHidden/>
              </w:rPr>
              <w:fldChar w:fldCharType="begin"/>
            </w:r>
            <w:r w:rsidR="009D24D5">
              <w:rPr>
                <w:noProof/>
                <w:webHidden/>
              </w:rPr>
              <w:instrText xml:space="preserve"> PAGEREF _Toc462651957 \h </w:instrText>
            </w:r>
            <w:r w:rsidR="009D24D5">
              <w:rPr>
                <w:noProof/>
                <w:webHidden/>
              </w:rPr>
            </w:r>
            <w:r w:rsidR="009D24D5">
              <w:rPr>
                <w:noProof/>
                <w:webHidden/>
              </w:rPr>
              <w:fldChar w:fldCharType="separate"/>
            </w:r>
            <w:r w:rsidR="00E51A34">
              <w:rPr>
                <w:noProof/>
                <w:webHidden/>
              </w:rPr>
              <w:t>39</w:t>
            </w:r>
            <w:r w:rsidR="009D24D5">
              <w:rPr>
                <w:noProof/>
                <w:webHidden/>
              </w:rPr>
              <w:fldChar w:fldCharType="end"/>
            </w:r>
          </w:hyperlink>
        </w:p>
        <w:p w14:paraId="17502C4A" w14:textId="77777777" w:rsidR="009D24D5" w:rsidRDefault="00F745D3">
          <w:pPr>
            <w:pStyle w:val="TOC3"/>
            <w:tabs>
              <w:tab w:val="left" w:pos="1100"/>
              <w:tab w:val="right" w:leader="dot" w:pos="10790"/>
            </w:tabs>
            <w:rPr>
              <w:noProof/>
              <w:sz w:val="22"/>
              <w:szCs w:val="22"/>
              <w:lang w:val="en-AU" w:eastAsia="en-AU" w:bidi="ar-SA"/>
            </w:rPr>
          </w:pPr>
          <w:hyperlink w:anchor="_Toc462651958" w:history="1">
            <w:r w:rsidR="009D24D5" w:rsidRPr="00DA45F7">
              <w:rPr>
                <w:rStyle w:val="Hyperlink"/>
                <w:noProof/>
              </w:rPr>
              <w:t>4.3.5</w:t>
            </w:r>
            <w:r w:rsidR="009D24D5">
              <w:rPr>
                <w:noProof/>
                <w:sz w:val="22"/>
                <w:szCs w:val="22"/>
                <w:lang w:val="en-AU" w:eastAsia="en-AU" w:bidi="ar-SA"/>
              </w:rPr>
              <w:tab/>
            </w:r>
            <w:r w:rsidR="009D24D5" w:rsidRPr="00DA45F7">
              <w:rPr>
                <w:rStyle w:val="Hyperlink"/>
                <w:noProof/>
              </w:rPr>
              <w:t>Fitzroy Region</w:t>
            </w:r>
            <w:r w:rsidR="009D24D5">
              <w:rPr>
                <w:noProof/>
                <w:webHidden/>
              </w:rPr>
              <w:tab/>
            </w:r>
            <w:r w:rsidR="009D24D5">
              <w:rPr>
                <w:noProof/>
                <w:webHidden/>
              </w:rPr>
              <w:fldChar w:fldCharType="begin"/>
            </w:r>
            <w:r w:rsidR="009D24D5">
              <w:rPr>
                <w:noProof/>
                <w:webHidden/>
              </w:rPr>
              <w:instrText xml:space="preserve"> PAGEREF _Toc462651958 \h </w:instrText>
            </w:r>
            <w:r w:rsidR="009D24D5">
              <w:rPr>
                <w:noProof/>
                <w:webHidden/>
              </w:rPr>
            </w:r>
            <w:r w:rsidR="009D24D5">
              <w:rPr>
                <w:noProof/>
                <w:webHidden/>
              </w:rPr>
              <w:fldChar w:fldCharType="separate"/>
            </w:r>
            <w:r w:rsidR="00E51A34">
              <w:rPr>
                <w:noProof/>
                <w:webHidden/>
              </w:rPr>
              <w:t>40</w:t>
            </w:r>
            <w:r w:rsidR="009D24D5">
              <w:rPr>
                <w:noProof/>
                <w:webHidden/>
              </w:rPr>
              <w:fldChar w:fldCharType="end"/>
            </w:r>
          </w:hyperlink>
        </w:p>
        <w:p w14:paraId="79BFDF4E"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59" w:history="1">
            <w:r w:rsidR="009D24D5" w:rsidRPr="00DA45F7">
              <w:rPr>
                <w:rStyle w:val="Hyperlink"/>
                <w:noProof/>
              </w:rPr>
              <w:t>5</w:t>
            </w:r>
            <w:r w:rsidR="009D24D5">
              <w:rPr>
                <w:b w:val="0"/>
                <w:bCs w:val="0"/>
                <w:noProof/>
                <w:sz w:val="22"/>
                <w:szCs w:val="22"/>
                <w:lang w:val="en-AU" w:eastAsia="en-AU" w:bidi="ar-SA"/>
              </w:rPr>
              <w:tab/>
            </w:r>
            <w:r w:rsidR="009D24D5" w:rsidRPr="00DA45F7">
              <w:rPr>
                <w:rStyle w:val="Hyperlink"/>
                <w:noProof/>
              </w:rPr>
              <w:t>Discussion</w:t>
            </w:r>
            <w:r w:rsidR="009D24D5">
              <w:rPr>
                <w:noProof/>
                <w:webHidden/>
              </w:rPr>
              <w:tab/>
            </w:r>
            <w:r w:rsidR="009D24D5">
              <w:rPr>
                <w:noProof/>
                <w:webHidden/>
              </w:rPr>
              <w:fldChar w:fldCharType="begin"/>
            </w:r>
            <w:r w:rsidR="009D24D5">
              <w:rPr>
                <w:noProof/>
                <w:webHidden/>
              </w:rPr>
              <w:instrText xml:space="preserve"> PAGEREF _Toc462651959 \h </w:instrText>
            </w:r>
            <w:r w:rsidR="009D24D5">
              <w:rPr>
                <w:noProof/>
                <w:webHidden/>
              </w:rPr>
            </w:r>
            <w:r w:rsidR="009D24D5">
              <w:rPr>
                <w:noProof/>
                <w:webHidden/>
              </w:rPr>
              <w:fldChar w:fldCharType="separate"/>
            </w:r>
            <w:r w:rsidR="00E51A34">
              <w:rPr>
                <w:noProof/>
                <w:webHidden/>
              </w:rPr>
              <w:t>42</w:t>
            </w:r>
            <w:r w:rsidR="009D24D5">
              <w:rPr>
                <w:noProof/>
                <w:webHidden/>
              </w:rPr>
              <w:fldChar w:fldCharType="end"/>
            </w:r>
          </w:hyperlink>
        </w:p>
        <w:p w14:paraId="50E6BE07"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0" w:history="1">
            <w:r w:rsidR="009D24D5" w:rsidRPr="00DA45F7">
              <w:rPr>
                <w:rStyle w:val="Hyperlink"/>
                <w:noProof/>
              </w:rPr>
              <w:t>6</w:t>
            </w:r>
            <w:r w:rsidR="009D24D5">
              <w:rPr>
                <w:b w:val="0"/>
                <w:bCs w:val="0"/>
                <w:noProof/>
                <w:sz w:val="22"/>
                <w:szCs w:val="22"/>
                <w:lang w:val="en-AU" w:eastAsia="en-AU" w:bidi="ar-SA"/>
              </w:rPr>
              <w:tab/>
            </w:r>
            <w:r w:rsidR="009D24D5" w:rsidRPr="00DA45F7">
              <w:rPr>
                <w:rStyle w:val="Hyperlink"/>
                <w:noProof/>
              </w:rPr>
              <w:t>SUMMARY</w:t>
            </w:r>
            <w:r w:rsidR="009D24D5">
              <w:rPr>
                <w:noProof/>
                <w:webHidden/>
              </w:rPr>
              <w:tab/>
            </w:r>
            <w:r w:rsidR="009D24D5">
              <w:rPr>
                <w:noProof/>
                <w:webHidden/>
              </w:rPr>
              <w:fldChar w:fldCharType="begin"/>
            </w:r>
            <w:r w:rsidR="009D24D5">
              <w:rPr>
                <w:noProof/>
                <w:webHidden/>
              </w:rPr>
              <w:instrText xml:space="preserve"> PAGEREF _Toc462651960 \h </w:instrText>
            </w:r>
            <w:r w:rsidR="009D24D5">
              <w:rPr>
                <w:noProof/>
                <w:webHidden/>
              </w:rPr>
            </w:r>
            <w:r w:rsidR="009D24D5">
              <w:rPr>
                <w:noProof/>
                <w:webHidden/>
              </w:rPr>
              <w:fldChar w:fldCharType="separate"/>
            </w:r>
            <w:r w:rsidR="00E51A34">
              <w:rPr>
                <w:noProof/>
                <w:webHidden/>
              </w:rPr>
              <w:t>46</w:t>
            </w:r>
            <w:r w:rsidR="009D24D5">
              <w:rPr>
                <w:noProof/>
                <w:webHidden/>
              </w:rPr>
              <w:fldChar w:fldCharType="end"/>
            </w:r>
          </w:hyperlink>
        </w:p>
        <w:p w14:paraId="3F14F4C6"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1" w:history="1">
            <w:r w:rsidR="009D24D5" w:rsidRPr="00DA45F7">
              <w:rPr>
                <w:rStyle w:val="Hyperlink"/>
                <w:noProof/>
              </w:rPr>
              <w:t>7</w:t>
            </w:r>
            <w:r w:rsidR="009D24D5">
              <w:rPr>
                <w:b w:val="0"/>
                <w:bCs w:val="0"/>
                <w:noProof/>
                <w:sz w:val="22"/>
                <w:szCs w:val="22"/>
                <w:lang w:val="en-AU" w:eastAsia="en-AU" w:bidi="ar-SA"/>
              </w:rPr>
              <w:tab/>
            </w:r>
            <w:r w:rsidR="009D24D5" w:rsidRPr="00DA45F7">
              <w:rPr>
                <w:rStyle w:val="Hyperlink"/>
                <w:noProof/>
              </w:rPr>
              <w:t>DIRECTIONS FOR MONITORING</w:t>
            </w:r>
            <w:r w:rsidR="009D24D5">
              <w:rPr>
                <w:noProof/>
                <w:webHidden/>
              </w:rPr>
              <w:tab/>
            </w:r>
            <w:r w:rsidR="009D24D5">
              <w:rPr>
                <w:noProof/>
                <w:webHidden/>
              </w:rPr>
              <w:fldChar w:fldCharType="begin"/>
            </w:r>
            <w:r w:rsidR="009D24D5">
              <w:rPr>
                <w:noProof/>
                <w:webHidden/>
              </w:rPr>
              <w:instrText xml:space="preserve"> PAGEREF _Toc462651961 \h </w:instrText>
            </w:r>
            <w:r w:rsidR="009D24D5">
              <w:rPr>
                <w:noProof/>
                <w:webHidden/>
              </w:rPr>
            </w:r>
            <w:r w:rsidR="009D24D5">
              <w:rPr>
                <w:noProof/>
                <w:webHidden/>
              </w:rPr>
              <w:fldChar w:fldCharType="separate"/>
            </w:r>
            <w:r w:rsidR="00E51A34">
              <w:rPr>
                <w:noProof/>
                <w:webHidden/>
              </w:rPr>
              <w:t>47</w:t>
            </w:r>
            <w:r w:rsidR="009D24D5">
              <w:rPr>
                <w:noProof/>
                <w:webHidden/>
              </w:rPr>
              <w:fldChar w:fldCharType="end"/>
            </w:r>
          </w:hyperlink>
        </w:p>
        <w:p w14:paraId="21FF2ECB"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2" w:history="1">
            <w:r w:rsidR="009D24D5" w:rsidRPr="00DA45F7">
              <w:rPr>
                <w:rStyle w:val="Hyperlink"/>
                <w:noProof/>
              </w:rPr>
              <w:t>8</w:t>
            </w:r>
            <w:r w:rsidR="009D24D5">
              <w:rPr>
                <w:b w:val="0"/>
                <w:bCs w:val="0"/>
                <w:noProof/>
                <w:sz w:val="22"/>
                <w:szCs w:val="22"/>
                <w:lang w:val="en-AU" w:eastAsia="en-AU" w:bidi="ar-SA"/>
              </w:rPr>
              <w:tab/>
            </w:r>
            <w:r w:rsidR="009D24D5" w:rsidRPr="00DA45F7">
              <w:rPr>
                <w:rStyle w:val="Hyperlink"/>
                <w:noProof/>
              </w:rPr>
              <w:t>REFERENCES</w:t>
            </w:r>
            <w:r w:rsidR="009D24D5">
              <w:rPr>
                <w:noProof/>
                <w:webHidden/>
              </w:rPr>
              <w:tab/>
            </w:r>
            <w:r w:rsidR="009D24D5">
              <w:rPr>
                <w:noProof/>
                <w:webHidden/>
              </w:rPr>
              <w:fldChar w:fldCharType="begin"/>
            </w:r>
            <w:r w:rsidR="009D24D5">
              <w:rPr>
                <w:noProof/>
                <w:webHidden/>
              </w:rPr>
              <w:instrText xml:space="preserve"> PAGEREF _Toc462651962 \h </w:instrText>
            </w:r>
            <w:r w:rsidR="009D24D5">
              <w:rPr>
                <w:noProof/>
                <w:webHidden/>
              </w:rPr>
            </w:r>
            <w:r w:rsidR="009D24D5">
              <w:rPr>
                <w:noProof/>
                <w:webHidden/>
              </w:rPr>
              <w:fldChar w:fldCharType="separate"/>
            </w:r>
            <w:r w:rsidR="00E51A34">
              <w:rPr>
                <w:noProof/>
                <w:webHidden/>
              </w:rPr>
              <w:t>49</w:t>
            </w:r>
            <w:r w:rsidR="009D24D5">
              <w:rPr>
                <w:noProof/>
                <w:webHidden/>
              </w:rPr>
              <w:fldChar w:fldCharType="end"/>
            </w:r>
          </w:hyperlink>
        </w:p>
        <w:p w14:paraId="55B2D393"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3" w:history="1">
            <w:r w:rsidR="009D24D5" w:rsidRPr="00DA45F7">
              <w:rPr>
                <w:rStyle w:val="Hyperlink"/>
                <w:noProof/>
              </w:rPr>
              <w:t>9</w:t>
            </w:r>
            <w:r w:rsidR="009D24D5">
              <w:rPr>
                <w:b w:val="0"/>
                <w:bCs w:val="0"/>
                <w:noProof/>
                <w:sz w:val="22"/>
                <w:szCs w:val="22"/>
                <w:lang w:val="en-AU" w:eastAsia="en-AU" w:bidi="ar-SA"/>
              </w:rPr>
              <w:tab/>
            </w:r>
            <w:r w:rsidR="009D24D5" w:rsidRPr="00DA45F7">
              <w:rPr>
                <w:rStyle w:val="Hyperlink"/>
                <w:noProof/>
              </w:rPr>
              <w:t>APPENDIX A:  Complete analyte list for LCMS and GCMS analysis</w:t>
            </w:r>
            <w:r w:rsidR="009D24D5">
              <w:rPr>
                <w:noProof/>
                <w:webHidden/>
              </w:rPr>
              <w:tab/>
            </w:r>
            <w:r w:rsidR="009D24D5">
              <w:rPr>
                <w:noProof/>
                <w:webHidden/>
              </w:rPr>
              <w:fldChar w:fldCharType="begin"/>
            </w:r>
            <w:r w:rsidR="009D24D5">
              <w:rPr>
                <w:noProof/>
                <w:webHidden/>
              </w:rPr>
              <w:instrText xml:space="preserve"> PAGEREF _Toc462651963 \h </w:instrText>
            </w:r>
            <w:r w:rsidR="009D24D5">
              <w:rPr>
                <w:noProof/>
                <w:webHidden/>
              </w:rPr>
            </w:r>
            <w:r w:rsidR="009D24D5">
              <w:rPr>
                <w:noProof/>
                <w:webHidden/>
              </w:rPr>
              <w:fldChar w:fldCharType="separate"/>
            </w:r>
            <w:r w:rsidR="00E51A34">
              <w:rPr>
                <w:noProof/>
                <w:webHidden/>
              </w:rPr>
              <w:t>53</w:t>
            </w:r>
            <w:r w:rsidR="009D24D5">
              <w:rPr>
                <w:noProof/>
                <w:webHidden/>
              </w:rPr>
              <w:fldChar w:fldCharType="end"/>
            </w:r>
          </w:hyperlink>
        </w:p>
        <w:p w14:paraId="486B8039"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64" w:history="1">
            <w:r w:rsidR="009D24D5" w:rsidRPr="00DA45F7">
              <w:rPr>
                <w:rStyle w:val="Hyperlink"/>
                <w:noProof/>
                <w:lang w:val="en-AU"/>
              </w:rPr>
              <w:t>9.1</w:t>
            </w:r>
            <w:r w:rsidR="009D24D5">
              <w:rPr>
                <w:i w:val="0"/>
                <w:iCs w:val="0"/>
                <w:noProof/>
                <w:sz w:val="22"/>
                <w:szCs w:val="22"/>
                <w:lang w:val="en-AU" w:eastAsia="en-AU" w:bidi="ar-SA"/>
              </w:rPr>
              <w:tab/>
            </w:r>
            <w:r w:rsidR="009D24D5" w:rsidRPr="00DA45F7">
              <w:rPr>
                <w:rStyle w:val="Hyperlink"/>
                <w:noProof/>
                <w:lang w:val="en-AU"/>
              </w:rPr>
              <w:t>Sources of uncertainty</w:t>
            </w:r>
            <w:r w:rsidR="009D24D5">
              <w:rPr>
                <w:noProof/>
                <w:webHidden/>
              </w:rPr>
              <w:tab/>
            </w:r>
            <w:r w:rsidR="009D24D5">
              <w:rPr>
                <w:noProof/>
                <w:webHidden/>
              </w:rPr>
              <w:fldChar w:fldCharType="begin"/>
            </w:r>
            <w:r w:rsidR="009D24D5">
              <w:rPr>
                <w:noProof/>
                <w:webHidden/>
              </w:rPr>
              <w:instrText xml:space="preserve"> PAGEREF _Toc462651964 \h </w:instrText>
            </w:r>
            <w:r w:rsidR="009D24D5">
              <w:rPr>
                <w:noProof/>
                <w:webHidden/>
              </w:rPr>
            </w:r>
            <w:r w:rsidR="009D24D5">
              <w:rPr>
                <w:noProof/>
                <w:webHidden/>
              </w:rPr>
              <w:fldChar w:fldCharType="separate"/>
            </w:r>
            <w:r w:rsidR="00E51A34">
              <w:rPr>
                <w:noProof/>
                <w:webHidden/>
              </w:rPr>
              <w:t>53</w:t>
            </w:r>
            <w:r w:rsidR="009D24D5">
              <w:rPr>
                <w:noProof/>
                <w:webHidden/>
              </w:rPr>
              <w:fldChar w:fldCharType="end"/>
            </w:r>
          </w:hyperlink>
        </w:p>
        <w:p w14:paraId="5F22F208"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65" w:history="1">
            <w:r w:rsidR="009D24D5" w:rsidRPr="00DA45F7">
              <w:rPr>
                <w:rStyle w:val="Hyperlink"/>
                <w:noProof/>
              </w:rPr>
              <w:t>9.2</w:t>
            </w:r>
            <w:r w:rsidR="009D24D5">
              <w:rPr>
                <w:i w:val="0"/>
                <w:iCs w:val="0"/>
                <w:noProof/>
                <w:sz w:val="22"/>
                <w:szCs w:val="22"/>
                <w:lang w:val="en-AU" w:eastAsia="en-AU" w:bidi="ar-SA"/>
              </w:rPr>
              <w:tab/>
            </w:r>
            <w:r w:rsidR="009D24D5" w:rsidRPr="00DA45F7">
              <w:rPr>
                <w:rStyle w:val="Hyperlink"/>
                <w:noProof/>
              </w:rPr>
              <w:t>Analytical details, target chemicals and quality assurance quality control (QAQC)</w:t>
            </w:r>
            <w:r w:rsidR="009D24D5">
              <w:rPr>
                <w:noProof/>
                <w:webHidden/>
              </w:rPr>
              <w:tab/>
            </w:r>
            <w:r w:rsidR="009D24D5">
              <w:rPr>
                <w:noProof/>
                <w:webHidden/>
              </w:rPr>
              <w:fldChar w:fldCharType="begin"/>
            </w:r>
            <w:r w:rsidR="009D24D5">
              <w:rPr>
                <w:noProof/>
                <w:webHidden/>
              </w:rPr>
              <w:instrText xml:space="preserve"> PAGEREF _Toc462651965 \h </w:instrText>
            </w:r>
            <w:r w:rsidR="009D24D5">
              <w:rPr>
                <w:noProof/>
                <w:webHidden/>
              </w:rPr>
            </w:r>
            <w:r w:rsidR="009D24D5">
              <w:rPr>
                <w:noProof/>
                <w:webHidden/>
              </w:rPr>
              <w:fldChar w:fldCharType="separate"/>
            </w:r>
            <w:r w:rsidR="00E51A34">
              <w:rPr>
                <w:noProof/>
                <w:webHidden/>
              </w:rPr>
              <w:t>55</w:t>
            </w:r>
            <w:r w:rsidR="009D24D5">
              <w:rPr>
                <w:noProof/>
                <w:webHidden/>
              </w:rPr>
              <w:fldChar w:fldCharType="end"/>
            </w:r>
          </w:hyperlink>
        </w:p>
        <w:p w14:paraId="5AAC0940"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66" w:history="1">
            <w:r w:rsidR="009D24D5" w:rsidRPr="00DA45F7">
              <w:rPr>
                <w:rStyle w:val="Hyperlink"/>
                <w:noProof/>
              </w:rPr>
              <w:t>9.3</w:t>
            </w:r>
            <w:r w:rsidR="009D24D5">
              <w:rPr>
                <w:i w:val="0"/>
                <w:iCs w:val="0"/>
                <w:noProof/>
                <w:sz w:val="22"/>
                <w:szCs w:val="22"/>
                <w:lang w:val="en-AU" w:eastAsia="en-AU" w:bidi="ar-SA"/>
              </w:rPr>
              <w:tab/>
            </w:r>
            <w:r w:rsidR="009D24D5" w:rsidRPr="00DA45F7">
              <w:rPr>
                <w:rStyle w:val="Hyperlink"/>
                <w:noProof/>
              </w:rPr>
              <w:t>Flood plume mapping</w:t>
            </w:r>
            <w:r w:rsidR="009D24D5">
              <w:rPr>
                <w:noProof/>
                <w:webHidden/>
              </w:rPr>
              <w:tab/>
            </w:r>
            <w:r w:rsidR="009D24D5">
              <w:rPr>
                <w:noProof/>
                <w:webHidden/>
              </w:rPr>
              <w:fldChar w:fldCharType="begin"/>
            </w:r>
            <w:r w:rsidR="009D24D5">
              <w:rPr>
                <w:noProof/>
                <w:webHidden/>
              </w:rPr>
              <w:instrText xml:space="preserve"> PAGEREF _Toc462651966 \h </w:instrText>
            </w:r>
            <w:r w:rsidR="009D24D5">
              <w:rPr>
                <w:noProof/>
                <w:webHidden/>
              </w:rPr>
            </w:r>
            <w:r w:rsidR="009D24D5">
              <w:rPr>
                <w:noProof/>
                <w:webHidden/>
              </w:rPr>
              <w:fldChar w:fldCharType="separate"/>
            </w:r>
            <w:r w:rsidR="00E51A34">
              <w:rPr>
                <w:noProof/>
                <w:webHidden/>
              </w:rPr>
              <w:t>59</w:t>
            </w:r>
            <w:r w:rsidR="009D24D5">
              <w:rPr>
                <w:noProof/>
                <w:webHidden/>
              </w:rPr>
              <w:fldChar w:fldCharType="end"/>
            </w:r>
          </w:hyperlink>
        </w:p>
        <w:p w14:paraId="14EBCF1E"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7" w:history="1">
            <w:r w:rsidR="009D24D5" w:rsidRPr="00DA45F7">
              <w:rPr>
                <w:rStyle w:val="Hyperlink"/>
                <w:noProof/>
              </w:rPr>
              <w:t>10</w:t>
            </w:r>
            <w:r w:rsidR="009D24D5">
              <w:rPr>
                <w:b w:val="0"/>
                <w:bCs w:val="0"/>
                <w:noProof/>
                <w:sz w:val="22"/>
                <w:szCs w:val="22"/>
                <w:lang w:val="en-AU" w:eastAsia="en-AU" w:bidi="ar-SA"/>
              </w:rPr>
              <w:tab/>
            </w:r>
            <w:r w:rsidR="009D24D5" w:rsidRPr="00DA45F7">
              <w:rPr>
                <w:rStyle w:val="Hyperlink"/>
                <w:noProof/>
              </w:rPr>
              <w:t>APPENDIX B – supporting literature for PSII-HEq Index</w:t>
            </w:r>
            <w:r w:rsidR="009D24D5">
              <w:rPr>
                <w:noProof/>
                <w:webHidden/>
              </w:rPr>
              <w:tab/>
            </w:r>
            <w:r w:rsidR="009D24D5">
              <w:rPr>
                <w:noProof/>
                <w:webHidden/>
              </w:rPr>
              <w:fldChar w:fldCharType="begin"/>
            </w:r>
            <w:r w:rsidR="009D24D5">
              <w:rPr>
                <w:noProof/>
                <w:webHidden/>
              </w:rPr>
              <w:instrText xml:space="preserve"> PAGEREF _Toc462651967 \h </w:instrText>
            </w:r>
            <w:r w:rsidR="009D24D5">
              <w:rPr>
                <w:noProof/>
                <w:webHidden/>
              </w:rPr>
            </w:r>
            <w:r w:rsidR="009D24D5">
              <w:rPr>
                <w:noProof/>
                <w:webHidden/>
              </w:rPr>
              <w:fldChar w:fldCharType="separate"/>
            </w:r>
            <w:r w:rsidR="00E51A34">
              <w:rPr>
                <w:noProof/>
                <w:webHidden/>
              </w:rPr>
              <w:t>62</w:t>
            </w:r>
            <w:r w:rsidR="009D24D5">
              <w:rPr>
                <w:noProof/>
                <w:webHidden/>
              </w:rPr>
              <w:fldChar w:fldCharType="end"/>
            </w:r>
          </w:hyperlink>
        </w:p>
        <w:p w14:paraId="357576D5" w14:textId="77777777" w:rsidR="009D24D5" w:rsidRDefault="00F745D3">
          <w:pPr>
            <w:pStyle w:val="TOC2"/>
            <w:tabs>
              <w:tab w:val="left" w:pos="880"/>
              <w:tab w:val="right" w:leader="dot" w:pos="10790"/>
            </w:tabs>
            <w:rPr>
              <w:i w:val="0"/>
              <w:iCs w:val="0"/>
              <w:noProof/>
              <w:sz w:val="22"/>
              <w:szCs w:val="22"/>
              <w:lang w:val="en-AU" w:eastAsia="en-AU" w:bidi="ar-SA"/>
            </w:rPr>
          </w:pPr>
          <w:hyperlink w:anchor="_Toc462651968" w:history="1">
            <w:r w:rsidR="009D24D5" w:rsidRPr="00DA45F7">
              <w:rPr>
                <w:rStyle w:val="Hyperlink"/>
                <w:noProof/>
                <w:lang w:val="en-AU"/>
              </w:rPr>
              <w:t>10.1</w:t>
            </w:r>
            <w:r w:rsidR="009D24D5">
              <w:rPr>
                <w:i w:val="0"/>
                <w:iCs w:val="0"/>
                <w:noProof/>
                <w:sz w:val="22"/>
                <w:szCs w:val="22"/>
                <w:lang w:val="en-AU" w:eastAsia="en-AU" w:bidi="ar-SA"/>
              </w:rPr>
              <w:tab/>
            </w:r>
            <w:r w:rsidR="009D24D5" w:rsidRPr="00DA45F7">
              <w:rPr>
                <w:rStyle w:val="Hyperlink"/>
                <w:noProof/>
                <w:lang w:val="en-AU"/>
              </w:rPr>
              <w:t>Calculating PSII-HEq concentrations and assessing risk using the PSII Herbicide Index</w:t>
            </w:r>
            <w:r w:rsidR="009D24D5">
              <w:rPr>
                <w:noProof/>
                <w:webHidden/>
              </w:rPr>
              <w:tab/>
            </w:r>
            <w:r w:rsidR="009D24D5">
              <w:rPr>
                <w:noProof/>
                <w:webHidden/>
              </w:rPr>
              <w:fldChar w:fldCharType="begin"/>
            </w:r>
            <w:r w:rsidR="009D24D5">
              <w:rPr>
                <w:noProof/>
                <w:webHidden/>
              </w:rPr>
              <w:instrText xml:space="preserve"> PAGEREF _Toc462651968 \h </w:instrText>
            </w:r>
            <w:r w:rsidR="009D24D5">
              <w:rPr>
                <w:noProof/>
                <w:webHidden/>
              </w:rPr>
            </w:r>
            <w:r w:rsidR="009D24D5">
              <w:rPr>
                <w:noProof/>
                <w:webHidden/>
              </w:rPr>
              <w:fldChar w:fldCharType="separate"/>
            </w:r>
            <w:r w:rsidR="00E51A34">
              <w:rPr>
                <w:noProof/>
                <w:webHidden/>
              </w:rPr>
              <w:t>66</w:t>
            </w:r>
            <w:r w:rsidR="009D24D5">
              <w:rPr>
                <w:noProof/>
                <w:webHidden/>
              </w:rPr>
              <w:fldChar w:fldCharType="end"/>
            </w:r>
          </w:hyperlink>
        </w:p>
        <w:p w14:paraId="765CA769"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69" w:history="1">
            <w:r w:rsidR="009D24D5" w:rsidRPr="00DA45F7">
              <w:rPr>
                <w:rStyle w:val="Hyperlink"/>
                <w:noProof/>
              </w:rPr>
              <w:t>11</w:t>
            </w:r>
            <w:r w:rsidR="009D24D5">
              <w:rPr>
                <w:b w:val="0"/>
                <w:bCs w:val="0"/>
                <w:noProof/>
                <w:sz w:val="22"/>
                <w:szCs w:val="22"/>
                <w:lang w:val="en-AU" w:eastAsia="en-AU" w:bidi="ar-SA"/>
              </w:rPr>
              <w:tab/>
            </w:r>
            <w:r w:rsidR="009D24D5" w:rsidRPr="00DA45F7">
              <w:rPr>
                <w:rStyle w:val="Hyperlink"/>
                <w:noProof/>
              </w:rPr>
              <w:t>APPENDIX C - freshwater discharge (ML), plume colour class and weekly rainfall in Reef catchments</w:t>
            </w:r>
            <w:r w:rsidR="009D24D5">
              <w:rPr>
                <w:noProof/>
                <w:webHidden/>
              </w:rPr>
              <w:tab/>
            </w:r>
            <w:r w:rsidR="009D24D5">
              <w:rPr>
                <w:noProof/>
                <w:webHidden/>
              </w:rPr>
              <w:fldChar w:fldCharType="begin"/>
            </w:r>
            <w:r w:rsidR="009D24D5">
              <w:rPr>
                <w:noProof/>
                <w:webHidden/>
              </w:rPr>
              <w:instrText xml:space="preserve"> PAGEREF _Toc462651969 \h </w:instrText>
            </w:r>
            <w:r w:rsidR="009D24D5">
              <w:rPr>
                <w:noProof/>
                <w:webHidden/>
              </w:rPr>
            </w:r>
            <w:r w:rsidR="009D24D5">
              <w:rPr>
                <w:noProof/>
                <w:webHidden/>
              </w:rPr>
              <w:fldChar w:fldCharType="separate"/>
            </w:r>
            <w:r w:rsidR="00E51A34">
              <w:rPr>
                <w:noProof/>
                <w:webHidden/>
              </w:rPr>
              <w:t>69</w:t>
            </w:r>
            <w:r w:rsidR="009D24D5">
              <w:rPr>
                <w:noProof/>
                <w:webHidden/>
              </w:rPr>
              <w:fldChar w:fldCharType="end"/>
            </w:r>
          </w:hyperlink>
        </w:p>
        <w:p w14:paraId="5B8F65C6"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70" w:history="1">
            <w:r w:rsidR="009D24D5" w:rsidRPr="00DA45F7">
              <w:rPr>
                <w:rStyle w:val="Hyperlink"/>
                <w:noProof/>
              </w:rPr>
              <w:t>12</w:t>
            </w:r>
            <w:r w:rsidR="009D24D5">
              <w:rPr>
                <w:b w:val="0"/>
                <w:bCs w:val="0"/>
                <w:noProof/>
                <w:sz w:val="22"/>
                <w:szCs w:val="22"/>
                <w:lang w:val="en-AU" w:eastAsia="en-AU" w:bidi="ar-SA"/>
              </w:rPr>
              <w:tab/>
            </w:r>
            <w:r w:rsidR="009D24D5" w:rsidRPr="00DA45F7">
              <w:rPr>
                <w:rStyle w:val="Hyperlink"/>
                <w:noProof/>
              </w:rPr>
              <w:t>APPENDIX D – Fixed monitoring – Individual site results</w:t>
            </w:r>
            <w:r w:rsidR="009D24D5">
              <w:rPr>
                <w:noProof/>
                <w:webHidden/>
              </w:rPr>
              <w:tab/>
            </w:r>
            <w:r w:rsidR="009D24D5">
              <w:rPr>
                <w:noProof/>
                <w:webHidden/>
              </w:rPr>
              <w:fldChar w:fldCharType="begin"/>
            </w:r>
            <w:r w:rsidR="009D24D5">
              <w:rPr>
                <w:noProof/>
                <w:webHidden/>
              </w:rPr>
              <w:instrText xml:space="preserve"> PAGEREF _Toc462651970 \h </w:instrText>
            </w:r>
            <w:r w:rsidR="009D24D5">
              <w:rPr>
                <w:noProof/>
                <w:webHidden/>
              </w:rPr>
            </w:r>
            <w:r w:rsidR="009D24D5">
              <w:rPr>
                <w:noProof/>
                <w:webHidden/>
              </w:rPr>
              <w:fldChar w:fldCharType="separate"/>
            </w:r>
            <w:r w:rsidR="00E51A34">
              <w:rPr>
                <w:noProof/>
                <w:webHidden/>
              </w:rPr>
              <w:t>73</w:t>
            </w:r>
            <w:r w:rsidR="009D24D5">
              <w:rPr>
                <w:noProof/>
                <w:webHidden/>
              </w:rPr>
              <w:fldChar w:fldCharType="end"/>
            </w:r>
          </w:hyperlink>
        </w:p>
        <w:p w14:paraId="274035DF"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71" w:history="1">
            <w:r w:rsidR="009D24D5" w:rsidRPr="00DA45F7">
              <w:rPr>
                <w:rStyle w:val="Hyperlink"/>
                <w:noProof/>
              </w:rPr>
              <w:t>13</w:t>
            </w:r>
            <w:r w:rsidR="009D24D5">
              <w:rPr>
                <w:b w:val="0"/>
                <w:bCs w:val="0"/>
                <w:noProof/>
                <w:sz w:val="22"/>
                <w:szCs w:val="22"/>
                <w:lang w:val="en-AU" w:eastAsia="en-AU" w:bidi="ar-SA"/>
              </w:rPr>
              <w:tab/>
            </w:r>
            <w:r w:rsidR="009D24D5" w:rsidRPr="00DA45F7">
              <w:rPr>
                <w:rStyle w:val="Hyperlink"/>
                <w:noProof/>
              </w:rPr>
              <w:t>APPENDIX E – Terrestrial run-off assesment- Results</w:t>
            </w:r>
            <w:r w:rsidR="009D24D5">
              <w:rPr>
                <w:noProof/>
                <w:webHidden/>
              </w:rPr>
              <w:tab/>
            </w:r>
            <w:r w:rsidR="009D24D5">
              <w:rPr>
                <w:noProof/>
                <w:webHidden/>
              </w:rPr>
              <w:fldChar w:fldCharType="begin"/>
            </w:r>
            <w:r w:rsidR="009D24D5">
              <w:rPr>
                <w:noProof/>
                <w:webHidden/>
              </w:rPr>
              <w:instrText xml:space="preserve"> PAGEREF _Toc462651971 \h </w:instrText>
            </w:r>
            <w:r w:rsidR="009D24D5">
              <w:rPr>
                <w:noProof/>
                <w:webHidden/>
              </w:rPr>
            </w:r>
            <w:r w:rsidR="009D24D5">
              <w:rPr>
                <w:noProof/>
                <w:webHidden/>
              </w:rPr>
              <w:fldChar w:fldCharType="separate"/>
            </w:r>
            <w:r w:rsidR="00E51A34">
              <w:rPr>
                <w:noProof/>
                <w:webHidden/>
              </w:rPr>
              <w:t>90</w:t>
            </w:r>
            <w:r w:rsidR="009D24D5">
              <w:rPr>
                <w:noProof/>
                <w:webHidden/>
              </w:rPr>
              <w:fldChar w:fldCharType="end"/>
            </w:r>
          </w:hyperlink>
        </w:p>
        <w:p w14:paraId="655F76CA"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72" w:history="1">
            <w:r w:rsidR="009D24D5" w:rsidRPr="00DA45F7">
              <w:rPr>
                <w:rStyle w:val="Hyperlink"/>
                <w:noProof/>
              </w:rPr>
              <w:t>14</w:t>
            </w:r>
            <w:r w:rsidR="009D24D5">
              <w:rPr>
                <w:b w:val="0"/>
                <w:bCs w:val="0"/>
                <w:noProof/>
                <w:sz w:val="22"/>
                <w:szCs w:val="22"/>
                <w:lang w:val="en-AU" w:eastAsia="en-AU" w:bidi="ar-SA"/>
              </w:rPr>
              <w:tab/>
            </w:r>
            <w:r w:rsidR="009D24D5" w:rsidRPr="00DA45F7">
              <w:rPr>
                <w:rStyle w:val="Hyperlink"/>
                <w:noProof/>
              </w:rPr>
              <w:t>APPENDIX F – Mean flow rates, PSII-HEq of passive samplers and Plume colour class of major rivers</w:t>
            </w:r>
            <w:r w:rsidR="009D24D5">
              <w:rPr>
                <w:noProof/>
                <w:webHidden/>
              </w:rPr>
              <w:tab/>
            </w:r>
            <w:r w:rsidR="009D24D5">
              <w:rPr>
                <w:noProof/>
                <w:webHidden/>
              </w:rPr>
              <w:fldChar w:fldCharType="begin"/>
            </w:r>
            <w:r w:rsidR="009D24D5">
              <w:rPr>
                <w:noProof/>
                <w:webHidden/>
              </w:rPr>
              <w:instrText xml:space="preserve"> PAGEREF _Toc462651972 \h </w:instrText>
            </w:r>
            <w:r w:rsidR="009D24D5">
              <w:rPr>
                <w:noProof/>
                <w:webHidden/>
              </w:rPr>
            </w:r>
            <w:r w:rsidR="009D24D5">
              <w:rPr>
                <w:noProof/>
                <w:webHidden/>
              </w:rPr>
              <w:fldChar w:fldCharType="separate"/>
            </w:r>
            <w:r w:rsidR="00E51A34">
              <w:rPr>
                <w:noProof/>
                <w:webHidden/>
              </w:rPr>
              <w:t>91</w:t>
            </w:r>
            <w:r w:rsidR="009D24D5">
              <w:rPr>
                <w:noProof/>
                <w:webHidden/>
              </w:rPr>
              <w:fldChar w:fldCharType="end"/>
            </w:r>
          </w:hyperlink>
        </w:p>
        <w:p w14:paraId="1A5D07DD"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73" w:history="1">
            <w:r w:rsidR="009D24D5" w:rsidRPr="00DA45F7">
              <w:rPr>
                <w:rStyle w:val="Hyperlink"/>
                <w:noProof/>
              </w:rPr>
              <w:t>15</w:t>
            </w:r>
            <w:r w:rsidR="009D24D5">
              <w:rPr>
                <w:b w:val="0"/>
                <w:bCs w:val="0"/>
                <w:noProof/>
                <w:sz w:val="22"/>
                <w:szCs w:val="22"/>
                <w:lang w:val="en-AU" w:eastAsia="en-AU" w:bidi="ar-SA"/>
              </w:rPr>
              <w:tab/>
            </w:r>
            <w:r w:rsidR="009D24D5" w:rsidRPr="00DA45F7">
              <w:rPr>
                <w:rStyle w:val="Hyperlink"/>
                <w:noProof/>
              </w:rPr>
              <w:t>APPENDIX G – Historical concentration profiles at fixed monitoring sites</w:t>
            </w:r>
            <w:r w:rsidR="009D24D5">
              <w:rPr>
                <w:noProof/>
                <w:webHidden/>
              </w:rPr>
              <w:tab/>
            </w:r>
            <w:r w:rsidR="009D24D5">
              <w:rPr>
                <w:noProof/>
                <w:webHidden/>
              </w:rPr>
              <w:fldChar w:fldCharType="begin"/>
            </w:r>
            <w:r w:rsidR="009D24D5">
              <w:rPr>
                <w:noProof/>
                <w:webHidden/>
              </w:rPr>
              <w:instrText xml:space="preserve"> PAGEREF _Toc462651973 \h </w:instrText>
            </w:r>
            <w:r w:rsidR="009D24D5">
              <w:rPr>
                <w:noProof/>
                <w:webHidden/>
              </w:rPr>
            </w:r>
            <w:r w:rsidR="009D24D5">
              <w:rPr>
                <w:noProof/>
                <w:webHidden/>
              </w:rPr>
              <w:fldChar w:fldCharType="separate"/>
            </w:r>
            <w:r w:rsidR="00E51A34">
              <w:rPr>
                <w:noProof/>
                <w:webHidden/>
              </w:rPr>
              <w:t>107</w:t>
            </w:r>
            <w:r w:rsidR="009D24D5">
              <w:rPr>
                <w:noProof/>
                <w:webHidden/>
              </w:rPr>
              <w:fldChar w:fldCharType="end"/>
            </w:r>
          </w:hyperlink>
        </w:p>
        <w:p w14:paraId="7E037303" w14:textId="77777777" w:rsidR="009D24D5" w:rsidRDefault="00F745D3">
          <w:pPr>
            <w:pStyle w:val="TOC1"/>
            <w:tabs>
              <w:tab w:val="left" w:pos="440"/>
              <w:tab w:val="right" w:leader="dot" w:pos="10790"/>
            </w:tabs>
            <w:rPr>
              <w:b w:val="0"/>
              <w:bCs w:val="0"/>
              <w:noProof/>
              <w:sz w:val="22"/>
              <w:szCs w:val="22"/>
              <w:lang w:val="en-AU" w:eastAsia="en-AU" w:bidi="ar-SA"/>
            </w:rPr>
          </w:pPr>
          <w:hyperlink w:anchor="_Toc462651974" w:history="1">
            <w:r w:rsidR="009D24D5" w:rsidRPr="00DA45F7">
              <w:rPr>
                <w:rStyle w:val="Hyperlink"/>
                <w:noProof/>
              </w:rPr>
              <w:t>16</w:t>
            </w:r>
            <w:r w:rsidR="009D24D5">
              <w:rPr>
                <w:b w:val="0"/>
                <w:bCs w:val="0"/>
                <w:noProof/>
                <w:sz w:val="22"/>
                <w:szCs w:val="22"/>
                <w:lang w:val="en-AU" w:eastAsia="en-AU" w:bidi="ar-SA"/>
              </w:rPr>
              <w:tab/>
            </w:r>
            <w:r w:rsidR="009D24D5" w:rsidRPr="00DA45F7">
              <w:rPr>
                <w:rStyle w:val="Hyperlink"/>
                <w:noProof/>
              </w:rPr>
              <w:t>APPENDIX H - Land and herbicide use in the Reef catchments adjacent to fixed monitoring sites</w:t>
            </w:r>
            <w:r w:rsidR="009D24D5">
              <w:rPr>
                <w:noProof/>
                <w:webHidden/>
              </w:rPr>
              <w:tab/>
            </w:r>
            <w:r w:rsidR="009D24D5">
              <w:rPr>
                <w:noProof/>
                <w:webHidden/>
              </w:rPr>
              <w:fldChar w:fldCharType="begin"/>
            </w:r>
            <w:r w:rsidR="009D24D5">
              <w:rPr>
                <w:noProof/>
                <w:webHidden/>
              </w:rPr>
              <w:instrText xml:space="preserve"> PAGEREF _Toc462651974 \h </w:instrText>
            </w:r>
            <w:r w:rsidR="009D24D5">
              <w:rPr>
                <w:noProof/>
                <w:webHidden/>
              </w:rPr>
            </w:r>
            <w:r w:rsidR="009D24D5">
              <w:rPr>
                <w:noProof/>
                <w:webHidden/>
              </w:rPr>
              <w:fldChar w:fldCharType="separate"/>
            </w:r>
            <w:r w:rsidR="00E51A34">
              <w:rPr>
                <w:noProof/>
                <w:webHidden/>
              </w:rPr>
              <w:t>123</w:t>
            </w:r>
            <w:r w:rsidR="009D24D5">
              <w:rPr>
                <w:noProof/>
                <w:webHidden/>
              </w:rPr>
              <w:fldChar w:fldCharType="end"/>
            </w:r>
          </w:hyperlink>
        </w:p>
        <w:p w14:paraId="6560301A" w14:textId="77777777" w:rsidR="009D24D5" w:rsidRDefault="00F745D3">
          <w:pPr>
            <w:pStyle w:val="TOC1"/>
            <w:tabs>
              <w:tab w:val="right" w:leader="dot" w:pos="10790"/>
            </w:tabs>
            <w:rPr>
              <w:b w:val="0"/>
              <w:bCs w:val="0"/>
              <w:noProof/>
              <w:sz w:val="22"/>
              <w:szCs w:val="22"/>
              <w:lang w:val="en-AU" w:eastAsia="en-AU" w:bidi="ar-SA"/>
            </w:rPr>
          </w:pPr>
          <w:hyperlink w:anchor="_Toc462651975" w:history="1">
            <w:r w:rsidR="009D24D5" w:rsidRPr="00DA45F7">
              <w:rPr>
                <w:rStyle w:val="Hyperlink"/>
                <w:noProof/>
              </w:rPr>
              <w:t>17 APPENDIX I – CASE STUDY: Comparison of the multi-substance potentially affected fraction (ms-PAF) and PSII-HEQ methods</w:t>
            </w:r>
            <w:r w:rsidR="009D24D5">
              <w:rPr>
                <w:noProof/>
                <w:webHidden/>
              </w:rPr>
              <w:tab/>
            </w:r>
            <w:r w:rsidR="009D24D5">
              <w:rPr>
                <w:noProof/>
                <w:webHidden/>
              </w:rPr>
              <w:fldChar w:fldCharType="begin"/>
            </w:r>
            <w:r w:rsidR="009D24D5">
              <w:rPr>
                <w:noProof/>
                <w:webHidden/>
              </w:rPr>
              <w:instrText xml:space="preserve"> PAGEREF _Toc462651975 \h </w:instrText>
            </w:r>
            <w:r w:rsidR="009D24D5">
              <w:rPr>
                <w:noProof/>
                <w:webHidden/>
              </w:rPr>
            </w:r>
            <w:r w:rsidR="009D24D5">
              <w:rPr>
                <w:noProof/>
                <w:webHidden/>
              </w:rPr>
              <w:fldChar w:fldCharType="separate"/>
            </w:r>
            <w:r w:rsidR="00E51A34">
              <w:rPr>
                <w:noProof/>
                <w:webHidden/>
              </w:rPr>
              <w:t>124</w:t>
            </w:r>
            <w:r w:rsidR="009D24D5">
              <w:rPr>
                <w:noProof/>
                <w:webHidden/>
              </w:rPr>
              <w:fldChar w:fldCharType="end"/>
            </w:r>
          </w:hyperlink>
        </w:p>
        <w:p w14:paraId="4E5DC9C0" w14:textId="77777777" w:rsidR="00C34E72" w:rsidRDefault="00C34E72">
          <w:r w:rsidRPr="000F7A33">
            <w:rPr>
              <w:rFonts w:cs="Arial"/>
              <w:b/>
              <w:bCs/>
              <w:noProof/>
            </w:rPr>
            <w:fldChar w:fldCharType="end"/>
          </w:r>
        </w:p>
      </w:sdtContent>
    </w:sdt>
    <w:p w14:paraId="7F11B645" w14:textId="77777777" w:rsidR="00C34E72" w:rsidRDefault="0059608E" w:rsidP="00341670">
      <w:pPr>
        <w:tabs>
          <w:tab w:val="left" w:pos="4993"/>
        </w:tabs>
        <w:spacing w:line="360" w:lineRule="auto"/>
        <w:outlineLvl w:val="0"/>
        <w:rPr>
          <w:rFonts w:cs="Arial"/>
          <w:lang w:val="en-AU"/>
        </w:rPr>
      </w:pPr>
      <w:r w:rsidRPr="00B675D3">
        <w:rPr>
          <w:rFonts w:cs="Arial"/>
          <w:lang w:val="en-AU"/>
        </w:rPr>
        <w:br w:type="page"/>
      </w:r>
    </w:p>
    <w:p w14:paraId="658A6801" w14:textId="77777777" w:rsidR="00C34E72" w:rsidRDefault="00C34E72" w:rsidP="00C34E72">
      <w:pPr>
        <w:rPr>
          <w:lang w:val="en-AU"/>
        </w:rPr>
      </w:pPr>
    </w:p>
    <w:p w14:paraId="09C4E0C8" w14:textId="77777777" w:rsidR="0059608E" w:rsidRPr="00C11BBA" w:rsidRDefault="00C34E72" w:rsidP="00C34E72">
      <w:pPr>
        <w:rPr>
          <w:b/>
          <w:sz w:val="36"/>
          <w:szCs w:val="36"/>
          <w:u w:val="single"/>
          <w:lang w:val="en-AU"/>
        </w:rPr>
      </w:pPr>
      <w:r>
        <w:rPr>
          <w:b/>
          <w:sz w:val="36"/>
          <w:szCs w:val="36"/>
          <w:u w:val="single"/>
          <w:lang w:val="en-AU"/>
        </w:rPr>
        <w:t>List of figure</w:t>
      </w:r>
      <w:r w:rsidRPr="006E6A7E">
        <w:rPr>
          <w:b/>
          <w:sz w:val="36"/>
          <w:szCs w:val="36"/>
          <w:u w:val="single"/>
          <w:lang w:val="en-AU"/>
        </w:rPr>
        <w:t>s</w:t>
      </w:r>
    </w:p>
    <w:p w14:paraId="4A90C5B4" w14:textId="77777777" w:rsidR="008D3809" w:rsidRDefault="0059608E"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r w:rsidRPr="00E546FA">
        <w:rPr>
          <w:lang w:val="en-AU"/>
        </w:rPr>
        <w:fldChar w:fldCharType="begin"/>
      </w:r>
      <w:r w:rsidRPr="00E546FA">
        <w:rPr>
          <w:lang w:val="en-AU"/>
        </w:rPr>
        <w:instrText xml:space="preserve"> TOC \h \z \c "Figure" </w:instrText>
      </w:r>
      <w:r w:rsidRPr="00E546FA">
        <w:rPr>
          <w:lang w:val="en-AU"/>
        </w:rPr>
        <w:fldChar w:fldCharType="separate"/>
      </w:r>
      <w:hyperlink w:anchor="_Toc462399461" w:history="1">
        <w:r w:rsidR="008D3809" w:rsidRPr="00384A78">
          <w:rPr>
            <w:rStyle w:val="Hyperlink"/>
            <w:noProof/>
          </w:rPr>
          <w:t>Figure 1 The temporal trends in PSII-HEq Max at fixed monitoring sites in inshore waters of the Reef determined using time-integrative sampling 2005 – 2015 (top – Wet Tropics region, bottom – Burdekin, Mackay Whitsunday and Fitzroy regions).</w:t>
        </w:r>
        <w:r w:rsidR="008D3809">
          <w:rPr>
            <w:noProof/>
            <w:webHidden/>
          </w:rPr>
          <w:tab/>
        </w:r>
        <w:r w:rsidR="008D3809">
          <w:rPr>
            <w:noProof/>
            <w:webHidden/>
          </w:rPr>
          <w:fldChar w:fldCharType="begin"/>
        </w:r>
        <w:r w:rsidR="008D3809">
          <w:rPr>
            <w:noProof/>
            <w:webHidden/>
          </w:rPr>
          <w:instrText xml:space="preserve"> PAGEREF _Toc462399461 \h </w:instrText>
        </w:r>
        <w:r w:rsidR="008D3809">
          <w:rPr>
            <w:noProof/>
            <w:webHidden/>
          </w:rPr>
        </w:r>
        <w:r w:rsidR="008D3809">
          <w:rPr>
            <w:noProof/>
            <w:webHidden/>
          </w:rPr>
          <w:fldChar w:fldCharType="separate"/>
        </w:r>
        <w:r w:rsidR="00E51A34">
          <w:rPr>
            <w:noProof/>
            <w:webHidden/>
          </w:rPr>
          <w:t>4</w:t>
        </w:r>
        <w:r w:rsidR="008D3809">
          <w:rPr>
            <w:noProof/>
            <w:webHidden/>
          </w:rPr>
          <w:fldChar w:fldCharType="end"/>
        </w:r>
      </w:hyperlink>
    </w:p>
    <w:p w14:paraId="2EFD6A4D"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2" w:history="1">
        <w:r w:rsidR="008D3809" w:rsidRPr="00384A78">
          <w:rPr>
            <w:rStyle w:val="Hyperlink"/>
            <w:noProof/>
          </w:rPr>
          <w:t>Figure 2 Locations of current inshore Reef fixed monitoring sites where time-integrated sampling of pesticides occurred in 2014-2015</w:t>
        </w:r>
        <w:r w:rsidR="008D3809">
          <w:rPr>
            <w:noProof/>
            <w:webHidden/>
          </w:rPr>
          <w:tab/>
        </w:r>
        <w:r w:rsidR="008D3809">
          <w:rPr>
            <w:noProof/>
            <w:webHidden/>
          </w:rPr>
          <w:fldChar w:fldCharType="begin"/>
        </w:r>
        <w:r w:rsidR="008D3809">
          <w:rPr>
            <w:noProof/>
            <w:webHidden/>
          </w:rPr>
          <w:instrText xml:space="preserve"> PAGEREF _Toc462399462 \h </w:instrText>
        </w:r>
        <w:r w:rsidR="008D3809">
          <w:rPr>
            <w:noProof/>
            <w:webHidden/>
          </w:rPr>
        </w:r>
        <w:r w:rsidR="008D3809">
          <w:rPr>
            <w:noProof/>
            <w:webHidden/>
          </w:rPr>
          <w:fldChar w:fldCharType="separate"/>
        </w:r>
        <w:r w:rsidR="00E51A34">
          <w:rPr>
            <w:noProof/>
            <w:webHidden/>
          </w:rPr>
          <w:t>9</w:t>
        </w:r>
        <w:r w:rsidR="008D3809">
          <w:rPr>
            <w:noProof/>
            <w:webHidden/>
          </w:rPr>
          <w:fldChar w:fldCharType="end"/>
        </w:r>
      </w:hyperlink>
    </w:p>
    <w:p w14:paraId="4AE3D2A1"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3" w:history="1">
        <w:r w:rsidR="008D3809" w:rsidRPr="00384A78">
          <w:rPr>
            <w:rStyle w:val="Hyperlink"/>
            <w:noProof/>
          </w:rPr>
          <w:t>Figure 3 Locations of Barratta Creek passive sampling sites</w:t>
        </w:r>
        <w:r w:rsidR="008D3809">
          <w:rPr>
            <w:noProof/>
            <w:webHidden/>
          </w:rPr>
          <w:tab/>
        </w:r>
        <w:r w:rsidR="008D3809">
          <w:rPr>
            <w:noProof/>
            <w:webHidden/>
          </w:rPr>
          <w:fldChar w:fldCharType="begin"/>
        </w:r>
        <w:r w:rsidR="008D3809">
          <w:rPr>
            <w:noProof/>
            <w:webHidden/>
          </w:rPr>
          <w:instrText xml:space="preserve"> PAGEREF _Toc462399463 \h </w:instrText>
        </w:r>
        <w:r w:rsidR="008D3809">
          <w:rPr>
            <w:noProof/>
            <w:webHidden/>
          </w:rPr>
        </w:r>
        <w:r w:rsidR="008D3809">
          <w:rPr>
            <w:noProof/>
            <w:webHidden/>
          </w:rPr>
          <w:fldChar w:fldCharType="separate"/>
        </w:r>
        <w:r w:rsidR="00E51A34">
          <w:rPr>
            <w:noProof/>
            <w:webHidden/>
          </w:rPr>
          <w:t>11</w:t>
        </w:r>
        <w:r w:rsidR="008D3809">
          <w:rPr>
            <w:noProof/>
            <w:webHidden/>
          </w:rPr>
          <w:fldChar w:fldCharType="end"/>
        </w:r>
      </w:hyperlink>
    </w:p>
    <w:p w14:paraId="21144F58"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4" w:history="1">
        <w:r w:rsidR="008D3809" w:rsidRPr="00384A78">
          <w:rPr>
            <w:rStyle w:val="Hyperlink"/>
            <w:noProof/>
          </w:rPr>
          <w:t>Figure 4 Locations of grab and passive samplers collected on the Russell-Mulgrave River transect (top) and Tully River transect (Bottom), and the frequency of flood plumes over the 2014-2015 wet season.</w:t>
        </w:r>
        <w:r w:rsidR="008D3809">
          <w:rPr>
            <w:noProof/>
            <w:webHidden/>
          </w:rPr>
          <w:tab/>
        </w:r>
        <w:r w:rsidR="008D3809">
          <w:rPr>
            <w:noProof/>
            <w:webHidden/>
          </w:rPr>
          <w:fldChar w:fldCharType="begin"/>
        </w:r>
        <w:r w:rsidR="008D3809">
          <w:rPr>
            <w:noProof/>
            <w:webHidden/>
          </w:rPr>
          <w:instrText xml:space="preserve"> PAGEREF _Toc462399464 \h </w:instrText>
        </w:r>
        <w:r w:rsidR="008D3809">
          <w:rPr>
            <w:noProof/>
            <w:webHidden/>
          </w:rPr>
        </w:r>
        <w:r w:rsidR="008D3809">
          <w:rPr>
            <w:noProof/>
            <w:webHidden/>
          </w:rPr>
          <w:fldChar w:fldCharType="separate"/>
        </w:r>
        <w:r w:rsidR="00E51A34">
          <w:rPr>
            <w:noProof/>
            <w:webHidden/>
          </w:rPr>
          <w:t>13</w:t>
        </w:r>
        <w:r w:rsidR="008D3809">
          <w:rPr>
            <w:noProof/>
            <w:webHidden/>
          </w:rPr>
          <w:fldChar w:fldCharType="end"/>
        </w:r>
      </w:hyperlink>
    </w:p>
    <w:p w14:paraId="2334A92E"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5" w:history="1">
        <w:r w:rsidR="008D3809" w:rsidRPr="00384A78">
          <w:rPr>
            <w:rStyle w:val="Hyperlink"/>
            <w:noProof/>
          </w:rPr>
          <w:t>Figure 5 Monthly rainfall totals during the wet season (November 2014 – April 2015).</w:t>
        </w:r>
        <w:r w:rsidR="008D3809">
          <w:rPr>
            <w:noProof/>
            <w:webHidden/>
          </w:rPr>
          <w:tab/>
        </w:r>
        <w:r w:rsidR="008D3809">
          <w:rPr>
            <w:noProof/>
            <w:webHidden/>
          </w:rPr>
          <w:fldChar w:fldCharType="begin"/>
        </w:r>
        <w:r w:rsidR="008D3809">
          <w:rPr>
            <w:noProof/>
            <w:webHidden/>
          </w:rPr>
          <w:instrText xml:space="preserve"> PAGEREF _Toc462399465 \h </w:instrText>
        </w:r>
        <w:r w:rsidR="008D3809">
          <w:rPr>
            <w:noProof/>
            <w:webHidden/>
          </w:rPr>
        </w:r>
        <w:r w:rsidR="008D3809">
          <w:rPr>
            <w:noProof/>
            <w:webHidden/>
          </w:rPr>
          <w:fldChar w:fldCharType="separate"/>
        </w:r>
        <w:r w:rsidR="00E51A34">
          <w:rPr>
            <w:noProof/>
            <w:webHidden/>
          </w:rPr>
          <w:t>19</w:t>
        </w:r>
        <w:r w:rsidR="008D3809">
          <w:rPr>
            <w:noProof/>
            <w:webHidden/>
          </w:rPr>
          <w:fldChar w:fldCharType="end"/>
        </w:r>
      </w:hyperlink>
    </w:p>
    <w:p w14:paraId="364B04C1"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6" w:history="1">
        <w:r w:rsidR="008D3809" w:rsidRPr="00384A78">
          <w:rPr>
            <w:rStyle w:val="Hyperlink"/>
            <w:noProof/>
          </w:rPr>
          <w:t>Figure 6 Total rainfall recorded for the week ending 24th February 2015 (left) associated with TC Marcia; and for the week ending 17th March 2015 (right) prior to landfall of TC Nathan</w:t>
        </w:r>
        <w:r w:rsidR="008D3809">
          <w:rPr>
            <w:noProof/>
            <w:webHidden/>
          </w:rPr>
          <w:tab/>
        </w:r>
        <w:r w:rsidR="008D3809">
          <w:rPr>
            <w:noProof/>
            <w:webHidden/>
          </w:rPr>
          <w:fldChar w:fldCharType="begin"/>
        </w:r>
        <w:r w:rsidR="008D3809">
          <w:rPr>
            <w:noProof/>
            <w:webHidden/>
          </w:rPr>
          <w:instrText xml:space="preserve"> PAGEREF _Toc462399466 \h </w:instrText>
        </w:r>
        <w:r w:rsidR="008D3809">
          <w:rPr>
            <w:noProof/>
            <w:webHidden/>
          </w:rPr>
        </w:r>
        <w:r w:rsidR="008D3809">
          <w:rPr>
            <w:noProof/>
            <w:webHidden/>
          </w:rPr>
          <w:fldChar w:fldCharType="separate"/>
        </w:r>
        <w:r w:rsidR="00E51A34">
          <w:rPr>
            <w:noProof/>
            <w:webHidden/>
          </w:rPr>
          <w:t>21</w:t>
        </w:r>
        <w:r w:rsidR="008D3809">
          <w:rPr>
            <w:noProof/>
            <w:webHidden/>
          </w:rPr>
          <w:fldChar w:fldCharType="end"/>
        </w:r>
      </w:hyperlink>
    </w:p>
    <w:p w14:paraId="77023F0B"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7" w:history="1">
        <w:r w:rsidR="008D3809" w:rsidRPr="00384A78">
          <w:rPr>
            <w:rStyle w:val="Hyperlink"/>
            <w:noProof/>
          </w:rPr>
          <w:t xml:space="preserve">Figure 7 Total annual discharge of all gauged rivers located in </w:t>
        </w:r>
        <w:r w:rsidR="008D3809" w:rsidRPr="00384A78">
          <w:rPr>
            <w:rStyle w:val="Hyperlink"/>
            <w:noProof/>
            <w:lang w:val="en-AU"/>
          </w:rPr>
          <w:t xml:space="preserve">Reef </w:t>
        </w:r>
        <w:r w:rsidR="008D3809" w:rsidRPr="00384A78">
          <w:rPr>
            <w:rStyle w:val="Hyperlink"/>
            <w:noProof/>
          </w:rPr>
          <w:t>catchments into the inshore waters of the Reef (ML)</w:t>
        </w:r>
        <w:r w:rsidR="008D3809">
          <w:rPr>
            <w:noProof/>
            <w:webHidden/>
          </w:rPr>
          <w:tab/>
        </w:r>
        <w:r w:rsidR="008D3809">
          <w:rPr>
            <w:noProof/>
            <w:webHidden/>
          </w:rPr>
          <w:fldChar w:fldCharType="begin"/>
        </w:r>
        <w:r w:rsidR="008D3809">
          <w:rPr>
            <w:noProof/>
            <w:webHidden/>
          </w:rPr>
          <w:instrText xml:space="preserve"> PAGEREF _Toc462399467 \h </w:instrText>
        </w:r>
        <w:r w:rsidR="008D3809">
          <w:rPr>
            <w:noProof/>
            <w:webHidden/>
          </w:rPr>
        </w:r>
        <w:r w:rsidR="008D3809">
          <w:rPr>
            <w:noProof/>
            <w:webHidden/>
          </w:rPr>
          <w:fldChar w:fldCharType="separate"/>
        </w:r>
        <w:r w:rsidR="00E51A34">
          <w:rPr>
            <w:noProof/>
            <w:webHidden/>
          </w:rPr>
          <w:t>22</w:t>
        </w:r>
        <w:r w:rsidR="008D3809">
          <w:rPr>
            <w:noProof/>
            <w:webHidden/>
          </w:rPr>
          <w:fldChar w:fldCharType="end"/>
        </w:r>
      </w:hyperlink>
    </w:p>
    <w:p w14:paraId="2C398E85"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8" w:history="1">
        <w:r w:rsidR="008D3809" w:rsidRPr="00384A78">
          <w:rPr>
            <w:rStyle w:val="Hyperlink"/>
            <w:b/>
            <w:bCs/>
            <w:noProof/>
          </w:rPr>
          <w:t>Figure 8 Historical PSII herbicide loads from monitored Reef catchment rivers (2009 – 2015)</w:t>
        </w:r>
        <w:r w:rsidR="008D3809">
          <w:rPr>
            <w:noProof/>
            <w:webHidden/>
          </w:rPr>
          <w:tab/>
        </w:r>
        <w:r w:rsidR="008D3809">
          <w:rPr>
            <w:noProof/>
            <w:webHidden/>
          </w:rPr>
          <w:fldChar w:fldCharType="begin"/>
        </w:r>
        <w:r w:rsidR="008D3809">
          <w:rPr>
            <w:noProof/>
            <w:webHidden/>
          </w:rPr>
          <w:instrText xml:space="preserve"> PAGEREF _Toc462399468 \h </w:instrText>
        </w:r>
        <w:r w:rsidR="008D3809">
          <w:rPr>
            <w:noProof/>
            <w:webHidden/>
          </w:rPr>
        </w:r>
        <w:r w:rsidR="008D3809">
          <w:rPr>
            <w:noProof/>
            <w:webHidden/>
          </w:rPr>
          <w:fldChar w:fldCharType="separate"/>
        </w:r>
        <w:r w:rsidR="00E51A34">
          <w:rPr>
            <w:noProof/>
            <w:webHidden/>
          </w:rPr>
          <w:t>24</w:t>
        </w:r>
        <w:r w:rsidR="008D3809">
          <w:rPr>
            <w:noProof/>
            <w:webHidden/>
          </w:rPr>
          <w:fldChar w:fldCharType="end"/>
        </w:r>
      </w:hyperlink>
    </w:p>
    <w:p w14:paraId="371D5205"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69" w:history="1">
        <w:r w:rsidR="008D3809" w:rsidRPr="00384A78">
          <w:rPr>
            <w:rStyle w:val="Hyperlink"/>
            <w:noProof/>
          </w:rPr>
          <w:t>Figure 9 Land use in the Reef catchments.</w:t>
        </w:r>
        <w:r w:rsidR="008D3809">
          <w:rPr>
            <w:noProof/>
            <w:webHidden/>
          </w:rPr>
          <w:tab/>
        </w:r>
        <w:r w:rsidR="008D3809">
          <w:rPr>
            <w:noProof/>
            <w:webHidden/>
          </w:rPr>
          <w:fldChar w:fldCharType="begin"/>
        </w:r>
        <w:r w:rsidR="008D3809">
          <w:rPr>
            <w:noProof/>
            <w:webHidden/>
          </w:rPr>
          <w:instrText xml:space="preserve"> PAGEREF _Toc462399469 \h </w:instrText>
        </w:r>
        <w:r w:rsidR="008D3809">
          <w:rPr>
            <w:noProof/>
            <w:webHidden/>
          </w:rPr>
        </w:r>
        <w:r w:rsidR="008D3809">
          <w:rPr>
            <w:noProof/>
            <w:webHidden/>
          </w:rPr>
          <w:fldChar w:fldCharType="separate"/>
        </w:r>
        <w:r w:rsidR="00E51A34">
          <w:rPr>
            <w:noProof/>
            <w:webHidden/>
          </w:rPr>
          <w:t>26</w:t>
        </w:r>
        <w:r w:rsidR="008D3809">
          <w:rPr>
            <w:noProof/>
            <w:webHidden/>
          </w:rPr>
          <w:fldChar w:fldCharType="end"/>
        </w:r>
      </w:hyperlink>
    </w:p>
    <w:p w14:paraId="7AE04B27"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0" w:history="1">
        <w:r w:rsidR="008D3809" w:rsidRPr="00384A78">
          <w:rPr>
            <w:rStyle w:val="Hyperlink"/>
            <w:noProof/>
          </w:rPr>
          <w:t>Figure 10 Maximum concentrations of individual herbicides at fixed monitoring sites from the commencement of sampling to 2014-2015</w:t>
        </w:r>
        <w:r w:rsidR="008D3809">
          <w:rPr>
            <w:noProof/>
            <w:webHidden/>
          </w:rPr>
          <w:tab/>
        </w:r>
        <w:r w:rsidR="008D3809">
          <w:rPr>
            <w:noProof/>
            <w:webHidden/>
          </w:rPr>
          <w:fldChar w:fldCharType="begin"/>
        </w:r>
        <w:r w:rsidR="008D3809">
          <w:rPr>
            <w:noProof/>
            <w:webHidden/>
          </w:rPr>
          <w:instrText xml:space="preserve"> PAGEREF _Toc462399470 \h </w:instrText>
        </w:r>
        <w:r w:rsidR="008D3809">
          <w:rPr>
            <w:noProof/>
            <w:webHidden/>
          </w:rPr>
        </w:r>
        <w:r w:rsidR="008D3809">
          <w:rPr>
            <w:noProof/>
            <w:webHidden/>
          </w:rPr>
          <w:fldChar w:fldCharType="separate"/>
        </w:r>
        <w:r w:rsidR="00E51A34">
          <w:rPr>
            <w:noProof/>
            <w:webHidden/>
          </w:rPr>
          <w:t>30</w:t>
        </w:r>
        <w:r w:rsidR="008D3809">
          <w:rPr>
            <w:noProof/>
            <w:webHidden/>
          </w:rPr>
          <w:fldChar w:fldCharType="end"/>
        </w:r>
      </w:hyperlink>
    </w:p>
    <w:p w14:paraId="09AFFFFF"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1" w:history="1">
        <w:r w:rsidR="008D3809" w:rsidRPr="00384A78">
          <w:rPr>
            <w:rStyle w:val="Hyperlink"/>
            <w:noProof/>
          </w:rPr>
          <w:t>Figure 11 PSII-HEq Max at each fixed monitoring site since monitoring commenced to 2014-2015</w:t>
        </w:r>
        <w:r w:rsidR="008D3809">
          <w:rPr>
            <w:noProof/>
            <w:webHidden/>
          </w:rPr>
          <w:tab/>
        </w:r>
        <w:r w:rsidR="008D3809">
          <w:rPr>
            <w:noProof/>
            <w:webHidden/>
          </w:rPr>
          <w:fldChar w:fldCharType="begin"/>
        </w:r>
        <w:r w:rsidR="008D3809">
          <w:rPr>
            <w:noProof/>
            <w:webHidden/>
          </w:rPr>
          <w:instrText xml:space="preserve"> PAGEREF _Toc462399471 \h </w:instrText>
        </w:r>
        <w:r w:rsidR="008D3809">
          <w:rPr>
            <w:noProof/>
            <w:webHidden/>
          </w:rPr>
        </w:r>
        <w:r w:rsidR="008D3809">
          <w:rPr>
            <w:noProof/>
            <w:webHidden/>
          </w:rPr>
          <w:fldChar w:fldCharType="separate"/>
        </w:r>
        <w:r w:rsidR="00E51A34">
          <w:rPr>
            <w:noProof/>
            <w:webHidden/>
          </w:rPr>
          <w:t>31</w:t>
        </w:r>
        <w:r w:rsidR="008D3809">
          <w:rPr>
            <w:noProof/>
            <w:webHidden/>
          </w:rPr>
          <w:fldChar w:fldCharType="end"/>
        </w:r>
      </w:hyperlink>
    </w:p>
    <w:p w14:paraId="3FFC919C"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2" w:history="1">
        <w:r w:rsidR="008D3809" w:rsidRPr="00384A78">
          <w:rPr>
            <w:rStyle w:val="Hyperlink"/>
            <w:noProof/>
          </w:rPr>
          <w:t>Figure 12 Seasonal average PSII-HEq for Wet Tropics sites since monitoring commenced</w:t>
        </w:r>
        <w:r w:rsidR="008D3809">
          <w:rPr>
            <w:noProof/>
            <w:webHidden/>
          </w:rPr>
          <w:tab/>
        </w:r>
        <w:r w:rsidR="008D3809">
          <w:rPr>
            <w:noProof/>
            <w:webHidden/>
          </w:rPr>
          <w:fldChar w:fldCharType="begin"/>
        </w:r>
        <w:r w:rsidR="008D3809">
          <w:rPr>
            <w:noProof/>
            <w:webHidden/>
          </w:rPr>
          <w:instrText xml:space="preserve"> PAGEREF _Toc462399472 \h </w:instrText>
        </w:r>
        <w:r w:rsidR="008D3809">
          <w:rPr>
            <w:noProof/>
            <w:webHidden/>
          </w:rPr>
        </w:r>
        <w:r w:rsidR="008D3809">
          <w:rPr>
            <w:noProof/>
            <w:webHidden/>
          </w:rPr>
          <w:fldChar w:fldCharType="separate"/>
        </w:r>
        <w:r w:rsidR="00E51A34">
          <w:rPr>
            <w:noProof/>
            <w:webHidden/>
          </w:rPr>
          <w:t>34</w:t>
        </w:r>
        <w:r w:rsidR="008D3809">
          <w:rPr>
            <w:noProof/>
            <w:webHidden/>
          </w:rPr>
          <w:fldChar w:fldCharType="end"/>
        </w:r>
      </w:hyperlink>
    </w:p>
    <w:p w14:paraId="576ADB72"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3" w:history="1">
        <w:r w:rsidR="008D3809" w:rsidRPr="00384A78">
          <w:rPr>
            <w:rStyle w:val="Hyperlink"/>
            <w:noProof/>
          </w:rPr>
          <w:t>Figure 13 Seasonal average PSII-HEq for Burdekin sites since monitoring commenced</w:t>
        </w:r>
        <w:r w:rsidR="008D3809">
          <w:rPr>
            <w:noProof/>
            <w:webHidden/>
          </w:rPr>
          <w:tab/>
        </w:r>
        <w:r w:rsidR="008D3809">
          <w:rPr>
            <w:noProof/>
            <w:webHidden/>
          </w:rPr>
          <w:fldChar w:fldCharType="begin"/>
        </w:r>
        <w:r w:rsidR="008D3809">
          <w:rPr>
            <w:noProof/>
            <w:webHidden/>
          </w:rPr>
          <w:instrText xml:space="preserve"> PAGEREF _Toc462399473 \h </w:instrText>
        </w:r>
        <w:r w:rsidR="008D3809">
          <w:rPr>
            <w:noProof/>
            <w:webHidden/>
          </w:rPr>
        </w:r>
        <w:r w:rsidR="008D3809">
          <w:rPr>
            <w:noProof/>
            <w:webHidden/>
          </w:rPr>
          <w:fldChar w:fldCharType="separate"/>
        </w:r>
        <w:r w:rsidR="00E51A34">
          <w:rPr>
            <w:noProof/>
            <w:webHidden/>
          </w:rPr>
          <w:t>37</w:t>
        </w:r>
        <w:r w:rsidR="008D3809">
          <w:rPr>
            <w:noProof/>
            <w:webHidden/>
          </w:rPr>
          <w:fldChar w:fldCharType="end"/>
        </w:r>
      </w:hyperlink>
    </w:p>
    <w:p w14:paraId="39719315"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4" w:history="1">
        <w:r w:rsidR="008D3809" w:rsidRPr="00384A78">
          <w:rPr>
            <w:rStyle w:val="Hyperlink"/>
            <w:noProof/>
          </w:rPr>
          <w:t>Figure 14 Seasonal average PSII-HEq for Mackay Whitsunday sites since monitoring commenced</w:t>
        </w:r>
        <w:r w:rsidR="008D3809">
          <w:rPr>
            <w:noProof/>
            <w:webHidden/>
          </w:rPr>
          <w:tab/>
        </w:r>
        <w:r w:rsidR="008D3809">
          <w:rPr>
            <w:noProof/>
            <w:webHidden/>
          </w:rPr>
          <w:fldChar w:fldCharType="begin"/>
        </w:r>
        <w:r w:rsidR="008D3809">
          <w:rPr>
            <w:noProof/>
            <w:webHidden/>
          </w:rPr>
          <w:instrText xml:space="preserve"> PAGEREF _Toc462399474 \h </w:instrText>
        </w:r>
        <w:r w:rsidR="008D3809">
          <w:rPr>
            <w:noProof/>
            <w:webHidden/>
          </w:rPr>
        </w:r>
        <w:r w:rsidR="008D3809">
          <w:rPr>
            <w:noProof/>
            <w:webHidden/>
          </w:rPr>
          <w:fldChar w:fldCharType="separate"/>
        </w:r>
        <w:r w:rsidR="00E51A34">
          <w:rPr>
            <w:noProof/>
            <w:webHidden/>
          </w:rPr>
          <w:t>40</w:t>
        </w:r>
        <w:r w:rsidR="008D3809">
          <w:rPr>
            <w:noProof/>
            <w:webHidden/>
          </w:rPr>
          <w:fldChar w:fldCharType="end"/>
        </w:r>
      </w:hyperlink>
    </w:p>
    <w:p w14:paraId="55247155" w14:textId="77777777" w:rsidR="008D3809" w:rsidRDefault="00F745D3" w:rsidP="00FB5EAD">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399475" w:history="1">
        <w:r w:rsidR="008D3809" w:rsidRPr="00384A78">
          <w:rPr>
            <w:rStyle w:val="Hyperlink"/>
            <w:noProof/>
          </w:rPr>
          <w:t>Figure 15 Seasonal average PSII-HEq for North Keppel Island in the Fitzroy region since monitoring commenced</w:t>
        </w:r>
        <w:r w:rsidR="008D3809">
          <w:rPr>
            <w:noProof/>
            <w:webHidden/>
          </w:rPr>
          <w:tab/>
        </w:r>
        <w:r w:rsidR="008D3809">
          <w:rPr>
            <w:noProof/>
            <w:webHidden/>
          </w:rPr>
          <w:fldChar w:fldCharType="begin"/>
        </w:r>
        <w:r w:rsidR="008D3809">
          <w:rPr>
            <w:noProof/>
            <w:webHidden/>
          </w:rPr>
          <w:instrText xml:space="preserve"> PAGEREF _Toc462399475 \h </w:instrText>
        </w:r>
        <w:r w:rsidR="008D3809">
          <w:rPr>
            <w:noProof/>
            <w:webHidden/>
          </w:rPr>
        </w:r>
        <w:r w:rsidR="008D3809">
          <w:rPr>
            <w:noProof/>
            <w:webHidden/>
          </w:rPr>
          <w:fldChar w:fldCharType="separate"/>
        </w:r>
        <w:r w:rsidR="00E51A34">
          <w:rPr>
            <w:noProof/>
            <w:webHidden/>
          </w:rPr>
          <w:t>42</w:t>
        </w:r>
        <w:r w:rsidR="008D3809">
          <w:rPr>
            <w:noProof/>
            <w:webHidden/>
          </w:rPr>
          <w:fldChar w:fldCharType="end"/>
        </w:r>
      </w:hyperlink>
    </w:p>
    <w:p w14:paraId="2FEF01B7" w14:textId="77777777" w:rsidR="0059608E" w:rsidRDefault="0059608E">
      <w:pPr>
        <w:spacing w:line="360" w:lineRule="auto"/>
        <w:ind w:firstLine="357"/>
        <w:jc w:val="left"/>
        <w:rPr>
          <w:lang w:val="en-AU"/>
        </w:rPr>
      </w:pPr>
      <w:r w:rsidRPr="00E546FA">
        <w:rPr>
          <w:lang w:val="en-AU"/>
        </w:rPr>
        <w:fldChar w:fldCharType="end"/>
      </w:r>
    </w:p>
    <w:p w14:paraId="7F21A989" w14:textId="77777777" w:rsidR="00737592" w:rsidRDefault="00737592" w:rsidP="00341670">
      <w:pPr>
        <w:spacing w:line="360" w:lineRule="auto"/>
        <w:jc w:val="left"/>
        <w:rPr>
          <w:b/>
          <w:sz w:val="36"/>
          <w:szCs w:val="36"/>
          <w:u w:val="single"/>
          <w:bdr w:val="dotted" w:sz="4" w:space="0" w:color="C0C0C0"/>
          <w:lang w:val="en-AU"/>
        </w:rPr>
      </w:pPr>
      <w:r w:rsidRPr="00E30200">
        <w:rPr>
          <w:b/>
          <w:sz w:val="36"/>
          <w:szCs w:val="36"/>
          <w:u w:val="single"/>
          <w:bdr w:val="dotted" w:sz="4" w:space="0" w:color="C0C0C0"/>
          <w:lang w:val="en-AU"/>
        </w:rPr>
        <w:t xml:space="preserve">List of </w:t>
      </w:r>
      <w:r>
        <w:rPr>
          <w:b/>
          <w:sz w:val="36"/>
          <w:szCs w:val="36"/>
          <w:u w:val="single"/>
          <w:bdr w:val="dotted" w:sz="4" w:space="0" w:color="C0C0C0"/>
          <w:lang w:val="en-AU"/>
        </w:rPr>
        <w:t>Appendix Figure</w:t>
      </w:r>
      <w:r w:rsidRPr="00E30200">
        <w:rPr>
          <w:b/>
          <w:sz w:val="36"/>
          <w:szCs w:val="36"/>
          <w:u w:val="single"/>
          <w:bdr w:val="dotted" w:sz="4" w:space="0" w:color="C0C0C0"/>
          <w:lang w:val="en-AU"/>
        </w:rPr>
        <w:t>s</w:t>
      </w:r>
      <w:r>
        <w:rPr>
          <w:b/>
          <w:sz w:val="36"/>
          <w:szCs w:val="36"/>
          <w:u w:val="single"/>
          <w:bdr w:val="dotted" w:sz="4" w:space="0" w:color="C0C0C0"/>
          <w:lang w:val="en-AU"/>
        </w:rPr>
        <w:t xml:space="preserve"> </w:t>
      </w:r>
    </w:p>
    <w:p w14:paraId="46612B8D" w14:textId="77777777" w:rsidR="009D24D5" w:rsidRDefault="00737592"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r>
        <w:rPr>
          <w:lang w:val="en-AU"/>
        </w:rPr>
        <w:fldChar w:fldCharType="begin"/>
      </w:r>
      <w:r>
        <w:rPr>
          <w:lang w:val="en-AU"/>
        </w:rPr>
        <w:instrText xml:space="preserve"> TOC \h \z \c "Figure A" </w:instrText>
      </w:r>
      <w:r>
        <w:rPr>
          <w:lang w:val="en-AU"/>
        </w:rPr>
        <w:fldChar w:fldCharType="separate"/>
      </w:r>
      <w:hyperlink w:anchor="_Toc462651976" w:history="1">
        <w:r w:rsidR="009D24D5" w:rsidRPr="008833EC">
          <w:rPr>
            <w:rStyle w:val="Hyperlink"/>
            <w:noProof/>
          </w:rPr>
          <w:t>Figure A 1 Rainfall decile ranges for the dry season between May 2014- Oct 2014 (left) and wet season between Nov 2014 – 30 April 2015 (right).</w:t>
        </w:r>
        <w:r w:rsidR="009D24D5">
          <w:rPr>
            <w:noProof/>
            <w:webHidden/>
          </w:rPr>
          <w:tab/>
        </w:r>
        <w:r w:rsidR="009D24D5">
          <w:rPr>
            <w:noProof/>
            <w:webHidden/>
          </w:rPr>
          <w:fldChar w:fldCharType="begin"/>
        </w:r>
        <w:r w:rsidR="009D24D5">
          <w:rPr>
            <w:noProof/>
            <w:webHidden/>
          </w:rPr>
          <w:instrText xml:space="preserve"> PAGEREF _Toc462651976 \h </w:instrText>
        </w:r>
        <w:r w:rsidR="009D24D5">
          <w:rPr>
            <w:noProof/>
            <w:webHidden/>
          </w:rPr>
        </w:r>
        <w:r w:rsidR="009D24D5">
          <w:rPr>
            <w:noProof/>
            <w:webHidden/>
          </w:rPr>
          <w:fldChar w:fldCharType="separate"/>
        </w:r>
        <w:r w:rsidR="00E51A34">
          <w:rPr>
            <w:noProof/>
            <w:webHidden/>
          </w:rPr>
          <w:t>71</w:t>
        </w:r>
        <w:r w:rsidR="009D24D5">
          <w:rPr>
            <w:noProof/>
            <w:webHidden/>
          </w:rPr>
          <w:fldChar w:fldCharType="end"/>
        </w:r>
      </w:hyperlink>
    </w:p>
    <w:p w14:paraId="18D0A244"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77" w:history="1">
        <w:r w:rsidR="009D24D5" w:rsidRPr="008833EC">
          <w:rPr>
            <w:rStyle w:val="Hyperlink"/>
            <w:noProof/>
          </w:rPr>
          <w:t>Figure A 2 One year inter-annual rainfall difference between the previous monitoring year (2013-14) and the current monitoring year (2014-15).</w:t>
        </w:r>
        <w:r w:rsidR="009D24D5">
          <w:rPr>
            <w:noProof/>
            <w:webHidden/>
          </w:rPr>
          <w:tab/>
        </w:r>
        <w:r w:rsidR="009D24D5">
          <w:rPr>
            <w:noProof/>
            <w:webHidden/>
          </w:rPr>
          <w:fldChar w:fldCharType="begin"/>
        </w:r>
        <w:r w:rsidR="009D24D5">
          <w:rPr>
            <w:noProof/>
            <w:webHidden/>
          </w:rPr>
          <w:instrText xml:space="preserve"> PAGEREF _Toc462651977 \h </w:instrText>
        </w:r>
        <w:r w:rsidR="009D24D5">
          <w:rPr>
            <w:noProof/>
            <w:webHidden/>
          </w:rPr>
        </w:r>
        <w:r w:rsidR="009D24D5">
          <w:rPr>
            <w:noProof/>
            <w:webHidden/>
          </w:rPr>
          <w:fldChar w:fldCharType="separate"/>
        </w:r>
        <w:r w:rsidR="00E51A34">
          <w:rPr>
            <w:noProof/>
            <w:webHidden/>
          </w:rPr>
          <w:t>72</w:t>
        </w:r>
        <w:r w:rsidR="009D24D5">
          <w:rPr>
            <w:noProof/>
            <w:webHidden/>
          </w:rPr>
          <w:fldChar w:fldCharType="end"/>
        </w:r>
      </w:hyperlink>
    </w:p>
    <w:p w14:paraId="16EDD45C"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78" w:history="1">
        <w:r w:rsidR="009D24D5" w:rsidRPr="008833EC">
          <w:rPr>
            <w:rStyle w:val="Hyperlink"/>
            <w:noProof/>
          </w:rPr>
          <w:t>Figure A 3 Timing and location of grab (top) and passive (bottom) samples collected on the Russell-Mulgrave River transect, Wet Tropics, between 2013-2015</w:t>
        </w:r>
        <w:r w:rsidR="009D24D5">
          <w:rPr>
            <w:noProof/>
            <w:webHidden/>
          </w:rPr>
          <w:tab/>
        </w:r>
        <w:r w:rsidR="009D24D5">
          <w:rPr>
            <w:noProof/>
            <w:webHidden/>
          </w:rPr>
          <w:fldChar w:fldCharType="begin"/>
        </w:r>
        <w:r w:rsidR="009D24D5">
          <w:rPr>
            <w:noProof/>
            <w:webHidden/>
          </w:rPr>
          <w:instrText xml:space="preserve"> PAGEREF _Toc462651978 \h </w:instrText>
        </w:r>
        <w:r w:rsidR="009D24D5">
          <w:rPr>
            <w:noProof/>
            <w:webHidden/>
          </w:rPr>
        </w:r>
        <w:r w:rsidR="009D24D5">
          <w:rPr>
            <w:noProof/>
            <w:webHidden/>
          </w:rPr>
          <w:fldChar w:fldCharType="separate"/>
        </w:r>
        <w:r w:rsidR="00E51A34">
          <w:rPr>
            <w:noProof/>
            <w:webHidden/>
          </w:rPr>
          <w:t>79</w:t>
        </w:r>
        <w:r w:rsidR="009D24D5">
          <w:rPr>
            <w:noProof/>
            <w:webHidden/>
          </w:rPr>
          <w:fldChar w:fldCharType="end"/>
        </w:r>
      </w:hyperlink>
    </w:p>
    <w:p w14:paraId="3CF8961A"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79" w:history="1">
        <w:r w:rsidR="009D24D5" w:rsidRPr="008833EC">
          <w:rPr>
            <w:rStyle w:val="Hyperlink"/>
            <w:noProof/>
          </w:rPr>
          <w:t>Figure A 4 Timing and location of grab (top) and passive (bottom) samples collected on the Tully River transect, Wet Tropics, between 2010-2015</w:t>
        </w:r>
        <w:r w:rsidR="009D24D5">
          <w:rPr>
            <w:noProof/>
            <w:webHidden/>
          </w:rPr>
          <w:tab/>
        </w:r>
        <w:r w:rsidR="009D24D5">
          <w:rPr>
            <w:noProof/>
            <w:webHidden/>
          </w:rPr>
          <w:fldChar w:fldCharType="begin"/>
        </w:r>
        <w:r w:rsidR="009D24D5">
          <w:rPr>
            <w:noProof/>
            <w:webHidden/>
          </w:rPr>
          <w:instrText xml:space="preserve"> PAGEREF _Toc462651979 \h </w:instrText>
        </w:r>
        <w:r w:rsidR="009D24D5">
          <w:rPr>
            <w:noProof/>
            <w:webHidden/>
          </w:rPr>
        </w:r>
        <w:r w:rsidR="009D24D5">
          <w:rPr>
            <w:noProof/>
            <w:webHidden/>
          </w:rPr>
          <w:fldChar w:fldCharType="separate"/>
        </w:r>
        <w:r w:rsidR="00E51A34">
          <w:rPr>
            <w:noProof/>
            <w:webHidden/>
          </w:rPr>
          <w:t>80</w:t>
        </w:r>
        <w:r w:rsidR="009D24D5">
          <w:rPr>
            <w:noProof/>
            <w:webHidden/>
          </w:rPr>
          <w:fldChar w:fldCharType="end"/>
        </w:r>
      </w:hyperlink>
    </w:p>
    <w:p w14:paraId="27A344A1"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0" w:history="1">
        <w:r w:rsidR="009D24D5" w:rsidRPr="008833EC">
          <w:rPr>
            <w:rStyle w:val="Hyperlink"/>
            <w:noProof/>
          </w:rPr>
          <w:t>Figure A 5 Temporal trends in PSII-HEq with respect to flow rate of rivers influencing passive sampler site at Low Isles in the Wet Tropics region since monitoring commenced</w:t>
        </w:r>
        <w:r w:rsidR="009D24D5">
          <w:rPr>
            <w:noProof/>
            <w:webHidden/>
          </w:rPr>
          <w:tab/>
        </w:r>
        <w:r w:rsidR="009D24D5">
          <w:rPr>
            <w:noProof/>
            <w:webHidden/>
          </w:rPr>
          <w:fldChar w:fldCharType="begin"/>
        </w:r>
        <w:r w:rsidR="009D24D5">
          <w:rPr>
            <w:noProof/>
            <w:webHidden/>
          </w:rPr>
          <w:instrText xml:space="preserve"> PAGEREF _Toc462651980 \h </w:instrText>
        </w:r>
        <w:r w:rsidR="009D24D5">
          <w:rPr>
            <w:noProof/>
            <w:webHidden/>
          </w:rPr>
        </w:r>
        <w:r w:rsidR="009D24D5">
          <w:rPr>
            <w:noProof/>
            <w:webHidden/>
          </w:rPr>
          <w:fldChar w:fldCharType="separate"/>
        </w:r>
        <w:r w:rsidR="00E51A34">
          <w:rPr>
            <w:noProof/>
            <w:webHidden/>
          </w:rPr>
          <w:t>91</w:t>
        </w:r>
        <w:r w:rsidR="009D24D5">
          <w:rPr>
            <w:noProof/>
            <w:webHidden/>
          </w:rPr>
          <w:fldChar w:fldCharType="end"/>
        </w:r>
      </w:hyperlink>
    </w:p>
    <w:p w14:paraId="3D8C9E85"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1" w:history="1">
        <w:r w:rsidR="009D24D5" w:rsidRPr="008833EC">
          <w:rPr>
            <w:rStyle w:val="Hyperlink"/>
            <w:noProof/>
          </w:rPr>
          <w:t>Figure A 6 Temporal trends in PSII-HEq with respect to flow rate of rivers influencing passive sampler site at Green Island in the Wet Tropics region since monitoring commenced</w:t>
        </w:r>
        <w:r w:rsidR="009D24D5">
          <w:rPr>
            <w:noProof/>
            <w:webHidden/>
          </w:rPr>
          <w:tab/>
        </w:r>
        <w:r w:rsidR="009D24D5">
          <w:rPr>
            <w:noProof/>
            <w:webHidden/>
          </w:rPr>
          <w:fldChar w:fldCharType="begin"/>
        </w:r>
        <w:r w:rsidR="009D24D5">
          <w:rPr>
            <w:noProof/>
            <w:webHidden/>
          </w:rPr>
          <w:instrText xml:space="preserve"> PAGEREF _Toc462651981 \h </w:instrText>
        </w:r>
        <w:r w:rsidR="009D24D5">
          <w:rPr>
            <w:noProof/>
            <w:webHidden/>
          </w:rPr>
        </w:r>
        <w:r w:rsidR="009D24D5">
          <w:rPr>
            <w:noProof/>
            <w:webHidden/>
          </w:rPr>
          <w:fldChar w:fldCharType="separate"/>
        </w:r>
        <w:r w:rsidR="00E51A34">
          <w:rPr>
            <w:noProof/>
            <w:webHidden/>
          </w:rPr>
          <w:t>92</w:t>
        </w:r>
        <w:r w:rsidR="009D24D5">
          <w:rPr>
            <w:noProof/>
            <w:webHidden/>
          </w:rPr>
          <w:fldChar w:fldCharType="end"/>
        </w:r>
      </w:hyperlink>
    </w:p>
    <w:p w14:paraId="56AA1979"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2" w:history="1">
        <w:r w:rsidR="009D24D5" w:rsidRPr="008833EC">
          <w:rPr>
            <w:rStyle w:val="Hyperlink"/>
            <w:noProof/>
          </w:rPr>
          <w:t>Figure A 7 Temporal trends in PSII-HEq with respect to flow rate of rivers influencing Fitzroy Island passive sampler site in the Wet Tropics region since monitoring commenced</w:t>
        </w:r>
        <w:r w:rsidR="009D24D5">
          <w:rPr>
            <w:noProof/>
            <w:webHidden/>
          </w:rPr>
          <w:tab/>
        </w:r>
        <w:r w:rsidR="009D24D5">
          <w:rPr>
            <w:noProof/>
            <w:webHidden/>
          </w:rPr>
          <w:fldChar w:fldCharType="begin"/>
        </w:r>
        <w:r w:rsidR="009D24D5">
          <w:rPr>
            <w:noProof/>
            <w:webHidden/>
          </w:rPr>
          <w:instrText xml:space="preserve"> PAGEREF _Toc462651982 \h </w:instrText>
        </w:r>
        <w:r w:rsidR="009D24D5">
          <w:rPr>
            <w:noProof/>
            <w:webHidden/>
          </w:rPr>
        </w:r>
        <w:r w:rsidR="009D24D5">
          <w:rPr>
            <w:noProof/>
            <w:webHidden/>
          </w:rPr>
          <w:fldChar w:fldCharType="separate"/>
        </w:r>
        <w:r w:rsidR="00E51A34">
          <w:rPr>
            <w:noProof/>
            <w:webHidden/>
          </w:rPr>
          <w:t>93</w:t>
        </w:r>
        <w:r w:rsidR="009D24D5">
          <w:rPr>
            <w:noProof/>
            <w:webHidden/>
          </w:rPr>
          <w:fldChar w:fldCharType="end"/>
        </w:r>
      </w:hyperlink>
    </w:p>
    <w:p w14:paraId="56A029E5"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3" w:history="1">
        <w:r w:rsidR="009D24D5" w:rsidRPr="008833EC">
          <w:rPr>
            <w:rStyle w:val="Hyperlink"/>
            <w:noProof/>
          </w:rPr>
          <w:t>Figure A 8 Temporal trends in PSII-HEq with respect to flow rate of rivers influencing Dunk Island passive sampler site in the Wet Tropics region since monitoring commenced</w:t>
        </w:r>
        <w:r w:rsidR="009D24D5">
          <w:rPr>
            <w:noProof/>
            <w:webHidden/>
          </w:rPr>
          <w:tab/>
        </w:r>
        <w:r w:rsidR="009D24D5">
          <w:rPr>
            <w:noProof/>
            <w:webHidden/>
          </w:rPr>
          <w:fldChar w:fldCharType="begin"/>
        </w:r>
        <w:r w:rsidR="009D24D5">
          <w:rPr>
            <w:noProof/>
            <w:webHidden/>
          </w:rPr>
          <w:instrText xml:space="preserve"> PAGEREF _Toc462651983 \h </w:instrText>
        </w:r>
        <w:r w:rsidR="009D24D5">
          <w:rPr>
            <w:noProof/>
            <w:webHidden/>
          </w:rPr>
        </w:r>
        <w:r w:rsidR="009D24D5">
          <w:rPr>
            <w:noProof/>
            <w:webHidden/>
          </w:rPr>
          <w:fldChar w:fldCharType="separate"/>
        </w:r>
        <w:r w:rsidR="00E51A34">
          <w:rPr>
            <w:noProof/>
            <w:webHidden/>
          </w:rPr>
          <w:t>94</w:t>
        </w:r>
        <w:r w:rsidR="009D24D5">
          <w:rPr>
            <w:noProof/>
            <w:webHidden/>
          </w:rPr>
          <w:fldChar w:fldCharType="end"/>
        </w:r>
      </w:hyperlink>
    </w:p>
    <w:p w14:paraId="59742875"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4" w:history="1">
        <w:r w:rsidR="009D24D5" w:rsidRPr="008833EC">
          <w:rPr>
            <w:rStyle w:val="Hyperlink"/>
            <w:noProof/>
          </w:rPr>
          <w:t>Figure A 9 Temporal trends in PSII-HEq with respect to flow rate of rivers influencing the Normanby Island passive sampler site in the Wet Tropics region since monitoring commenced</w:t>
        </w:r>
        <w:r w:rsidR="009D24D5">
          <w:rPr>
            <w:noProof/>
            <w:webHidden/>
          </w:rPr>
          <w:tab/>
        </w:r>
        <w:r w:rsidR="009D24D5">
          <w:rPr>
            <w:noProof/>
            <w:webHidden/>
          </w:rPr>
          <w:fldChar w:fldCharType="begin"/>
        </w:r>
        <w:r w:rsidR="009D24D5">
          <w:rPr>
            <w:noProof/>
            <w:webHidden/>
          </w:rPr>
          <w:instrText xml:space="preserve"> PAGEREF _Toc462651984 \h </w:instrText>
        </w:r>
        <w:r w:rsidR="009D24D5">
          <w:rPr>
            <w:noProof/>
            <w:webHidden/>
          </w:rPr>
        </w:r>
        <w:r w:rsidR="009D24D5">
          <w:rPr>
            <w:noProof/>
            <w:webHidden/>
          </w:rPr>
          <w:fldChar w:fldCharType="separate"/>
        </w:r>
        <w:r w:rsidR="00E51A34">
          <w:rPr>
            <w:noProof/>
            <w:webHidden/>
          </w:rPr>
          <w:t>95</w:t>
        </w:r>
        <w:r w:rsidR="009D24D5">
          <w:rPr>
            <w:noProof/>
            <w:webHidden/>
          </w:rPr>
          <w:fldChar w:fldCharType="end"/>
        </w:r>
      </w:hyperlink>
    </w:p>
    <w:p w14:paraId="5840EA6B"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5" w:history="1">
        <w:r w:rsidR="009D24D5" w:rsidRPr="008833EC">
          <w:rPr>
            <w:rStyle w:val="Hyperlink"/>
            <w:noProof/>
          </w:rPr>
          <w:t>Figure A 10 Temporal trends in PSII-HEq with respect to flow rate of rivers influencing the Lucinda passive sampler site in the Burdekin region since monitoring commenced</w:t>
        </w:r>
        <w:r w:rsidR="009D24D5">
          <w:rPr>
            <w:noProof/>
            <w:webHidden/>
          </w:rPr>
          <w:tab/>
        </w:r>
        <w:r w:rsidR="009D24D5">
          <w:rPr>
            <w:noProof/>
            <w:webHidden/>
          </w:rPr>
          <w:fldChar w:fldCharType="begin"/>
        </w:r>
        <w:r w:rsidR="009D24D5">
          <w:rPr>
            <w:noProof/>
            <w:webHidden/>
          </w:rPr>
          <w:instrText xml:space="preserve"> PAGEREF _Toc462651985 \h </w:instrText>
        </w:r>
        <w:r w:rsidR="009D24D5">
          <w:rPr>
            <w:noProof/>
            <w:webHidden/>
          </w:rPr>
        </w:r>
        <w:r w:rsidR="009D24D5">
          <w:rPr>
            <w:noProof/>
            <w:webHidden/>
          </w:rPr>
          <w:fldChar w:fldCharType="separate"/>
        </w:r>
        <w:r w:rsidR="00E51A34">
          <w:rPr>
            <w:noProof/>
            <w:webHidden/>
          </w:rPr>
          <w:t>96</w:t>
        </w:r>
        <w:r w:rsidR="009D24D5">
          <w:rPr>
            <w:noProof/>
            <w:webHidden/>
          </w:rPr>
          <w:fldChar w:fldCharType="end"/>
        </w:r>
      </w:hyperlink>
    </w:p>
    <w:p w14:paraId="4D6DE383"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6" w:history="1">
        <w:r w:rsidR="009D24D5" w:rsidRPr="008833EC">
          <w:rPr>
            <w:rStyle w:val="Hyperlink"/>
            <w:noProof/>
          </w:rPr>
          <w:t>Figure A 11 Temporal trends in PSII-HEq with respect to flow rate of rivers influencing the Orpheus Island passive sampler site in the Burdekin region since monitoring commenced</w:t>
        </w:r>
        <w:r w:rsidR="009D24D5">
          <w:rPr>
            <w:noProof/>
            <w:webHidden/>
          </w:rPr>
          <w:tab/>
        </w:r>
        <w:r w:rsidR="009D24D5">
          <w:rPr>
            <w:noProof/>
            <w:webHidden/>
          </w:rPr>
          <w:fldChar w:fldCharType="begin"/>
        </w:r>
        <w:r w:rsidR="009D24D5">
          <w:rPr>
            <w:noProof/>
            <w:webHidden/>
          </w:rPr>
          <w:instrText xml:space="preserve"> PAGEREF _Toc462651986 \h </w:instrText>
        </w:r>
        <w:r w:rsidR="009D24D5">
          <w:rPr>
            <w:noProof/>
            <w:webHidden/>
          </w:rPr>
        </w:r>
        <w:r w:rsidR="009D24D5">
          <w:rPr>
            <w:noProof/>
            <w:webHidden/>
          </w:rPr>
          <w:fldChar w:fldCharType="separate"/>
        </w:r>
        <w:r w:rsidR="00E51A34">
          <w:rPr>
            <w:noProof/>
            <w:webHidden/>
          </w:rPr>
          <w:t>97</w:t>
        </w:r>
        <w:r w:rsidR="009D24D5">
          <w:rPr>
            <w:noProof/>
            <w:webHidden/>
          </w:rPr>
          <w:fldChar w:fldCharType="end"/>
        </w:r>
      </w:hyperlink>
    </w:p>
    <w:p w14:paraId="0BBDEDDD"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7" w:history="1">
        <w:r w:rsidR="009D24D5" w:rsidRPr="008833EC">
          <w:rPr>
            <w:rStyle w:val="Hyperlink"/>
            <w:noProof/>
          </w:rPr>
          <w:t>Figure A 12 Temporal trends in PSII-HEq with respect to flow rate of rivers influencing the Cape Cleveland passive sampler site in the Burdekin region since monitoring commenced</w:t>
        </w:r>
        <w:r w:rsidR="009D24D5">
          <w:rPr>
            <w:noProof/>
            <w:webHidden/>
          </w:rPr>
          <w:tab/>
        </w:r>
        <w:r w:rsidR="009D24D5">
          <w:rPr>
            <w:noProof/>
            <w:webHidden/>
          </w:rPr>
          <w:fldChar w:fldCharType="begin"/>
        </w:r>
        <w:r w:rsidR="009D24D5">
          <w:rPr>
            <w:noProof/>
            <w:webHidden/>
          </w:rPr>
          <w:instrText xml:space="preserve"> PAGEREF _Toc462651987 \h </w:instrText>
        </w:r>
        <w:r w:rsidR="009D24D5">
          <w:rPr>
            <w:noProof/>
            <w:webHidden/>
          </w:rPr>
        </w:r>
        <w:r w:rsidR="009D24D5">
          <w:rPr>
            <w:noProof/>
            <w:webHidden/>
          </w:rPr>
          <w:fldChar w:fldCharType="separate"/>
        </w:r>
        <w:r w:rsidR="00E51A34">
          <w:rPr>
            <w:noProof/>
            <w:webHidden/>
          </w:rPr>
          <w:t>98</w:t>
        </w:r>
        <w:r w:rsidR="009D24D5">
          <w:rPr>
            <w:noProof/>
            <w:webHidden/>
          </w:rPr>
          <w:fldChar w:fldCharType="end"/>
        </w:r>
      </w:hyperlink>
    </w:p>
    <w:p w14:paraId="105ADF86"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8" w:history="1">
        <w:r w:rsidR="009D24D5" w:rsidRPr="008833EC">
          <w:rPr>
            <w:rStyle w:val="Hyperlink"/>
            <w:noProof/>
          </w:rPr>
          <w:t>Figure A 13 Temporal trends in PSII-HEq with respect to flow rate of rivers influencing the Barratta Creek mouth passive sampler site in the Burdekin region since monitoring commenced</w:t>
        </w:r>
        <w:r w:rsidR="009D24D5">
          <w:rPr>
            <w:noProof/>
            <w:webHidden/>
          </w:rPr>
          <w:tab/>
        </w:r>
        <w:r w:rsidR="009D24D5">
          <w:rPr>
            <w:noProof/>
            <w:webHidden/>
          </w:rPr>
          <w:fldChar w:fldCharType="begin"/>
        </w:r>
        <w:r w:rsidR="009D24D5">
          <w:rPr>
            <w:noProof/>
            <w:webHidden/>
          </w:rPr>
          <w:instrText xml:space="preserve"> PAGEREF _Toc462651988 \h </w:instrText>
        </w:r>
        <w:r w:rsidR="009D24D5">
          <w:rPr>
            <w:noProof/>
            <w:webHidden/>
          </w:rPr>
        </w:r>
        <w:r w:rsidR="009D24D5">
          <w:rPr>
            <w:noProof/>
            <w:webHidden/>
          </w:rPr>
          <w:fldChar w:fldCharType="separate"/>
        </w:r>
        <w:r w:rsidR="00E51A34">
          <w:rPr>
            <w:noProof/>
            <w:webHidden/>
          </w:rPr>
          <w:t>99</w:t>
        </w:r>
        <w:r w:rsidR="009D24D5">
          <w:rPr>
            <w:noProof/>
            <w:webHidden/>
          </w:rPr>
          <w:fldChar w:fldCharType="end"/>
        </w:r>
      </w:hyperlink>
    </w:p>
    <w:p w14:paraId="093DDFEA"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89" w:history="1">
        <w:r w:rsidR="009D24D5" w:rsidRPr="008833EC">
          <w:rPr>
            <w:rStyle w:val="Hyperlink"/>
            <w:noProof/>
          </w:rPr>
          <w:t>Figure A 14 Temporal trends in PSII-HEq with respect to flow rate of rivers influencing the Barratta Creek case study passive sampler site in the Burdekin region</w:t>
        </w:r>
        <w:r w:rsidR="009D24D5">
          <w:rPr>
            <w:noProof/>
            <w:webHidden/>
          </w:rPr>
          <w:tab/>
        </w:r>
        <w:r w:rsidR="009D24D5">
          <w:rPr>
            <w:noProof/>
            <w:webHidden/>
          </w:rPr>
          <w:fldChar w:fldCharType="begin"/>
        </w:r>
        <w:r w:rsidR="009D24D5">
          <w:rPr>
            <w:noProof/>
            <w:webHidden/>
          </w:rPr>
          <w:instrText xml:space="preserve"> PAGEREF _Toc462651989 \h </w:instrText>
        </w:r>
        <w:r w:rsidR="009D24D5">
          <w:rPr>
            <w:noProof/>
            <w:webHidden/>
          </w:rPr>
        </w:r>
        <w:r w:rsidR="009D24D5">
          <w:rPr>
            <w:noProof/>
            <w:webHidden/>
          </w:rPr>
          <w:fldChar w:fldCharType="separate"/>
        </w:r>
        <w:r w:rsidR="00E51A34">
          <w:rPr>
            <w:noProof/>
            <w:webHidden/>
          </w:rPr>
          <w:t>100</w:t>
        </w:r>
        <w:r w:rsidR="009D24D5">
          <w:rPr>
            <w:noProof/>
            <w:webHidden/>
          </w:rPr>
          <w:fldChar w:fldCharType="end"/>
        </w:r>
      </w:hyperlink>
    </w:p>
    <w:p w14:paraId="25C3CB62"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0" w:history="1">
        <w:r w:rsidR="009D24D5" w:rsidRPr="008833EC">
          <w:rPr>
            <w:rStyle w:val="Hyperlink"/>
            <w:noProof/>
          </w:rPr>
          <w:t>Figure A 15 Temporal trends in PSII-HEq with respect to flow rate of rivers influencing the Outer Whitsunday passive sampler site in the Mackay Whitsunday region since monitoring commenced</w:t>
        </w:r>
        <w:r w:rsidR="009D24D5">
          <w:rPr>
            <w:noProof/>
            <w:webHidden/>
          </w:rPr>
          <w:tab/>
        </w:r>
        <w:r w:rsidR="009D24D5">
          <w:rPr>
            <w:noProof/>
            <w:webHidden/>
          </w:rPr>
          <w:fldChar w:fldCharType="begin"/>
        </w:r>
        <w:r w:rsidR="009D24D5">
          <w:rPr>
            <w:noProof/>
            <w:webHidden/>
          </w:rPr>
          <w:instrText xml:space="preserve"> PAGEREF _Toc462651990 \h </w:instrText>
        </w:r>
        <w:r w:rsidR="009D24D5">
          <w:rPr>
            <w:noProof/>
            <w:webHidden/>
          </w:rPr>
        </w:r>
        <w:r w:rsidR="009D24D5">
          <w:rPr>
            <w:noProof/>
            <w:webHidden/>
          </w:rPr>
          <w:fldChar w:fldCharType="separate"/>
        </w:r>
        <w:r w:rsidR="00E51A34">
          <w:rPr>
            <w:noProof/>
            <w:webHidden/>
          </w:rPr>
          <w:t>101</w:t>
        </w:r>
        <w:r w:rsidR="009D24D5">
          <w:rPr>
            <w:noProof/>
            <w:webHidden/>
          </w:rPr>
          <w:fldChar w:fldCharType="end"/>
        </w:r>
      </w:hyperlink>
    </w:p>
    <w:p w14:paraId="635E2AFE"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1" w:history="1">
        <w:r w:rsidR="009D24D5" w:rsidRPr="008833EC">
          <w:rPr>
            <w:rStyle w:val="Hyperlink"/>
            <w:noProof/>
          </w:rPr>
          <w:t>Figure A 16 Temporal trends in PSII-HEq with respect to flow rate of rivers influencing the Repulse Bay passive sampler site in the Mackay Whitsunday region since monitoring commenced</w:t>
        </w:r>
        <w:r w:rsidR="009D24D5">
          <w:rPr>
            <w:noProof/>
            <w:webHidden/>
          </w:rPr>
          <w:tab/>
        </w:r>
        <w:r w:rsidR="009D24D5">
          <w:rPr>
            <w:noProof/>
            <w:webHidden/>
          </w:rPr>
          <w:fldChar w:fldCharType="begin"/>
        </w:r>
        <w:r w:rsidR="009D24D5">
          <w:rPr>
            <w:noProof/>
            <w:webHidden/>
          </w:rPr>
          <w:instrText xml:space="preserve"> PAGEREF _Toc462651991 \h </w:instrText>
        </w:r>
        <w:r w:rsidR="009D24D5">
          <w:rPr>
            <w:noProof/>
            <w:webHidden/>
          </w:rPr>
        </w:r>
        <w:r w:rsidR="009D24D5">
          <w:rPr>
            <w:noProof/>
            <w:webHidden/>
          </w:rPr>
          <w:fldChar w:fldCharType="separate"/>
        </w:r>
        <w:r w:rsidR="00E51A34">
          <w:rPr>
            <w:noProof/>
            <w:webHidden/>
          </w:rPr>
          <w:t>102</w:t>
        </w:r>
        <w:r w:rsidR="009D24D5">
          <w:rPr>
            <w:noProof/>
            <w:webHidden/>
          </w:rPr>
          <w:fldChar w:fldCharType="end"/>
        </w:r>
      </w:hyperlink>
    </w:p>
    <w:p w14:paraId="2EA43B8D"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2" w:history="1">
        <w:r w:rsidR="009D24D5" w:rsidRPr="008833EC">
          <w:rPr>
            <w:rStyle w:val="Hyperlink"/>
            <w:noProof/>
          </w:rPr>
          <w:t>Figure A 17 Temporal trends in PSII-HEq with respect to flow rate of rivers influencing the Round/ Flat Top passive sampler site in the Mackay Whitsunday region since monitoring commenced</w:t>
        </w:r>
        <w:r w:rsidR="009D24D5">
          <w:rPr>
            <w:noProof/>
            <w:webHidden/>
          </w:rPr>
          <w:tab/>
        </w:r>
        <w:r w:rsidR="009D24D5">
          <w:rPr>
            <w:noProof/>
            <w:webHidden/>
          </w:rPr>
          <w:fldChar w:fldCharType="begin"/>
        </w:r>
        <w:r w:rsidR="009D24D5">
          <w:rPr>
            <w:noProof/>
            <w:webHidden/>
          </w:rPr>
          <w:instrText xml:space="preserve"> PAGEREF _Toc462651992 \h </w:instrText>
        </w:r>
        <w:r w:rsidR="009D24D5">
          <w:rPr>
            <w:noProof/>
            <w:webHidden/>
          </w:rPr>
        </w:r>
        <w:r w:rsidR="009D24D5">
          <w:rPr>
            <w:noProof/>
            <w:webHidden/>
          </w:rPr>
          <w:fldChar w:fldCharType="separate"/>
        </w:r>
        <w:r w:rsidR="00E51A34">
          <w:rPr>
            <w:noProof/>
            <w:webHidden/>
          </w:rPr>
          <w:t>103</w:t>
        </w:r>
        <w:r w:rsidR="009D24D5">
          <w:rPr>
            <w:noProof/>
            <w:webHidden/>
          </w:rPr>
          <w:fldChar w:fldCharType="end"/>
        </w:r>
      </w:hyperlink>
    </w:p>
    <w:p w14:paraId="6D8D4B90"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3" w:history="1">
        <w:r w:rsidR="009D24D5" w:rsidRPr="008833EC">
          <w:rPr>
            <w:rStyle w:val="Hyperlink"/>
            <w:noProof/>
          </w:rPr>
          <w:t>Figure A 18 Temporal trends in PSII-HEq with respect to flow rate of rivers influencing the Sandy Creek passive sampler site in the Mackay Whitsunday region since monitoring commenced</w:t>
        </w:r>
        <w:r w:rsidR="009D24D5">
          <w:rPr>
            <w:noProof/>
            <w:webHidden/>
          </w:rPr>
          <w:tab/>
        </w:r>
        <w:r w:rsidR="009D24D5">
          <w:rPr>
            <w:noProof/>
            <w:webHidden/>
          </w:rPr>
          <w:fldChar w:fldCharType="begin"/>
        </w:r>
        <w:r w:rsidR="009D24D5">
          <w:rPr>
            <w:noProof/>
            <w:webHidden/>
          </w:rPr>
          <w:instrText xml:space="preserve"> PAGEREF _Toc462651993 \h </w:instrText>
        </w:r>
        <w:r w:rsidR="009D24D5">
          <w:rPr>
            <w:noProof/>
            <w:webHidden/>
          </w:rPr>
        </w:r>
        <w:r w:rsidR="009D24D5">
          <w:rPr>
            <w:noProof/>
            <w:webHidden/>
          </w:rPr>
          <w:fldChar w:fldCharType="separate"/>
        </w:r>
        <w:r w:rsidR="00E51A34">
          <w:rPr>
            <w:noProof/>
            <w:webHidden/>
          </w:rPr>
          <w:t>104</w:t>
        </w:r>
        <w:r w:rsidR="009D24D5">
          <w:rPr>
            <w:noProof/>
            <w:webHidden/>
          </w:rPr>
          <w:fldChar w:fldCharType="end"/>
        </w:r>
      </w:hyperlink>
    </w:p>
    <w:p w14:paraId="6098CE1E"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4" w:history="1">
        <w:r w:rsidR="009D24D5" w:rsidRPr="008833EC">
          <w:rPr>
            <w:rStyle w:val="Hyperlink"/>
            <w:noProof/>
          </w:rPr>
          <w:t>Figure A 19 Temporal trends in PSII-HEq with respect to flow rate of rivers influencing the Sarina Inlet passive sampler site in the Mackay Whitsunday region since monitoring commenced</w:t>
        </w:r>
        <w:r w:rsidR="009D24D5">
          <w:rPr>
            <w:noProof/>
            <w:webHidden/>
          </w:rPr>
          <w:tab/>
        </w:r>
        <w:r w:rsidR="009D24D5">
          <w:rPr>
            <w:noProof/>
            <w:webHidden/>
          </w:rPr>
          <w:fldChar w:fldCharType="begin"/>
        </w:r>
        <w:r w:rsidR="009D24D5">
          <w:rPr>
            <w:noProof/>
            <w:webHidden/>
          </w:rPr>
          <w:instrText xml:space="preserve"> PAGEREF _Toc462651994 \h </w:instrText>
        </w:r>
        <w:r w:rsidR="009D24D5">
          <w:rPr>
            <w:noProof/>
            <w:webHidden/>
          </w:rPr>
        </w:r>
        <w:r w:rsidR="009D24D5">
          <w:rPr>
            <w:noProof/>
            <w:webHidden/>
          </w:rPr>
          <w:fldChar w:fldCharType="separate"/>
        </w:r>
        <w:r w:rsidR="00E51A34">
          <w:rPr>
            <w:noProof/>
            <w:webHidden/>
          </w:rPr>
          <w:t>105</w:t>
        </w:r>
        <w:r w:rsidR="009D24D5">
          <w:rPr>
            <w:noProof/>
            <w:webHidden/>
          </w:rPr>
          <w:fldChar w:fldCharType="end"/>
        </w:r>
      </w:hyperlink>
    </w:p>
    <w:p w14:paraId="61284A02"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5" w:history="1">
        <w:r w:rsidR="009D24D5" w:rsidRPr="008833EC">
          <w:rPr>
            <w:rStyle w:val="Hyperlink"/>
            <w:noProof/>
          </w:rPr>
          <w:t>Figure A 20 Temporal trends in PSII-HEq with respect to flow rate of rivers influencing the North Keppel Island passive sampler site in the Fitzroy region since monitoring commenced</w:t>
        </w:r>
        <w:r w:rsidR="009D24D5">
          <w:rPr>
            <w:noProof/>
            <w:webHidden/>
          </w:rPr>
          <w:tab/>
        </w:r>
        <w:r w:rsidR="009D24D5">
          <w:rPr>
            <w:noProof/>
            <w:webHidden/>
          </w:rPr>
          <w:fldChar w:fldCharType="begin"/>
        </w:r>
        <w:r w:rsidR="009D24D5">
          <w:rPr>
            <w:noProof/>
            <w:webHidden/>
          </w:rPr>
          <w:instrText xml:space="preserve"> PAGEREF _Toc462651995 \h </w:instrText>
        </w:r>
        <w:r w:rsidR="009D24D5">
          <w:rPr>
            <w:noProof/>
            <w:webHidden/>
          </w:rPr>
        </w:r>
        <w:r w:rsidR="009D24D5">
          <w:rPr>
            <w:noProof/>
            <w:webHidden/>
          </w:rPr>
          <w:fldChar w:fldCharType="separate"/>
        </w:r>
        <w:r w:rsidR="00E51A34">
          <w:rPr>
            <w:noProof/>
            <w:webHidden/>
          </w:rPr>
          <w:t>106</w:t>
        </w:r>
        <w:r w:rsidR="009D24D5">
          <w:rPr>
            <w:noProof/>
            <w:webHidden/>
          </w:rPr>
          <w:fldChar w:fldCharType="end"/>
        </w:r>
      </w:hyperlink>
    </w:p>
    <w:p w14:paraId="61AC2B41"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6" w:history="1">
        <w:r w:rsidR="009D24D5" w:rsidRPr="008833EC">
          <w:rPr>
            <w:rStyle w:val="Hyperlink"/>
            <w:noProof/>
          </w:rPr>
          <w:t>Figure A 21 Temporal concentration profiles of individual herbicides at Low Isles in the Wet Tropics region</w:t>
        </w:r>
        <w:r w:rsidR="009D24D5">
          <w:rPr>
            <w:noProof/>
            <w:webHidden/>
          </w:rPr>
          <w:tab/>
        </w:r>
        <w:r w:rsidR="009D24D5">
          <w:rPr>
            <w:noProof/>
            <w:webHidden/>
          </w:rPr>
          <w:fldChar w:fldCharType="begin"/>
        </w:r>
        <w:r w:rsidR="009D24D5">
          <w:rPr>
            <w:noProof/>
            <w:webHidden/>
          </w:rPr>
          <w:instrText xml:space="preserve"> PAGEREF _Toc462651996 \h </w:instrText>
        </w:r>
        <w:r w:rsidR="009D24D5">
          <w:rPr>
            <w:noProof/>
            <w:webHidden/>
          </w:rPr>
        </w:r>
        <w:r w:rsidR="009D24D5">
          <w:rPr>
            <w:noProof/>
            <w:webHidden/>
          </w:rPr>
          <w:fldChar w:fldCharType="separate"/>
        </w:r>
        <w:r w:rsidR="00E51A34">
          <w:rPr>
            <w:noProof/>
            <w:webHidden/>
          </w:rPr>
          <w:t>107</w:t>
        </w:r>
        <w:r w:rsidR="009D24D5">
          <w:rPr>
            <w:noProof/>
            <w:webHidden/>
          </w:rPr>
          <w:fldChar w:fldCharType="end"/>
        </w:r>
      </w:hyperlink>
    </w:p>
    <w:p w14:paraId="25045879"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7" w:history="1">
        <w:r w:rsidR="009D24D5" w:rsidRPr="008833EC">
          <w:rPr>
            <w:rStyle w:val="Hyperlink"/>
            <w:noProof/>
          </w:rPr>
          <w:t>Figure A 22 Temporal concentration profiles of individual herbicides at Green Island in the Wet Tropics region</w:t>
        </w:r>
        <w:r w:rsidR="009D24D5">
          <w:rPr>
            <w:noProof/>
            <w:webHidden/>
          </w:rPr>
          <w:tab/>
        </w:r>
        <w:r w:rsidR="009D24D5">
          <w:rPr>
            <w:noProof/>
            <w:webHidden/>
          </w:rPr>
          <w:fldChar w:fldCharType="begin"/>
        </w:r>
        <w:r w:rsidR="009D24D5">
          <w:rPr>
            <w:noProof/>
            <w:webHidden/>
          </w:rPr>
          <w:instrText xml:space="preserve"> PAGEREF _Toc462651997 \h </w:instrText>
        </w:r>
        <w:r w:rsidR="009D24D5">
          <w:rPr>
            <w:noProof/>
            <w:webHidden/>
          </w:rPr>
        </w:r>
        <w:r w:rsidR="009D24D5">
          <w:rPr>
            <w:noProof/>
            <w:webHidden/>
          </w:rPr>
          <w:fldChar w:fldCharType="separate"/>
        </w:r>
        <w:r w:rsidR="00E51A34">
          <w:rPr>
            <w:noProof/>
            <w:webHidden/>
          </w:rPr>
          <w:t>108</w:t>
        </w:r>
        <w:r w:rsidR="009D24D5">
          <w:rPr>
            <w:noProof/>
            <w:webHidden/>
          </w:rPr>
          <w:fldChar w:fldCharType="end"/>
        </w:r>
      </w:hyperlink>
    </w:p>
    <w:p w14:paraId="32C2D71A"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8" w:history="1">
        <w:r w:rsidR="009D24D5" w:rsidRPr="008833EC">
          <w:rPr>
            <w:rStyle w:val="Hyperlink"/>
            <w:noProof/>
          </w:rPr>
          <w:t>Figure A 23 Temporal concentration profiles of individual herbicides at Fitzroy Island in the Wet Tropics region</w:t>
        </w:r>
        <w:r w:rsidR="009D24D5">
          <w:rPr>
            <w:noProof/>
            <w:webHidden/>
          </w:rPr>
          <w:tab/>
        </w:r>
        <w:r w:rsidR="009D24D5">
          <w:rPr>
            <w:noProof/>
            <w:webHidden/>
          </w:rPr>
          <w:fldChar w:fldCharType="begin"/>
        </w:r>
        <w:r w:rsidR="009D24D5">
          <w:rPr>
            <w:noProof/>
            <w:webHidden/>
          </w:rPr>
          <w:instrText xml:space="preserve"> PAGEREF _Toc462651998 \h </w:instrText>
        </w:r>
        <w:r w:rsidR="009D24D5">
          <w:rPr>
            <w:noProof/>
            <w:webHidden/>
          </w:rPr>
        </w:r>
        <w:r w:rsidR="009D24D5">
          <w:rPr>
            <w:noProof/>
            <w:webHidden/>
          </w:rPr>
          <w:fldChar w:fldCharType="separate"/>
        </w:r>
        <w:r w:rsidR="00E51A34">
          <w:rPr>
            <w:noProof/>
            <w:webHidden/>
          </w:rPr>
          <w:t>109</w:t>
        </w:r>
        <w:r w:rsidR="009D24D5">
          <w:rPr>
            <w:noProof/>
            <w:webHidden/>
          </w:rPr>
          <w:fldChar w:fldCharType="end"/>
        </w:r>
      </w:hyperlink>
    </w:p>
    <w:p w14:paraId="77C2BC4F"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1999" w:history="1">
        <w:r w:rsidR="009D24D5" w:rsidRPr="008833EC">
          <w:rPr>
            <w:rStyle w:val="Hyperlink"/>
            <w:noProof/>
          </w:rPr>
          <w:t>Figure A 24 Temporal concentration profiles of individual herbicides at Dunk Island in the Wet Tropics region</w:t>
        </w:r>
        <w:r w:rsidR="009D24D5">
          <w:rPr>
            <w:noProof/>
            <w:webHidden/>
          </w:rPr>
          <w:tab/>
        </w:r>
        <w:r w:rsidR="009D24D5">
          <w:rPr>
            <w:noProof/>
            <w:webHidden/>
          </w:rPr>
          <w:fldChar w:fldCharType="begin"/>
        </w:r>
        <w:r w:rsidR="009D24D5">
          <w:rPr>
            <w:noProof/>
            <w:webHidden/>
          </w:rPr>
          <w:instrText xml:space="preserve"> PAGEREF _Toc462651999 \h </w:instrText>
        </w:r>
        <w:r w:rsidR="009D24D5">
          <w:rPr>
            <w:noProof/>
            <w:webHidden/>
          </w:rPr>
        </w:r>
        <w:r w:rsidR="009D24D5">
          <w:rPr>
            <w:noProof/>
            <w:webHidden/>
          </w:rPr>
          <w:fldChar w:fldCharType="separate"/>
        </w:r>
        <w:r w:rsidR="00E51A34">
          <w:rPr>
            <w:noProof/>
            <w:webHidden/>
          </w:rPr>
          <w:t>110</w:t>
        </w:r>
        <w:r w:rsidR="009D24D5">
          <w:rPr>
            <w:noProof/>
            <w:webHidden/>
          </w:rPr>
          <w:fldChar w:fldCharType="end"/>
        </w:r>
      </w:hyperlink>
    </w:p>
    <w:p w14:paraId="04BF27ED"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0" w:history="1">
        <w:r w:rsidR="009D24D5" w:rsidRPr="008833EC">
          <w:rPr>
            <w:rStyle w:val="Hyperlink"/>
            <w:noProof/>
          </w:rPr>
          <w:t>Figure A 25 Temporal concentration profiles of individual herbicides at Normanby Island in the Wet Tropics region</w:t>
        </w:r>
        <w:r w:rsidR="009D24D5">
          <w:rPr>
            <w:noProof/>
            <w:webHidden/>
          </w:rPr>
          <w:tab/>
        </w:r>
        <w:r w:rsidR="009D24D5">
          <w:rPr>
            <w:noProof/>
            <w:webHidden/>
          </w:rPr>
          <w:fldChar w:fldCharType="begin"/>
        </w:r>
        <w:r w:rsidR="009D24D5">
          <w:rPr>
            <w:noProof/>
            <w:webHidden/>
          </w:rPr>
          <w:instrText xml:space="preserve"> PAGEREF _Toc462652000 \h </w:instrText>
        </w:r>
        <w:r w:rsidR="009D24D5">
          <w:rPr>
            <w:noProof/>
            <w:webHidden/>
          </w:rPr>
        </w:r>
        <w:r w:rsidR="009D24D5">
          <w:rPr>
            <w:noProof/>
            <w:webHidden/>
          </w:rPr>
          <w:fldChar w:fldCharType="separate"/>
        </w:r>
        <w:r w:rsidR="00E51A34">
          <w:rPr>
            <w:noProof/>
            <w:webHidden/>
          </w:rPr>
          <w:t>111</w:t>
        </w:r>
        <w:r w:rsidR="009D24D5">
          <w:rPr>
            <w:noProof/>
            <w:webHidden/>
          </w:rPr>
          <w:fldChar w:fldCharType="end"/>
        </w:r>
      </w:hyperlink>
    </w:p>
    <w:p w14:paraId="346B6113"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1" w:history="1">
        <w:r w:rsidR="009D24D5" w:rsidRPr="008833EC">
          <w:rPr>
            <w:rStyle w:val="Hyperlink"/>
            <w:noProof/>
          </w:rPr>
          <w:t>Figure A 26 Temporal concentration profiles of individual herbicides at Lucinda in the Wet Tropics region</w:t>
        </w:r>
        <w:r w:rsidR="009D24D5">
          <w:rPr>
            <w:noProof/>
            <w:webHidden/>
          </w:rPr>
          <w:tab/>
        </w:r>
        <w:r w:rsidR="009D24D5">
          <w:rPr>
            <w:noProof/>
            <w:webHidden/>
          </w:rPr>
          <w:fldChar w:fldCharType="begin"/>
        </w:r>
        <w:r w:rsidR="009D24D5">
          <w:rPr>
            <w:noProof/>
            <w:webHidden/>
          </w:rPr>
          <w:instrText xml:space="preserve"> PAGEREF _Toc462652001 \h </w:instrText>
        </w:r>
        <w:r w:rsidR="009D24D5">
          <w:rPr>
            <w:noProof/>
            <w:webHidden/>
          </w:rPr>
        </w:r>
        <w:r w:rsidR="009D24D5">
          <w:rPr>
            <w:noProof/>
            <w:webHidden/>
          </w:rPr>
          <w:fldChar w:fldCharType="separate"/>
        </w:r>
        <w:r w:rsidR="00E51A34">
          <w:rPr>
            <w:noProof/>
            <w:webHidden/>
          </w:rPr>
          <w:t>112</w:t>
        </w:r>
        <w:r w:rsidR="009D24D5">
          <w:rPr>
            <w:noProof/>
            <w:webHidden/>
          </w:rPr>
          <w:fldChar w:fldCharType="end"/>
        </w:r>
      </w:hyperlink>
    </w:p>
    <w:p w14:paraId="1677F5AA"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2" w:history="1">
        <w:r w:rsidR="009D24D5" w:rsidRPr="008833EC">
          <w:rPr>
            <w:rStyle w:val="Hyperlink"/>
            <w:noProof/>
          </w:rPr>
          <w:t>Figure A 27 Temporal concentration profiles of individual herbicides at Orpheus Island in the Burdekin region</w:t>
        </w:r>
        <w:r w:rsidR="009D24D5">
          <w:rPr>
            <w:noProof/>
            <w:webHidden/>
          </w:rPr>
          <w:tab/>
        </w:r>
        <w:r w:rsidR="009D24D5">
          <w:rPr>
            <w:noProof/>
            <w:webHidden/>
          </w:rPr>
          <w:fldChar w:fldCharType="begin"/>
        </w:r>
        <w:r w:rsidR="009D24D5">
          <w:rPr>
            <w:noProof/>
            <w:webHidden/>
          </w:rPr>
          <w:instrText xml:space="preserve"> PAGEREF _Toc462652002 \h </w:instrText>
        </w:r>
        <w:r w:rsidR="009D24D5">
          <w:rPr>
            <w:noProof/>
            <w:webHidden/>
          </w:rPr>
        </w:r>
        <w:r w:rsidR="009D24D5">
          <w:rPr>
            <w:noProof/>
            <w:webHidden/>
          </w:rPr>
          <w:fldChar w:fldCharType="separate"/>
        </w:r>
        <w:r w:rsidR="00E51A34">
          <w:rPr>
            <w:noProof/>
            <w:webHidden/>
          </w:rPr>
          <w:t>113</w:t>
        </w:r>
        <w:r w:rsidR="009D24D5">
          <w:rPr>
            <w:noProof/>
            <w:webHidden/>
          </w:rPr>
          <w:fldChar w:fldCharType="end"/>
        </w:r>
      </w:hyperlink>
    </w:p>
    <w:p w14:paraId="1318337B"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3" w:history="1">
        <w:r w:rsidR="009D24D5" w:rsidRPr="008833EC">
          <w:rPr>
            <w:rStyle w:val="Hyperlink"/>
            <w:noProof/>
          </w:rPr>
          <w:t>Figure A 28 Temporal concentration profiles of individual herbicides at Cape Cleveland in the Burdekin region</w:t>
        </w:r>
        <w:r w:rsidR="009D24D5">
          <w:rPr>
            <w:noProof/>
            <w:webHidden/>
          </w:rPr>
          <w:tab/>
        </w:r>
        <w:r w:rsidR="009D24D5">
          <w:rPr>
            <w:noProof/>
            <w:webHidden/>
          </w:rPr>
          <w:fldChar w:fldCharType="begin"/>
        </w:r>
        <w:r w:rsidR="009D24D5">
          <w:rPr>
            <w:noProof/>
            <w:webHidden/>
          </w:rPr>
          <w:instrText xml:space="preserve"> PAGEREF _Toc462652003 \h </w:instrText>
        </w:r>
        <w:r w:rsidR="009D24D5">
          <w:rPr>
            <w:noProof/>
            <w:webHidden/>
          </w:rPr>
        </w:r>
        <w:r w:rsidR="009D24D5">
          <w:rPr>
            <w:noProof/>
            <w:webHidden/>
          </w:rPr>
          <w:fldChar w:fldCharType="separate"/>
        </w:r>
        <w:r w:rsidR="00E51A34">
          <w:rPr>
            <w:noProof/>
            <w:webHidden/>
          </w:rPr>
          <w:t>114</w:t>
        </w:r>
        <w:r w:rsidR="009D24D5">
          <w:rPr>
            <w:noProof/>
            <w:webHidden/>
          </w:rPr>
          <w:fldChar w:fldCharType="end"/>
        </w:r>
      </w:hyperlink>
    </w:p>
    <w:p w14:paraId="227BBC6B"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4" w:history="1">
        <w:r w:rsidR="009D24D5" w:rsidRPr="008833EC">
          <w:rPr>
            <w:rStyle w:val="Hyperlink"/>
            <w:noProof/>
          </w:rPr>
          <w:t>Figure A 29 Temporal concentration profiles of individual herbicides at Barratta Creek mouth in the Burdekin region</w:t>
        </w:r>
        <w:r w:rsidR="009D24D5">
          <w:rPr>
            <w:noProof/>
            <w:webHidden/>
          </w:rPr>
          <w:tab/>
        </w:r>
        <w:r w:rsidR="009D24D5">
          <w:rPr>
            <w:noProof/>
            <w:webHidden/>
          </w:rPr>
          <w:fldChar w:fldCharType="begin"/>
        </w:r>
        <w:r w:rsidR="009D24D5">
          <w:rPr>
            <w:noProof/>
            <w:webHidden/>
          </w:rPr>
          <w:instrText xml:space="preserve"> PAGEREF _Toc462652004 \h </w:instrText>
        </w:r>
        <w:r w:rsidR="009D24D5">
          <w:rPr>
            <w:noProof/>
            <w:webHidden/>
          </w:rPr>
        </w:r>
        <w:r w:rsidR="009D24D5">
          <w:rPr>
            <w:noProof/>
            <w:webHidden/>
          </w:rPr>
          <w:fldChar w:fldCharType="separate"/>
        </w:r>
        <w:r w:rsidR="00E51A34">
          <w:rPr>
            <w:noProof/>
            <w:webHidden/>
          </w:rPr>
          <w:t>115</w:t>
        </w:r>
        <w:r w:rsidR="009D24D5">
          <w:rPr>
            <w:noProof/>
            <w:webHidden/>
          </w:rPr>
          <w:fldChar w:fldCharType="end"/>
        </w:r>
      </w:hyperlink>
    </w:p>
    <w:p w14:paraId="7FF81A53"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5" w:history="1">
        <w:r w:rsidR="009D24D5" w:rsidRPr="008833EC">
          <w:rPr>
            <w:rStyle w:val="Hyperlink"/>
            <w:noProof/>
          </w:rPr>
          <w:t>Figure A 30 Temporal concentration profiles of individual herbicides at the Barratta Creek case study sites in the Burdekin region</w:t>
        </w:r>
        <w:r w:rsidR="009D24D5">
          <w:rPr>
            <w:noProof/>
            <w:webHidden/>
          </w:rPr>
          <w:tab/>
        </w:r>
        <w:r w:rsidR="009D24D5">
          <w:rPr>
            <w:noProof/>
            <w:webHidden/>
          </w:rPr>
          <w:fldChar w:fldCharType="begin"/>
        </w:r>
        <w:r w:rsidR="009D24D5">
          <w:rPr>
            <w:noProof/>
            <w:webHidden/>
          </w:rPr>
          <w:instrText xml:space="preserve"> PAGEREF _Toc462652005 \h </w:instrText>
        </w:r>
        <w:r w:rsidR="009D24D5">
          <w:rPr>
            <w:noProof/>
            <w:webHidden/>
          </w:rPr>
        </w:r>
        <w:r w:rsidR="009D24D5">
          <w:rPr>
            <w:noProof/>
            <w:webHidden/>
          </w:rPr>
          <w:fldChar w:fldCharType="separate"/>
        </w:r>
        <w:r w:rsidR="00E51A34">
          <w:rPr>
            <w:noProof/>
            <w:webHidden/>
          </w:rPr>
          <w:t>116</w:t>
        </w:r>
        <w:r w:rsidR="009D24D5">
          <w:rPr>
            <w:noProof/>
            <w:webHidden/>
          </w:rPr>
          <w:fldChar w:fldCharType="end"/>
        </w:r>
      </w:hyperlink>
    </w:p>
    <w:p w14:paraId="6C16F0F7"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6" w:history="1">
        <w:r w:rsidR="009D24D5" w:rsidRPr="008833EC">
          <w:rPr>
            <w:rStyle w:val="Hyperlink"/>
            <w:noProof/>
          </w:rPr>
          <w:t>Figure A 31 Temporal concentration profiles of individual herbicides at Outer Whitsunday in the Mackay Whitsunday region</w:t>
        </w:r>
        <w:r w:rsidR="009D24D5">
          <w:rPr>
            <w:noProof/>
            <w:webHidden/>
          </w:rPr>
          <w:tab/>
        </w:r>
        <w:r w:rsidR="009D24D5">
          <w:rPr>
            <w:noProof/>
            <w:webHidden/>
          </w:rPr>
          <w:fldChar w:fldCharType="begin"/>
        </w:r>
        <w:r w:rsidR="009D24D5">
          <w:rPr>
            <w:noProof/>
            <w:webHidden/>
          </w:rPr>
          <w:instrText xml:space="preserve"> PAGEREF _Toc462652006 \h </w:instrText>
        </w:r>
        <w:r w:rsidR="009D24D5">
          <w:rPr>
            <w:noProof/>
            <w:webHidden/>
          </w:rPr>
        </w:r>
        <w:r w:rsidR="009D24D5">
          <w:rPr>
            <w:noProof/>
            <w:webHidden/>
          </w:rPr>
          <w:fldChar w:fldCharType="separate"/>
        </w:r>
        <w:r w:rsidR="00E51A34">
          <w:rPr>
            <w:noProof/>
            <w:webHidden/>
          </w:rPr>
          <w:t>117</w:t>
        </w:r>
        <w:r w:rsidR="009D24D5">
          <w:rPr>
            <w:noProof/>
            <w:webHidden/>
          </w:rPr>
          <w:fldChar w:fldCharType="end"/>
        </w:r>
      </w:hyperlink>
    </w:p>
    <w:p w14:paraId="472715A9"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7" w:history="1">
        <w:r w:rsidR="009D24D5" w:rsidRPr="008833EC">
          <w:rPr>
            <w:rStyle w:val="Hyperlink"/>
            <w:noProof/>
          </w:rPr>
          <w:t>Figure A 32 Temporal concentration profiles of individual herbicides at Repulse Bay in the Mackay Whitsunday region</w:t>
        </w:r>
        <w:r w:rsidR="009D24D5">
          <w:rPr>
            <w:noProof/>
            <w:webHidden/>
          </w:rPr>
          <w:tab/>
        </w:r>
        <w:r w:rsidR="009D24D5">
          <w:rPr>
            <w:noProof/>
            <w:webHidden/>
          </w:rPr>
          <w:fldChar w:fldCharType="begin"/>
        </w:r>
        <w:r w:rsidR="009D24D5">
          <w:rPr>
            <w:noProof/>
            <w:webHidden/>
          </w:rPr>
          <w:instrText xml:space="preserve"> PAGEREF _Toc462652007 \h </w:instrText>
        </w:r>
        <w:r w:rsidR="009D24D5">
          <w:rPr>
            <w:noProof/>
            <w:webHidden/>
          </w:rPr>
        </w:r>
        <w:r w:rsidR="009D24D5">
          <w:rPr>
            <w:noProof/>
            <w:webHidden/>
          </w:rPr>
          <w:fldChar w:fldCharType="separate"/>
        </w:r>
        <w:r w:rsidR="00E51A34">
          <w:rPr>
            <w:noProof/>
            <w:webHidden/>
          </w:rPr>
          <w:t>118</w:t>
        </w:r>
        <w:r w:rsidR="009D24D5">
          <w:rPr>
            <w:noProof/>
            <w:webHidden/>
          </w:rPr>
          <w:fldChar w:fldCharType="end"/>
        </w:r>
      </w:hyperlink>
    </w:p>
    <w:p w14:paraId="4176DDD2"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8" w:history="1">
        <w:r w:rsidR="009D24D5" w:rsidRPr="008833EC">
          <w:rPr>
            <w:rStyle w:val="Hyperlink"/>
            <w:noProof/>
          </w:rPr>
          <w:t>Figure A 33 Temporal concentration profiles of individual herbicides at Round/ Flat Top Island in the Mackay Whitsunday region</w:t>
        </w:r>
        <w:r w:rsidR="009D24D5">
          <w:rPr>
            <w:noProof/>
            <w:webHidden/>
          </w:rPr>
          <w:tab/>
        </w:r>
        <w:r w:rsidR="009D24D5">
          <w:rPr>
            <w:noProof/>
            <w:webHidden/>
          </w:rPr>
          <w:fldChar w:fldCharType="begin"/>
        </w:r>
        <w:r w:rsidR="009D24D5">
          <w:rPr>
            <w:noProof/>
            <w:webHidden/>
          </w:rPr>
          <w:instrText xml:space="preserve"> PAGEREF _Toc462652008 \h </w:instrText>
        </w:r>
        <w:r w:rsidR="009D24D5">
          <w:rPr>
            <w:noProof/>
            <w:webHidden/>
          </w:rPr>
        </w:r>
        <w:r w:rsidR="009D24D5">
          <w:rPr>
            <w:noProof/>
            <w:webHidden/>
          </w:rPr>
          <w:fldChar w:fldCharType="separate"/>
        </w:r>
        <w:r w:rsidR="00E51A34">
          <w:rPr>
            <w:noProof/>
            <w:webHidden/>
          </w:rPr>
          <w:t>119</w:t>
        </w:r>
        <w:r w:rsidR="009D24D5">
          <w:rPr>
            <w:noProof/>
            <w:webHidden/>
          </w:rPr>
          <w:fldChar w:fldCharType="end"/>
        </w:r>
      </w:hyperlink>
    </w:p>
    <w:p w14:paraId="08288A93"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09" w:history="1">
        <w:r w:rsidR="009D24D5" w:rsidRPr="008833EC">
          <w:rPr>
            <w:rStyle w:val="Hyperlink"/>
            <w:noProof/>
          </w:rPr>
          <w:t>Figure A 34 Temporal concentration profiles of individual herbicides at Sandy Creek in the Mackay Whitsunday region</w:t>
        </w:r>
        <w:r w:rsidR="009D24D5">
          <w:rPr>
            <w:noProof/>
            <w:webHidden/>
          </w:rPr>
          <w:tab/>
        </w:r>
        <w:r w:rsidR="009D24D5">
          <w:rPr>
            <w:noProof/>
            <w:webHidden/>
          </w:rPr>
          <w:fldChar w:fldCharType="begin"/>
        </w:r>
        <w:r w:rsidR="009D24D5">
          <w:rPr>
            <w:noProof/>
            <w:webHidden/>
          </w:rPr>
          <w:instrText xml:space="preserve"> PAGEREF _Toc462652009 \h </w:instrText>
        </w:r>
        <w:r w:rsidR="009D24D5">
          <w:rPr>
            <w:noProof/>
            <w:webHidden/>
          </w:rPr>
        </w:r>
        <w:r w:rsidR="009D24D5">
          <w:rPr>
            <w:noProof/>
            <w:webHidden/>
          </w:rPr>
          <w:fldChar w:fldCharType="separate"/>
        </w:r>
        <w:r w:rsidR="00E51A34">
          <w:rPr>
            <w:noProof/>
            <w:webHidden/>
          </w:rPr>
          <w:t>120</w:t>
        </w:r>
        <w:r w:rsidR="009D24D5">
          <w:rPr>
            <w:noProof/>
            <w:webHidden/>
          </w:rPr>
          <w:fldChar w:fldCharType="end"/>
        </w:r>
      </w:hyperlink>
    </w:p>
    <w:p w14:paraId="1658CF3E"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10" w:history="1">
        <w:r w:rsidR="009D24D5" w:rsidRPr="008833EC">
          <w:rPr>
            <w:rStyle w:val="Hyperlink"/>
            <w:noProof/>
          </w:rPr>
          <w:t>Figure A 35 Temporal concentration profiles of individual herbicides at Sarina Inlet in the Mackay Whitsunday region</w:t>
        </w:r>
        <w:r w:rsidR="009D24D5">
          <w:rPr>
            <w:noProof/>
            <w:webHidden/>
          </w:rPr>
          <w:tab/>
        </w:r>
        <w:r w:rsidR="009D24D5">
          <w:rPr>
            <w:noProof/>
            <w:webHidden/>
          </w:rPr>
          <w:fldChar w:fldCharType="begin"/>
        </w:r>
        <w:r w:rsidR="009D24D5">
          <w:rPr>
            <w:noProof/>
            <w:webHidden/>
          </w:rPr>
          <w:instrText xml:space="preserve"> PAGEREF _Toc462652010 \h </w:instrText>
        </w:r>
        <w:r w:rsidR="009D24D5">
          <w:rPr>
            <w:noProof/>
            <w:webHidden/>
          </w:rPr>
        </w:r>
        <w:r w:rsidR="009D24D5">
          <w:rPr>
            <w:noProof/>
            <w:webHidden/>
          </w:rPr>
          <w:fldChar w:fldCharType="separate"/>
        </w:r>
        <w:r w:rsidR="00E51A34">
          <w:rPr>
            <w:noProof/>
            <w:webHidden/>
          </w:rPr>
          <w:t>121</w:t>
        </w:r>
        <w:r w:rsidR="009D24D5">
          <w:rPr>
            <w:noProof/>
            <w:webHidden/>
          </w:rPr>
          <w:fldChar w:fldCharType="end"/>
        </w:r>
      </w:hyperlink>
    </w:p>
    <w:p w14:paraId="68134CF2"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11" w:history="1">
        <w:r w:rsidR="009D24D5" w:rsidRPr="008833EC">
          <w:rPr>
            <w:rStyle w:val="Hyperlink"/>
            <w:noProof/>
          </w:rPr>
          <w:t>Figure A 36 Temporal concentration profiles of individual herbicides at North Keppel Island in the Fitzroy region</w:t>
        </w:r>
        <w:r w:rsidR="009D24D5">
          <w:rPr>
            <w:noProof/>
            <w:webHidden/>
          </w:rPr>
          <w:tab/>
        </w:r>
        <w:r w:rsidR="009D24D5">
          <w:rPr>
            <w:noProof/>
            <w:webHidden/>
          </w:rPr>
          <w:fldChar w:fldCharType="begin"/>
        </w:r>
        <w:r w:rsidR="009D24D5">
          <w:rPr>
            <w:noProof/>
            <w:webHidden/>
          </w:rPr>
          <w:instrText xml:space="preserve"> PAGEREF _Toc462652011 \h </w:instrText>
        </w:r>
        <w:r w:rsidR="009D24D5">
          <w:rPr>
            <w:noProof/>
            <w:webHidden/>
          </w:rPr>
        </w:r>
        <w:r w:rsidR="009D24D5">
          <w:rPr>
            <w:noProof/>
            <w:webHidden/>
          </w:rPr>
          <w:fldChar w:fldCharType="separate"/>
        </w:r>
        <w:r w:rsidR="00E51A34">
          <w:rPr>
            <w:noProof/>
            <w:webHidden/>
          </w:rPr>
          <w:t>122</w:t>
        </w:r>
        <w:r w:rsidR="009D24D5">
          <w:rPr>
            <w:noProof/>
            <w:webHidden/>
          </w:rPr>
          <w:fldChar w:fldCharType="end"/>
        </w:r>
      </w:hyperlink>
    </w:p>
    <w:p w14:paraId="477BCE6F"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12" w:history="1">
        <w:r w:rsidR="009D24D5" w:rsidRPr="008833EC">
          <w:rPr>
            <w:rStyle w:val="Hyperlink"/>
            <w:noProof/>
          </w:rPr>
          <w:t>Figure A 37 Land Use map of the Reef catchment (2009).</w:t>
        </w:r>
        <w:r w:rsidR="009D24D5">
          <w:rPr>
            <w:noProof/>
            <w:webHidden/>
          </w:rPr>
          <w:tab/>
        </w:r>
        <w:r w:rsidR="009D24D5">
          <w:rPr>
            <w:noProof/>
            <w:webHidden/>
          </w:rPr>
          <w:fldChar w:fldCharType="begin"/>
        </w:r>
        <w:r w:rsidR="009D24D5">
          <w:rPr>
            <w:noProof/>
            <w:webHidden/>
          </w:rPr>
          <w:instrText xml:space="preserve"> PAGEREF _Toc462652012 \h </w:instrText>
        </w:r>
        <w:r w:rsidR="009D24D5">
          <w:rPr>
            <w:noProof/>
            <w:webHidden/>
          </w:rPr>
        </w:r>
        <w:r w:rsidR="009D24D5">
          <w:rPr>
            <w:noProof/>
            <w:webHidden/>
          </w:rPr>
          <w:fldChar w:fldCharType="separate"/>
        </w:r>
        <w:r w:rsidR="00E51A34">
          <w:rPr>
            <w:noProof/>
            <w:webHidden/>
          </w:rPr>
          <w:t>123</w:t>
        </w:r>
        <w:r w:rsidR="009D24D5">
          <w:rPr>
            <w:noProof/>
            <w:webHidden/>
          </w:rPr>
          <w:fldChar w:fldCharType="end"/>
        </w:r>
      </w:hyperlink>
    </w:p>
    <w:p w14:paraId="73AB4F17" w14:textId="77777777" w:rsidR="009D24D5" w:rsidRDefault="00F745D3" w:rsidP="00D0237E">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13" w:history="1">
        <w:r w:rsidR="009D24D5" w:rsidRPr="00CC1775">
          <w:rPr>
            <w:rStyle w:val="Hyperlink"/>
            <w:bCs/>
            <w:noProof/>
          </w:rPr>
          <w:t>Figure A 38 SSDs of chemicals for multiple species (left) which are then normalized to hazard units, relative to the median of species affected to calculate a mean SSD (right).</w:t>
        </w:r>
        <w:r w:rsidR="009D24D5">
          <w:rPr>
            <w:noProof/>
            <w:webHidden/>
          </w:rPr>
          <w:tab/>
        </w:r>
        <w:r w:rsidR="009D24D5">
          <w:rPr>
            <w:noProof/>
            <w:webHidden/>
          </w:rPr>
          <w:fldChar w:fldCharType="begin"/>
        </w:r>
        <w:r w:rsidR="009D24D5">
          <w:rPr>
            <w:noProof/>
            <w:webHidden/>
          </w:rPr>
          <w:instrText xml:space="preserve"> PAGEREF _Toc462652013 \h </w:instrText>
        </w:r>
        <w:r w:rsidR="009D24D5">
          <w:rPr>
            <w:noProof/>
            <w:webHidden/>
          </w:rPr>
        </w:r>
        <w:r w:rsidR="009D24D5">
          <w:rPr>
            <w:noProof/>
            <w:webHidden/>
          </w:rPr>
          <w:fldChar w:fldCharType="separate"/>
        </w:r>
        <w:r w:rsidR="00E51A34">
          <w:rPr>
            <w:noProof/>
            <w:webHidden/>
          </w:rPr>
          <w:t>126</w:t>
        </w:r>
        <w:r w:rsidR="009D24D5">
          <w:rPr>
            <w:noProof/>
            <w:webHidden/>
          </w:rPr>
          <w:fldChar w:fldCharType="end"/>
        </w:r>
      </w:hyperlink>
    </w:p>
    <w:p w14:paraId="0A37D0F0" w14:textId="77777777" w:rsidR="0059608E" w:rsidRDefault="00737592" w:rsidP="00341670">
      <w:pPr>
        <w:spacing w:line="360" w:lineRule="auto"/>
        <w:jc w:val="left"/>
        <w:rPr>
          <w:lang w:val="en-AU"/>
        </w:rPr>
      </w:pPr>
      <w:r>
        <w:rPr>
          <w:lang w:val="en-AU"/>
        </w:rPr>
        <w:fldChar w:fldCharType="end"/>
      </w:r>
      <w:r w:rsidR="0059608E">
        <w:rPr>
          <w:lang w:val="en-AU"/>
        </w:rPr>
        <w:br w:type="page"/>
      </w:r>
    </w:p>
    <w:p w14:paraId="1A573605" w14:textId="77777777" w:rsidR="0059608E" w:rsidRPr="00C11BBA" w:rsidRDefault="0059608E" w:rsidP="00341670">
      <w:pPr>
        <w:spacing w:line="360" w:lineRule="auto"/>
        <w:ind w:left="567" w:hanging="567"/>
        <w:rPr>
          <w:b/>
          <w:sz w:val="36"/>
          <w:szCs w:val="36"/>
          <w:u w:val="single"/>
          <w:lang w:val="en-AU"/>
        </w:rPr>
      </w:pPr>
      <w:r w:rsidRPr="00E30200">
        <w:rPr>
          <w:b/>
          <w:sz w:val="36"/>
          <w:szCs w:val="36"/>
          <w:u w:val="single"/>
          <w:bdr w:val="dotted" w:sz="4" w:space="0" w:color="C0C0C0"/>
          <w:lang w:val="en-AU"/>
        </w:rPr>
        <w:lastRenderedPageBreak/>
        <w:t>List of Tables</w:t>
      </w:r>
      <w:r>
        <w:rPr>
          <w:b/>
          <w:sz w:val="36"/>
          <w:szCs w:val="36"/>
          <w:u w:val="single"/>
          <w:bdr w:val="dotted" w:sz="4" w:space="0" w:color="C0C0C0"/>
          <w:lang w:val="en-AU"/>
        </w:rPr>
        <w:t xml:space="preserve"> </w:t>
      </w:r>
    </w:p>
    <w:p w14:paraId="31AAA9D0" w14:textId="77777777" w:rsidR="00CC1775" w:rsidRDefault="0059608E"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r w:rsidRPr="007E6E4A">
        <w:rPr>
          <w:sz w:val="22"/>
          <w:szCs w:val="22"/>
          <w:lang w:val="en-AU"/>
        </w:rPr>
        <w:fldChar w:fldCharType="begin"/>
      </w:r>
      <w:r w:rsidRPr="007E6E4A">
        <w:rPr>
          <w:sz w:val="22"/>
          <w:szCs w:val="22"/>
          <w:lang w:val="en-AU"/>
        </w:rPr>
        <w:instrText xml:space="preserve"> TOC \h \z \t "authors1" \c "Table" </w:instrText>
      </w:r>
      <w:r w:rsidRPr="007E6E4A">
        <w:rPr>
          <w:sz w:val="22"/>
          <w:szCs w:val="22"/>
          <w:lang w:val="en-AU"/>
        </w:rPr>
        <w:fldChar w:fldCharType="separate"/>
      </w:r>
      <w:hyperlink w:anchor="_Toc462652122" w:history="1">
        <w:r w:rsidR="00CC1775" w:rsidRPr="008D2A54">
          <w:rPr>
            <w:rStyle w:val="Hyperlink"/>
            <w:noProof/>
          </w:rPr>
          <w:t>Table 1 Location of fixed passive sampling sites and closest influencing river</w:t>
        </w:r>
        <w:r w:rsidR="00CC1775">
          <w:rPr>
            <w:noProof/>
            <w:webHidden/>
          </w:rPr>
          <w:tab/>
        </w:r>
        <w:r w:rsidR="00CC1775">
          <w:rPr>
            <w:noProof/>
            <w:webHidden/>
          </w:rPr>
          <w:fldChar w:fldCharType="begin"/>
        </w:r>
        <w:r w:rsidR="00CC1775">
          <w:rPr>
            <w:noProof/>
            <w:webHidden/>
          </w:rPr>
          <w:instrText xml:space="preserve"> PAGEREF _Toc462652122 \h </w:instrText>
        </w:r>
        <w:r w:rsidR="00CC1775">
          <w:rPr>
            <w:noProof/>
            <w:webHidden/>
          </w:rPr>
        </w:r>
        <w:r w:rsidR="00CC1775">
          <w:rPr>
            <w:noProof/>
            <w:webHidden/>
          </w:rPr>
          <w:fldChar w:fldCharType="separate"/>
        </w:r>
        <w:r w:rsidR="00E51A34">
          <w:rPr>
            <w:noProof/>
            <w:webHidden/>
          </w:rPr>
          <w:t>10</w:t>
        </w:r>
        <w:r w:rsidR="00CC1775">
          <w:rPr>
            <w:noProof/>
            <w:webHidden/>
          </w:rPr>
          <w:fldChar w:fldCharType="end"/>
        </w:r>
      </w:hyperlink>
    </w:p>
    <w:p w14:paraId="7B41696D"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3" w:history="1">
        <w:r w:rsidR="00CC1775" w:rsidRPr="008D2A54">
          <w:rPr>
            <w:rStyle w:val="Hyperlink"/>
            <w:noProof/>
          </w:rPr>
          <w:t>Table 2 The types of passive samplers deployed at each fixed monitoring site in 2014-2015</w:t>
        </w:r>
        <w:r w:rsidR="00CC1775">
          <w:rPr>
            <w:noProof/>
            <w:webHidden/>
          </w:rPr>
          <w:tab/>
        </w:r>
        <w:r w:rsidR="00CC1775">
          <w:rPr>
            <w:noProof/>
            <w:webHidden/>
          </w:rPr>
          <w:fldChar w:fldCharType="begin"/>
        </w:r>
        <w:r w:rsidR="00CC1775">
          <w:rPr>
            <w:noProof/>
            <w:webHidden/>
          </w:rPr>
          <w:instrText xml:space="preserve"> PAGEREF _Toc462652123 \h </w:instrText>
        </w:r>
        <w:r w:rsidR="00CC1775">
          <w:rPr>
            <w:noProof/>
            <w:webHidden/>
          </w:rPr>
        </w:r>
        <w:r w:rsidR="00CC1775">
          <w:rPr>
            <w:noProof/>
            <w:webHidden/>
          </w:rPr>
          <w:fldChar w:fldCharType="separate"/>
        </w:r>
        <w:r w:rsidR="00E51A34">
          <w:rPr>
            <w:noProof/>
            <w:webHidden/>
          </w:rPr>
          <w:t>14</w:t>
        </w:r>
        <w:r w:rsidR="00CC1775">
          <w:rPr>
            <w:noProof/>
            <w:webHidden/>
          </w:rPr>
          <w:fldChar w:fldCharType="end"/>
        </w:r>
      </w:hyperlink>
    </w:p>
    <w:p w14:paraId="177664C6"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4" w:history="1">
        <w:r w:rsidR="00CC1775" w:rsidRPr="008D2A54">
          <w:rPr>
            <w:rStyle w:val="Hyperlink"/>
            <w:noProof/>
          </w:rPr>
          <w:t>Table 3 Weekly mean catchment rainfall (mm) in catchments adjacent to fixed passive sampler sites during the 2014 – 2015 wet season (beginning 1 December 2014).</w:t>
        </w:r>
        <w:r w:rsidR="00CC1775">
          <w:rPr>
            <w:noProof/>
            <w:webHidden/>
          </w:rPr>
          <w:tab/>
        </w:r>
        <w:r w:rsidR="00CC1775">
          <w:rPr>
            <w:noProof/>
            <w:webHidden/>
          </w:rPr>
          <w:fldChar w:fldCharType="begin"/>
        </w:r>
        <w:r w:rsidR="00CC1775">
          <w:rPr>
            <w:noProof/>
            <w:webHidden/>
          </w:rPr>
          <w:instrText xml:space="preserve"> PAGEREF _Toc462652124 \h </w:instrText>
        </w:r>
        <w:r w:rsidR="00CC1775">
          <w:rPr>
            <w:noProof/>
            <w:webHidden/>
          </w:rPr>
        </w:r>
        <w:r w:rsidR="00CC1775">
          <w:rPr>
            <w:noProof/>
            <w:webHidden/>
          </w:rPr>
          <w:fldChar w:fldCharType="separate"/>
        </w:r>
        <w:r w:rsidR="00E51A34">
          <w:rPr>
            <w:noProof/>
            <w:webHidden/>
          </w:rPr>
          <w:t>20</w:t>
        </w:r>
        <w:r w:rsidR="00CC1775">
          <w:rPr>
            <w:noProof/>
            <w:webHidden/>
          </w:rPr>
          <w:fldChar w:fldCharType="end"/>
        </w:r>
      </w:hyperlink>
    </w:p>
    <w:p w14:paraId="3404C23E"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5" w:history="1">
        <w:r w:rsidR="00CC1775" w:rsidRPr="008D2A54">
          <w:rPr>
            <w:rStyle w:val="Hyperlink"/>
            <w:noProof/>
          </w:rPr>
          <w:t>Table 4 Comparison of long-term median flows in major rivers with total discharge in the 2014-2015 water year</w:t>
        </w:r>
        <w:r w:rsidR="00CC1775">
          <w:rPr>
            <w:noProof/>
            <w:webHidden/>
          </w:rPr>
          <w:tab/>
        </w:r>
        <w:r w:rsidR="00CC1775">
          <w:rPr>
            <w:noProof/>
            <w:webHidden/>
          </w:rPr>
          <w:fldChar w:fldCharType="begin"/>
        </w:r>
        <w:r w:rsidR="00CC1775">
          <w:rPr>
            <w:noProof/>
            <w:webHidden/>
          </w:rPr>
          <w:instrText xml:space="preserve"> PAGEREF _Toc462652125 \h </w:instrText>
        </w:r>
        <w:r w:rsidR="00CC1775">
          <w:rPr>
            <w:noProof/>
            <w:webHidden/>
          </w:rPr>
        </w:r>
        <w:r w:rsidR="00CC1775">
          <w:rPr>
            <w:noProof/>
            <w:webHidden/>
          </w:rPr>
          <w:fldChar w:fldCharType="separate"/>
        </w:r>
        <w:r w:rsidR="00E51A34">
          <w:rPr>
            <w:noProof/>
            <w:webHidden/>
          </w:rPr>
          <w:t>23</w:t>
        </w:r>
        <w:r w:rsidR="00CC1775">
          <w:rPr>
            <w:noProof/>
            <w:webHidden/>
          </w:rPr>
          <w:fldChar w:fldCharType="end"/>
        </w:r>
      </w:hyperlink>
    </w:p>
    <w:p w14:paraId="359C94D9"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6" w:history="1">
        <w:r w:rsidR="00CC1775" w:rsidRPr="008D2A54">
          <w:rPr>
            <w:rStyle w:val="Hyperlink"/>
            <w:noProof/>
          </w:rPr>
          <w:t>Table 5 Passive sampli</w:t>
        </w:r>
        <w:r w:rsidR="00CC1775" w:rsidRPr="008D2A54">
          <w:rPr>
            <w:rStyle w:val="Hyperlink"/>
            <w:noProof/>
            <w:lang w:val="en-AU"/>
          </w:rPr>
          <w:t>ng return record for the 2014-2015 monitoring year</w:t>
        </w:r>
        <w:r w:rsidR="00CC1775">
          <w:rPr>
            <w:noProof/>
            <w:webHidden/>
          </w:rPr>
          <w:tab/>
        </w:r>
        <w:r w:rsidR="00CC1775">
          <w:rPr>
            <w:noProof/>
            <w:webHidden/>
          </w:rPr>
          <w:fldChar w:fldCharType="begin"/>
        </w:r>
        <w:r w:rsidR="00CC1775">
          <w:rPr>
            <w:noProof/>
            <w:webHidden/>
          </w:rPr>
          <w:instrText xml:space="preserve"> PAGEREF _Toc462652126 \h </w:instrText>
        </w:r>
        <w:r w:rsidR="00CC1775">
          <w:rPr>
            <w:noProof/>
            <w:webHidden/>
          </w:rPr>
        </w:r>
        <w:r w:rsidR="00CC1775">
          <w:rPr>
            <w:noProof/>
            <w:webHidden/>
          </w:rPr>
          <w:fldChar w:fldCharType="separate"/>
        </w:r>
        <w:r w:rsidR="00E51A34">
          <w:rPr>
            <w:noProof/>
            <w:webHidden/>
          </w:rPr>
          <w:t>28</w:t>
        </w:r>
        <w:r w:rsidR="00CC1775">
          <w:rPr>
            <w:noProof/>
            <w:webHidden/>
          </w:rPr>
          <w:fldChar w:fldCharType="end"/>
        </w:r>
      </w:hyperlink>
    </w:p>
    <w:p w14:paraId="530717E1"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7" w:history="1">
        <w:r w:rsidR="00CC1775" w:rsidRPr="008D2A54">
          <w:rPr>
            <w:rStyle w:val="Hyperlink"/>
            <w:noProof/>
          </w:rPr>
          <w:t>Table 6 Summary statistics for the PSII-HEq Max and PSII-HEq Wet Avg (ng L</w:t>
        </w:r>
        <w:r w:rsidR="00CC1775" w:rsidRPr="008D2A54">
          <w:rPr>
            <w:rStyle w:val="Hyperlink"/>
            <w:noProof/>
            <w:vertAlign w:val="superscript"/>
          </w:rPr>
          <w:t>-1</w:t>
        </w:r>
        <w:r w:rsidR="00CC1775" w:rsidRPr="008D2A54">
          <w:rPr>
            <w:rStyle w:val="Hyperlink"/>
            <w:noProof/>
          </w:rPr>
          <w:t>) since monitoring commenced in the Wet Tropics.</w:t>
        </w:r>
        <w:r w:rsidR="00CC1775">
          <w:rPr>
            <w:noProof/>
            <w:webHidden/>
          </w:rPr>
          <w:tab/>
        </w:r>
        <w:r w:rsidR="00CC1775">
          <w:rPr>
            <w:noProof/>
            <w:webHidden/>
          </w:rPr>
          <w:fldChar w:fldCharType="begin"/>
        </w:r>
        <w:r w:rsidR="00CC1775">
          <w:rPr>
            <w:noProof/>
            <w:webHidden/>
          </w:rPr>
          <w:instrText xml:space="preserve"> PAGEREF _Toc462652127 \h </w:instrText>
        </w:r>
        <w:r w:rsidR="00CC1775">
          <w:rPr>
            <w:noProof/>
            <w:webHidden/>
          </w:rPr>
        </w:r>
        <w:r w:rsidR="00CC1775">
          <w:rPr>
            <w:noProof/>
            <w:webHidden/>
          </w:rPr>
          <w:fldChar w:fldCharType="separate"/>
        </w:r>
        <w:r w:rsidR="00E51A34">
          <w:rPr>
            <w:noProof/>
            <w:webHidden/>
          </w:rPr>
          <w:t>33</w:t>
        </w:r>
        <w:r w:rsidR="00CC1775">
          <w:rPr>
            <w:noProof/>
            <w:webHidden/>
          </w:rPr>
          <w:fldChar w:fldCharType="end"/>
        </w:r>
      </w:hyperlink>
    </w:p>
    <w:p w14:paraId="522C04C7"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8" w:history="1">
        <w:r w:rsidR="00CC1775" w:rsidRPr="008D2A54">
          <w:rPr>
            <w:rStyle w:val="Hyperlink"/>
            <w:noProof/>
          </w:rPr>
          <w:t>Table 7 Summary statistics for the PSII-HEq Max and Wet Season Average (ng L</w:t>
        </w:r>
        <w:r w:rsidR="00CC1775" w:rsidRPr="008D2A54">
          <w:rPr>
            <w:rStyle w:val="Hyperlink"/>
            <w:noProof/>
            <w:vertAlign w:val="superscript"/>
          </w:rPr>
          <w:t>-1</w:t>
        </w:r>
        <w:r w:rsidR="00CC1775" w:rsidRPr="008D2A54">
          <w:rPr>
            <w:rStyle w:val="Hyperlink"/>
            <w:noProof/>
          </w:rPr>
          <w:t>) since monitoring commenced in the Burdekin region.</w:t>
        </w:r>
        <w:r w:rsidR="00CC1775">
          <w:rPr>
            <w:noProof/>
            <w:webHidden/>
          </w:rPr>
          <w:tab/>
        </w:r>
        <w:r w:rsidR="00CC1775">
          <w:rPr>
            <w:noProof/>
            <w:webHidden/>
          </w:rPr>
          <w:fldChar w:fldCharType="begin"/>
        </w:r>
        <w:r w:rsidR="00CC1775">
          <w:rPr>
            <w:noProof/>
            <w:webHidden/>
          </w:rPr>
          <w:instrText xml:space="preserve"> PAGEREF _Toc462652128 \h </w:instrText>
        </w:r>
        <w:r w:rsidR="00CC1775">
          <w:rPr>
            <w:noProof/>
            <w:webHidden/>
          </w:rPr>
        </w:r>
        <w:r w:rsidR="00CC1775">
          <w:rPr>
            <w:noProof/>
            <w:webHidden/>
          </w:rPr>
          <w:fldChar w:fldCharType="separate"/>
        </w:r>
        <w:r w:rsidR="00E51A34">
          <w:rPr>
            <w:noProof/>
            <w:webHidden/>
          </w:rPr>
          <w:t>36</w:t>
        </w:r>
        <w:r w:rsidR="00CC1775">
          <w:rPr>
            <w:noProof/>
            <w:webHidden/>
          </w:rPr>
          <w:fldChar w:fldCharType="end"/>
        </w:r>
      </w:hyperlink>
    </w:p>
    <w:p w14:paraId="7DC031A9"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29" w:history="1">
        <w:r w:rsidR="00CC1775" w:rsidRPr="008D2A54">
          <w:rPr>
            <w:rStyle w:val="Hyperlink"/>
            <w:noProof/>
          </w:rPr>
          <w:t>Table 8 Summary statistics for the PSII-HEq Max and Wet Season Average (ng L</w:t>
        </w:r>
        <w:r w:rsidR="00CC1775" w:rsidRPr="008D2A54">
          <w:rPr>
            <w:rStyle w:val="Hyperlink"/>
            <w:noProof/>
            <w:vertAlign w:val="superscript"/>
          </w:rPr>
          <w:t>-1</w:t>
        </w:r>
        <w:r w:rsidR="00CC1775" w:rsidRPr="008D2A54">
          <w:rPr>
            <w:rStyle w:val="Hyperlink"/>
            <w:noProof/>
          </w:rPr>
          <w:t>) since monitoring commenced in the Mackay Whitsunday region</w:t>
        </w:r>
        <w:r w:rsidR="00CC1775">
          <w:rPr>
            <w:noProof/>
            <w:webHidden/>
          </w:rPr>
          <w:tab/>
        </w:r>
        <w:r w:rsidR="00CC1775">
          <w:rPr>
            <w:noProof/>
            <w:webHidden/>
          </w:rPr>
          <w:fldChar w:fldCharType="begin"/>
        </w:r>
        <w:r w:rsidR="00CC1775">
          <w:rPr>
            <w:noProof/>
            <w:webHidden/>
          </w:rPr>
          <w:instrText xml:space="preserve"> PAGEREF _Toc462652129 \h </w:instrText>
        </w:r>
        <w:r w:rsidR="00CC1775">
          <w:rPr>
            <w:noProof/>
            <w:webHidden/>
          </w:rPr>
        </w:r>
        <w:r w:rsidR="00CC1775">
          <w:rPr>
            <w:noProof/>
            <w:webHidden/>
          </w:rPr>
          <w:fldChar w:fldCharType="separate"/>
        </w:r>
        <w:r w:rsidR="00E51A34">
          <w:rPr>
            <w:noProof/>
            <w:webHidden/>
          </w:rPr>
          <w:t>40</w:t>
        </w:r>
        <w:r w:rsidR="00CC1775">
          <w:rPr>
            <w:noProof/>
            <w:webHidden/>
          </w:rPr>
          <w:fldChar w:fldCharType="end"/>
        </w:r>
      </w:hyperlink>
    </w:p>
    <w:p w14:paraId="513E2BC3" w14:textId="77777777" w:rsid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30" w:history="1">
        <w:r w:rsidR="00CC1775" w:rsidRPr="008D2A54">
          <w:rPr>
            <w:rStyle w:val="Hyperlink"/>
            <w:noProof/>
          </w:rPr>
          <w:t>Table 9 Summary statistics for the PSII-HEq Max and Wet Season Average (ng L</w:t>
        </w:r>
        <w:r w:rsidR="00CC1775" w:rsidRPr="008D2A54">
          <w:rPr>
            <w:rStyle w:val="Hyperlink"/>
            <w:noProof/>
            <w:vertAlign w:val="superscript"/>
          </w:rPr>
          <w:t>-1</w:t>
        </w:r>
        <w:r w:rsidR="00CC1775" w:rsidRPr="008D2A54">
          <w:rPr>
            <w:rStyle w:val="Hyperlink"/>
            <w:noProof/>
          </w:rPr>
          <w:t>) since monitoring commenced in the Fitzroy region</w:t>
        </w:r>
        <w:r w:rsidR="00CC1775">
          <w:rPr>
            <w:noProof/>
            <w:webHidden/>
          </w:rPr>
          <w:tab/>
        </w:r>
        <w:r w:rsidR="00CC1775">
          <w:rPr>
            <w:noProof/>
            <w:webHidden/>
          </w:rPr>
          <w:fldChar w:fldCharType="begin"/>
        </w:r>
        <w:r w:rsidR="00CC1775">
          <w:rPr>
            <w:noProof/>
            <w:webHidden/>
          </w:rPr>
          <w:instrText xml:space="preserve"> PAGEREF _Toc462652130 \h </w:instrText>
        </w:r>
        <w:r w:rsidR="00CC1775">
          <w:rPr>
            <w:noProof/>
            <w:webHidden/>
          </w:rPr>
        </w:r>
        <w:r w:rsidR="00CC1775">
          <w:rPr>
            <w:noProof/>
            <w:webHidden/>
          </w:rPr>
          <w:fldChar w:fldCharType="separate"/>
        </w:r>
        <w:r w:rsidR="00E51A34">
          <w:rPr>
            <w:noProof/>
            <w:webHidden/>
          </w:rPr>
          <w:t>41</w:t>
        </w:r>
        <w:r w:rsidR="00CC1775">
          <w:rPr>
            <w:noProof/>
            <w:webHidden/>
          </w:rPr>
          <w:fldChar w:fldCharType="end"/>
        </w:r>
      </w:hyperlink>
    </w:p>
    <w:p w14:paraId="0BFCF353" w14:textId="77777777" w:rsidR="00CC1775" w:rsidRPr="00CC1775" w:rsidRDefault="0059608E" w:rsidP="00CC1775">
      <w:pPr>
        <w:spacing w:line="360" w:lineRule="auto"/>
        <w:ind w:left="567" w:hanging="567"/>
        <w:rPr>
          <w:noProof/>
        </w:rPr>
      </w:pPr>
      <w:r w:rsidRPr="007E6E4A">
        <w:rPr>
          <w:lang w:val="en-AU"/>
        </w:rPr>
        <w:fldChar w:fldCharType="end"/>
      </w:r>
      <w:r w:rsidR="00737592" w:rsidRPr="00737592">
        <w:rPr>
          <w:b/>
          <w:sz w:val="36"/>
          <w:szCs w:val="36"/>
          <w:u w:val="single"/>
          <w:bdr w:val="dotted" w:sz="4" w:space="0" w:color="C0C0C0"/>
          <w:lang w:val="en-AU"/>
        </w:rPr>
        <w:t xml:space="preserve"> </w:t>
      </w:r>
      <w:r w:rsidR="00737592" w:rsidRPr="00E30200">
        <w:rPr>
          <w:b/>
          <w:sz w:val="36"/>
          <w:szCs w:val="36"/>
          <w:u w:val="single"/>
          <w:bdr w:val="dotted" w:sz="4" w:space="0" w:color="C0C0C0"/>
          <w:lang w:val="en-AU"/>
        </w:rPr>
        <w:t xml:space="preserve">List of </w:t>
      </w:r>
      <w:r w:rsidR="00737592">
        <w:rPr>
          <w:b/>
          <w:sz w:val="36"/>
          <w:szCs w:val="36"/>
          <w:u w:val="single"/>
          <w:bdr w:val="dotted" w:sz="4" w:space="0" w:color="C0C0C0"/>
          <w:lang w:val="en-AU"/>
        </w:rPr>
        <w:t xml:space="preserve">Appendix </w:t>
      </w:r>
      <w:r w:rsidR="00737592" w:rsidRPr="00E30200">
        <w:rPr>
          <w:b/>
          <w:sz w:val="36"/>
          <w:szCs w:val="36"/>
          <w:u w:val="single"/>
          <w:bdr w:val="dotted" w:sz="4" w:space="0" w:color="C0C0C0"/>
          <w:lang w:val="en-AU"/>
        </w:rPr>
        <w:t>Tables</w:t>
      </w:r>
      <w:r w:rsidR="00737592">
        <w:rPr>
          <w:b/>
          <w:sz w:val="36"/>
          <w:szCs w:val="36"/>
          <w:u w:val="single"/>
          <w:bdr w:val="dotted" w:sz="4" w:space="0" w:color="C0C0C0"/>
          <w:lang w:val="en-AU"/>
        </w:rPr>
        <w:t xml:space="preserve"> </w:t>
      </w:r>
      <w:r w:rsidR="00737592" w:rsidRPr="00CC1775">
        <w:rPr>
          <w:lang w:val="en-AU"/>
        </w:rPr>
        <w:fldChar w:fldCharType="begin"/>
      </w:r>
      <w:r w:rsidR="00737592" w:rsidRPr="00CC1775">
        <w:rPr>
          <w:lang w:val="en-AU"/>
        </w:rPr>
        <w:instrText xml:space="preserve"> TOC \h \z \c "Table A" </w:instrText>
      </w:r>
      <w:r w:rsidR="00737592" w:rsidRPr="00CC1775">
        <w:rPr>
          <w:lang w:val="en-AU"/>
        </w:rPr>
        <w:fldChar w:fldCharType="separate"/>
      </w:r>
    </w:p>
    <w:p w14:paraId="020F5F65"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68" w:history="1">
        <w:r w:rsidR="00CC1775" w:rsidRPr="00CC1775">
          <w:rPr>
            <w:rStyle w:val="Hyperlink"/>
            <w:noProof/>
          </w:rPr>
          <w:t>Table A 1 Entox LCMS analyte list for positive and negative mode analysis</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_Toc462652068 \h </w:instrText>
        </w:r>
        <w:r w:rsidR="00CC1775" w:rsidRPr="00CC1775">
          <w:rPr>
            <w:noProof/>
            <w:webHidden/>
          </w:rPr>
        </w:r>
        <w:r w:rsidR="00CC1775" w:rsidRPr="00CC1775">
          <w:rPr>
            <w:noProof/>
            <w:webHidden/>
          </w:rPr>
          <w:fldChar w:fldCharType="separate"/>
        </w:r>
        <w:r w:rsidR="00E51A34">
          <w:rPr>
            <w:noProof/>
            <w:webHidden/>
          </w:rPr>
          <w:t>56</w:t>
        </w:r>
        <w:r w:rsidR="00CC1775" w:rsidRPr="00CC1775">
          <w:rPr>
            <w:noProof/>
            <w:webHidden/>
          </w:rPr>
          <w:fldChar w:fldCharType="end"/>
        </w:r>
      </w:hyperlink>
    </w:p>
    <w:p w14:paraId="22CB55F0"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69" w:history="1">
        <w:r w:rsidR="00CC1775" w:rsidRPr="00CC1775">
          <w:rPr>
            <w:rStyle w:val="Hyperlink"/>
            <w:noProof/>
          </w:rPr>
          <w:t xml:space="preserve">Table A 2 Entox </w:t>
        </w:r>
        <w:r w:rsidR="00CC1775" w:rsidRPr="00CC1775">
          <w:rPr>
            <w:rStyle w:val="Hyperlink"/>
            <w:noProof/>
            <w:lang w:val="en-AU"/>
          </w:rPr>
          <w:t>GCMS analyte list for PDMS extracts</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_Toc462652069 \h </w:instrText>
        </w:r>
        <w:r w:rsidR="00CC1775" w:rsidRPr="00CC1775">
          <w:rPr>
            <w:noProof/>
            <w:webHidden/>
          </w:rPr>
        </w:r>
        <w:r w:rsidR="00CC1775" w:rsidRPr="00CC1775">
          <w:rPr>
            <w:noProof/>
            <w:webHidden/>
          </w:rPr>
          <w:fldChar w:fldCharType="separate"/>
        </w:r>
        <w:r w:rsidR="00E51A34">
          <w:rPr>
            <w:noProof/>
            <w:webHidden/>
          </w:rPr>
          <w:t>57</w:t>
        </w:r>
        <w:r w:rsidR="00CC1775" w:rsidRPr="00CC1775">
          <w:rPr>
            <w:noProof/>
            <w:webHidden/>
          </w:rPr>
          <w:fldChar w:fldCharType="end"/>
        </w:r>
      </w:hyperlink>
    </w:p>
    <w:p w14:paraId="6DACA1DF"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0" w:history="1">
        <w:r w:rsidR="00CC1775" w:rsidRPr="00CC1775">
          <w:rPr>
            <w:rStyle w:val="Hyperlink"/>
            <w:noProof/>
          </w:rPr>
          <w:t>Table A 3 Proposed priority pesticides and herbicides specified under the MMP (proposed at PWG 18 Aug 2015) and their approximate limits of reporting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_Toc462652070 \h </w:instrText>
        </w:r>
        <w:r w:rsidR="00CC1775" w:rsidRPr="00CC1775">
          <w:rPr>
            <w:noProof/>
            <w:webHidden/>
          </w:rPr>
        </w:r>
        <w:r w:rsidR="00CC1775" w:rsidRPr="00CC1775">
          <w:rPr>
            <w:noProof/>
            <w:webHidden/>
          </w:rPr>
          <w:fldChar w:fldCharType="separate"/>
        </w:r>
        <w:r w:rsidR="00E51A34">
          <w:rPr>
            <w:noProof/>
            <w:webHidden/>
          </w:rPr>
          <w:t>57</w:t>
        </w:r>
        <w:r w:rsidR="00CC1775" w:rsidRPr="00CC1775">
          <w:rPr>
            <w:noProof/>
            <w:webHidden/>
          </w:rPr>
          <w:fldChar w:fldCharType="end"/>
        </w:r>
      </w:hyperlink>
    </w:p>
    <w:p w14:paraId="12CACF1E"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1" w:history="1">
        <w:r w:rsidR="00CC1775" w:rsidRPr="00CC1775">
          <w:rPr>
            <w:rStyle w:val="Hyperlink"/>
            <w:noProof/>
          </w:rPr>
          <w:t>Table A 4 Other pesticides of interest for potential inclusion in monitoring and reporting activities (feedback from the Paddock to the Reef program).</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_Toc462652071 \h </w:instrText>
        </w:r>
        <w:r w:rsidR="00CC1775" w:rsidRPr="00CC1775">
          <w:rPr>
            <w:noProof/>
            <w:webHidden/>
          </w:rPr>
        </w:r>
        <w:r w:rsidR="00CC1775" w:rsidRPr="00CC1775">
          <w:rPr>
            <w:noProof/>
            <w:webHidden/>
          </w:rPr>
          <w:fldChar w:fldCharType="separate"/>
        </w:r>
        <w:r w:rsidR="00E51A34">
          <w:rPr>
            <w:noProof/>
            <w:webHidden/>
          </w:rPr>
          <w:t>58</w:t>
        </w:r>
        <w:r w:rsidR="00CC1775" w:rsidRPr="00CC1775">
          <w:rPr>
            <w:noProof/>
            <w:webHidden/>
          </w:rPr>
          <w:fldChar w:fldCharType="end"/>
        </w:r>
      </w:hyperlink>
    </w:p>
    <w:p w14:paraId="097862FB"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2" w:history="1">
        <w:r w:rsidR="00CC1775" w:rsidRPr="00CC1775">
          <w:rPr>
            <w:rStyle w:val="Hyperlink"/>
            <w:noProof/>
          </w:rPr>
          <w:t>Table A 5 Summary of variability (% coefficient of variation) of replicate ED analysis, analysed by Entox</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_Toc462652072 \h </w:instrText>
        </w:r>
        <w:r w:rsidR="00CC1775" w:rsidRPr="00CC1775">
          <w:rPr>
            <w:noProof/>
            <w:webHidden/>
          </w:rPr>
        </w:r>
        <w:r w:rsidR="00CC1775" w:rsidRPr="00CC1775">
          <w:rPr>
            <w:noProof/>
            <w:webHidden/>
          </w:rPr>
          <w:fldChar w:fldCharType="separate"/>
        </w:r>
        <w:r w:rsidR="00E51A34">
          <w:rPr>
            <w:noProof/>
            <w:webHidden/>
          </w:rPr>
          <w:t>58</w:t>
        </w:r>
        <w:r w:rsidR="00CC1775" w:rsidRPr="00CC1775">
          <w:rPr>
            <w:noProof/>
            <w:webHidden/>
          </w:rPr>
          <w:fldChar w:fldCharType="end"/>
        </w:r>
      </w:hyperlink>
    </w:p>
    <w:p w14:paraId="6A79E9AF"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3" w:history="1">
        <w:r w:rsidR="00CC1775" w:rsidRPr="00CC1775">
          <w:rPr>
            <w:rStyle w:val="Hyperlink"/>
            <w:noProof/>
          </w:rPr>
          <w:t>Table A 6 Summary of inter-laboratory comparison of ED extracts (% coefficient of variation)</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_Toc462652073 \h </w:instrText>
        </w:r>
        <w:r w:rsidR="00CC1775" w:rsidRPr="00CC1775">
          <w:rPr>
            <w:noProof/>
            <w:webHidden/>
          </w:rPr>
        </w:r>
        <w:r w:rsidR="00CC1775" w:rsidRPr="00CC1775">
          <w:rPr>
            <w:noProof/>
            <w:webHidden/>
          </w:rPr>
          <w:fldChar w:fldCharType="separate"/>
        </w:r>
        <w:r w:rsidR="00E51A34">
          <w:rPr>
            <w:noProof/>
            <w:webHidden/>
          </w:rPr>
          <w:t>59</w:t>
        </w:r>
        <w:r w:rsidR="00CC1775" w:rsidRPr="00CC1775">
          <w:rPr>
            <w:noProof/>
            <w:webHidden/>
          </w:rPr>
          <w:fldChar w:fldCharType="end"/>
        </w:r>
      </w:hyperlink>
    </w:p>
    <w:p w14:paraId="6206C8BF"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4" w:history="1">
        <w:r w:rsidR="00CC1775" w:rsidRPr="00CC1775">
          <w:rPr>
            <w:rStyle w:val="Hyperlink"/>
            <w:noProof/>
          </w:rPr>
          <w:t>Table A 7 Water quality guideline values available for pesticides and herbicides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_Toc462652074 \h </w:instrText>
        </w:r>
        <w:r w:rsidR="00CC1775" w:rsidRPr="00CC1775">
          <w:rPr>
            <w:noProof/>
            <w:webHidden/>
          </w:rPr>
        </w:r>
        <w:r w:rsidR="00CC1775" w:rsidRPr="00CC1775">
          <w:rPr>
            <w:noProof/>
            <w:webHidden/>
          </w:rPr>
          <w:fldChar w:fldCharType="separate"/>
        </w:r>
        <w:r w:rsidR="00E51A34">
          <w:rPr>
            <w:noProof/>
            <w:webHidden/>
          </w:rPr>
          <w:t>61</w:t>
        </w:r>
        <w:r w:rsidR="00CC1775" w:rsidRPr="00CC1775">
          <w:rPr>
            <w:noProof/>
            <w:webHidden/>
          </w:rPr>
          <w:fldChar w:fldCharType="end"/>
        </w:r>
      </w:hyperlink>
    </w:p>
    <w:p w14:paraId="39502FFD"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5" w:history="1">
        <w:r w:rsidR="00CC1775" w:rsidRPr="00CC1775">
          <w:rPr>
            <w:rStyle w:val="Hyperlink"/>
            <w:noProof/>
          </w:rPr>
          <w:t xml:space="preserve">Table A 8 </w:t>
        </w:r>
        <w:r w:rsidR="00CC1775" w:rsidRPr="00CC1775">
          <w:rPr>
            <w:rStyle w:val="Hyperlink"/>
            <w:noProof/>
            <w:lang w:val="en-AU"/>
          </w:rPr>
          <w:t>Scientific publications indicating the effect concentrations and the end-points for the reference PSII herbicide diuron used to define specific PSII-HEq Index categories as an indicator for reporting purposes</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_Toc462652075 \h </w:instrText>
        </w:r>
        <w:r w:rsidR="00CC1775" w:rsidRPr="00CC1775">
          <w:rPr>
            <w:noProof/>
            <w:webHidden/>
          </w:rPr>
        </w:r>
        <w:r w:rsidR="00CC1775" w:rsidRPr="00CC1775">
          <w:rPr>
            <w:noProof/>
            <w:webHidden/>
          </w:rPr>
          <w:fldChar w:fldCharType="separate"/>
        </w:r>
        <w:r w:rsidR="00E51A34">
          <w:rPr>
            <w:noProof/>
            <w:webHidden/>
          </w:rPr>
          <w:t>62</w:t>
        </w:r>
        <w:r w:rsidR="00CC1775" w:rsidRPr="00CC1775">
          <w:rPr>
            <w:noProof/>
            <w:webHidden/>
          </w:rPr>
          <w:fldChar w:fldCharType="end"/>
        </w:r>
      </w:hyperlink>
    </w:p>
    <w:p w14:paraId="544DC644"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6" w:history="1">
        <w:r w:rsidR="00CC1775" w:rsidRPr="00CC1775">
          <w:rPr>
            <w:rStyle w:val="Hyperlink"/>
            <w:noProof/>
          </w:rPr>
          <w:t>Table A 9 Preliminary effects of diuron in marine organisms</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_Toc462652076 \h </w:instrText>
        </w:r>
        <w:r w:rsidR="00CC1775" w:rsidRPr="00CC1775">
          <w:rPr>
            <w:noProof/>
            <w:webHidden/>
          </w:rPr>
        </w:r>
        <w:r w:rsidR="00CC1775" w:rsidRPr="00CC1775">
          <w:rPr>
            <w:noProof/>
            <w:webHidden/>
          </w:rPr>
          <w:fldChar w:fldCharType="separate"/>
        </w:r>
        <w:r w:rsidR="00E51A34">
          <w:rPr>
            <w:noProof/>
            <w:webHidden/>
          </w:rPr>
          <w:t>65</w:t>
        </w:r>
        <w:r w:rsidR="00CC1775" w:rsidRPr="00CC1775">
          <w:rPr>
            <w:noProof/>
            <w:webHidden/>
          </w:rPr>
          <w:fldChar w:fldCharType="end"/>
        </w:r>
      </w:hyperlink>
    </w:p>
    <w:p w14:paraId="46BBF1E0"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7" w:history="1">
        <w:r w:rsidR="00CC1775" w:rsidRPr="00CC1775">
          <w:rPr>
            <w:rStyle w:val="Hyperlink"/>
            <w:noProof/>
          </w:rPr>
          <w:t xml:space="preserve">Table A 10 </w:t>
        </w:r>
        <w:r w:rsidR="00CC1775" w:rsidRPr="00CC1775">
          <w:rPr>
            <w:rStyle w:val="Hyperlink"/>
            <w:noProof/>
            <w:lang w:val="en-AU"/>
          </w:rPr>
          <w:t>Relative potency factors (RPF) for PSII herbicides and selected transformation products</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_Toc462652077 \h </w:instrText>
        </w:r>
        <w:r w:rsidR="00CC1775" w:rsidRPr="00CC1775">
          <w:rPr>
            <w:noProof/>
            <w:webHidden/>
          </w:rPr>
        </w:r>
        <w:r w:rsidR="00CC1775" w:rsidRPr="00CC1775">
          <w:rPr>
            <w:noProof/>
            <w:webHidden/>
          </w:rPr>
          <w:fldChar w:fldCharType="separate"/>
        </w:r>
        <w:r w:rsidR="00E51A34">
          <w:rPr>
            <w:noProof/>
            <w:webHidden/>
          </w:rPr>
          <w:t>67</w:t>
        </w:r>
        <w:r w:rsidR="00CC1775" w:rsidRPr="00CC1775">
          <w:rPr>
            <w:noProof/>
            <w:webHidden/>
          </w:rPr>
          <w:fldChar w:fldCharType="end"/>
        </w:r>
      </w:hyperlink>
    </w:p>
    <w:p w14:paraId="333AE9AE"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8" w:history="1">
        <w:r w:rsidR="00CC1775" w:rsidRPr="00CC1775">
          <w:rPr>
            <w:rStyle w:val="Hyperlink"/>
            <w:noProof/>
          </w:rPr>
          <w:t>Table A 11 PSII-Herbicide Equivalent Index developed as an indicator for reporting of PSII herbicides across the MMP</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_Toc462652078 \h </w:instrText>
        </w:r>
        <w:r w:rsidR="00CC1775" w:rsidRPr="00CC1775">
          <w:rPr>
            <w:noProof/>
            <w:webHidden/>
          </w:rPr>
        </w:r>
        <w:r w:rsidR="00CC1775" w:rsidRPr="00CC1775">
          <w:rPr>
            <w:noProof/>
            <w:webHidden/>
          </w:rPr>
          <w:fldChar w:fldCharType="separate"/>
        </w:r>
        <w:r w:rsidR="00E51A34">
          <w:rPr>
            <w:noProof/>
            <w:webHidden/>
          </w:rPr>
          <w:t>68</w:t>
        </w:r>
        <w:r w:rsidR="00CC1775" w:rsidRPr="00CC1775">
          <w:rPr>
            <w:noProof/>
            <w:webHidden/>
          </w:rPr>
          <w:fldChar w:fldCharType="end"/>
        </w:r>
      </w:hyperlink>
    </w:p>
    <w:p w14:paraId="762380BD"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79" w:history="1">
        <w:r w:rsidR="00CC1775" w:rsidRPr="00CC1775">
          <w:rPr>
            <w:rStyle w:val="Hyperlink"/>
            <w:noProof/>
          </w:rPr>
          <w:t>Table A 12 Annual freshwater discharge of rivers influencing fixed monitoring sites (ML) and long-term median discharge</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_Toc462652079 \h </w:instrText>
        </w:r>
        <w:r w:rsidR="00CC1775" w:rsidRPr="00CC1775">
          <w:rPr>
            <w:noProof/>
            <w:webHidden/>
          </w:rPr>
        </w:r>
        <w:r w:rsidR="00CC1775" w:rsidRPr="00CC1775">
          <w:rPr>
            <w:noProof/>
            <w:webHidden/>
          </w:rPr>
          <w:fldChar w:fldCharType="separate"/>
        </w:r>
        <w:r w:rsidR="00E51A34">
          <w:rPr>
            <w:noProof/>
            <w:webHidden/>
          </w:rPr>
          <w:t>69</w:t>
        </w:r>
        <w:r w:rsidR="00CC1775" w:rsidRPr="00CC1775">
          <w:rPr>
            <w:noProof/>
            <w:webHidden/>
          </w:rPr>
          <w:fldChar w:fldCharType="end"/>
        </w:r>
      </w:hyperlink>
    </w:p>
    <w:p w14:paraId="4B0ECC45"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0" w:history="1">
        <w:r w:rsidR="00CC1775" w:rsidRPr="00CC1775">
          <w:rPr>
            <w:rStyle w:val="Hyperlink"/>
            <w:noProof/>
          </w:rPr>
          <w:t>Table A 13 Weekly flood plume colour class (1 – 6) for fixed site passive sampler locations during the 2014-2015 wet season (beginning 1 December 2014)</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_Toc462652080 \h </w:instrText>
        </w:r>
        <w:r w:rsidR="00CC1775" w:rsidRPr="00CC1775">
          <w:rPr>
            <w:noProof/>
            <w:webHidden/>
          </w:rPr>
        </w:r>
        <w:r w:rsidR="00CC1775" w:rsidRPr="00CC1775">
          <w:rPr>
            <w:noProof/>
            <w:webHidden/>
          </w:rPr>
          <w:fldChar w:fldCharType="separate"/>
        </w:r>
        <w:r w:rsidR="00E51A34">
          <w:rPr>
            <w:noProof/>
            <w:webHidden/>
          </w:rPr>
          <w:t>70</w:t>
        </w:r>
        <w:r w:rsidR="00CC1775" w:rsidRPr="00CC1775">
          <w:rPr>
            <w:noProof/>
            <w:webHidden/>
          </w:rPr>
          <w:fldChar w:fldCharType="end"/>
        </w:r>
      </w:hyperlink>
    </w:p>
    <w:p w14:paraId="11BF456A"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1" w:history="1">
        <w:r w:rsidR="00CC1775" w:rsidRPr="00CC1775">
          <w:rPr>
            <w:rStyle w:val="Hyperlink"/>
            <w:noProof/>
          </w:rPr>
          <w:t>Table A 14 Low Isles, Wet Tropics region – Concentration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_Toc462652081 \h </w:instrText>
        </w:r>
        <w:r w:rsidR="00CC1775" w:rsidRPr="00CC1775">
          <w:rPr>
            <w:noProof/>
            <w:webHidden/>
          </w:rPr>
        </w:r>
        <w:r w:rsidR="00CC1775" w:rsidRPr="00CC1775">
          <w:rPr>
            <w:noProof/>
            <w:webHidden/>
          </w:rPr>
          <w:fldChar w:fldCharType="separate"/>
        </w:r>
        <w:r w:rsidR="00E51A34">
          <w:rPr>
            <w:noProof/>
            <w:webHidden/>
          </w:rPr>
          <w:t>73</w:t>
        </w:r>
        <w:r w:rsidR="00CC1775" w:rsidRPr="00CC1775">
          <w:rPr>
            <w:noProof/>
            <w:webHidden/>
          </w:rPr>
          <w:fldChar w:fldCharType="end"/>
        </w:r>
      </w:hyperlink>
    </w:p>
    <w:p w14:paraId="71D6BEE2"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2" w:history="1">
        <w:r w:rsidR="00CC1775" w:rsidRPr="00CC1775">
          <w:rPr>
            <w:rStyle w:val="Hyperlink"/>
            <w:noProof/>
          </w:rPr>
          <w:t>Table A 15 Green Island, Wet Tropics region – Concentration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_Toc462652082 \h </w:instrText>
        </w:r>
        <w:r w:rsidR="00CC1775" w:rsidRPr="00CC1775">
          <w:rPr>
            <w:noProof/>
            <w:webHidden/>
          </w:rPr>
        </w:r>
        <w:r w:rsidR="00CC1775" w:rsidRPr="00CC1775">
          <w:rPr>
            <w:noProof/>
            <w:webHidden/>
          </w:rPr>
          <w:fldChar w:fldCharType="separate"/>
        </w:r>
        <w:r w:rsidR="00E51A34">
          <w:rPr>
            <w:noProof/>
            <w:webHidden/>
          </w:rPr>
          <w:t>74</w:t>
        </w:r>
        <w:r w:rsidR="00CC1775" w:rsidRPr="00CC1775">
          <w:rPr>
            <w:noProof/>
            <w:webHidden/>
          </w:rPr>
          <w:fldChar w:fldCharType="end"/>
        </w:r>
      </w:hyperlink>
    </w:p>
    <w:p w14:paraId="5665D9F6"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3" w:history="1">
        <w:r w:rsidR="00CC1775" w:rsidRPr="00CC1775">
          <w:rPr>
            <w:rStyle w:val="Hyperlink"/>
            <w:noProof/>
          </w:rPr>
          <w:t>Table A 16 Fitzroy Island, Wet Tropics region – Concentration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_Toc462652083 \h </w:instrText>
        </w:r>
        <w:r w:rsidR="00CC1775" w:rsidRPr="00CC1775">
          <w:rPr>
            <w:noProof/>
            <w:webHidden/>
          </w:rPr>
        </w:r>
        <w:r w:rsidR="00CC1775" w:rsidRPr="00CC1775">
          <w:rPr>
            <w:noProof/>
            <w:webHidden/>
          </w:rPr>
          <w:fldChar w:fldCharType="separate"/>
        </w:r>
        <w:r w:rsidR="00E51A34">
          <w:rPr>
            <w:noProof/>
            <w:webHidden/>
          </w:rPr>
          <w:t>75</w:t>
        </w:r>
        <w:r w:rsidR="00CC1775" w:rsidRPr="00CC1775">
          <w:rPr>
            <w:noProof/>
            <w:webHidden/>
          </w:rPr>
          <w:fldChar w:fldCharType="end"/>
        </w:r>
      </w:hyperlink>
    </w:p>
    <w:p w14:paraId="1C67A7EF"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4" w:history="1">
        <w:r w:rsidR="00CC1775" w:rsidRPr="00CC1775">
          <w:rPr>
            <w:rStyle w:val="Hyperlink"/>
            <w:noProof/>
          </w:rPr>
          <w:t>Table A 17 Dunk Island, Wet Tropics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_Toc462652084 \h </w:instrText>
        </w:r>
        <w:r w:rsidR="00CC1775" w:rsidRPr="00CC1775">
          <w:rPr>
            <w:noProof/>
            <w:webHidden/>
          </w:rPr>
        </w:r>
        <w:r w:rsidR="00CC1775" w:rsidRPr="00CC1775">
          <w:rPr>
            <w:noProof/>
            <w:webHidden/>
          </w:rPr>
          <w:fldChar w:fldCharType="separate"/>
        </w:r>
        <w:r w:rsidR="00E51A34">
          <w:rPr>
            <w:noProof/>
            <w:webHidden/>
          </w:rPr>
          <w:t>76</w:t>
        </w:r>
        <w:r w:rsidR="00CC1775" w:rsidRPr="00CC1775">
          <w:rPr>
            <w:noProof/>
            <w:webHidden/>
          </w:rPr>
          <w:fldChar w:fldCharType="end"/>
        </w:r>
      </w:hyperlink>
    </w:p>
    <w:p w14:paraId="4FA22F13"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5" w:history="1">
        <w:r w:rsidR="00CC1775" w:rsidRPr="00CC1775">
          <w:rPr>
            <w:rStyle w:val="Hyperlink"/>
            <w:noProof/>
          </w:rPr>
          <w:t>Table A 18 Normanby Island, Wet Tropics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_Toc462652085 \h </w:instrText>
        </w:r>
        <w:r w:rsidR="00CC1775" w:rsidRPr="00CC1775">
          <w:rPr>
            <w:noProof/>
            <w:webHidden/>
          </w:rPr>
        </w:r>
        <w:r w:rsidR="00CC1775" w:rsidRPr="00CC1775">
          <w:rPr>
            <w:noProof/>
            <w:webHidden/>
          </w:rPr>
          <w:fldChar w:fldCharType="separate"/>
        </w:r>
        <w:r w:rsidR="00E51A34">
          <w:rPr>
            <w:noProof/>
            <w:webHidden/>
          </w:rPr>
          <w:t>77</w:t>
        </w:r>
        <w:r w:rsidR="00CC1775" w:rsidRPr="00CC1775">
          <w:rPr>
            <w:noProof/>
            <w:webHidden/>
          </w:rPr>
          <w:fldChar w:fldCharType="end"/>
        </w:r>
      </w:hyperlink>
    </w:p>
    <w:p w14:paraId="1BF4CF09"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6" w:history="1">
        <w:r w:rsidR="00CC1775" w:rsidRPr="00CC1775">
          <w:rPr>
            <w:rStyle w:val="Hyperlink"/>
            <w:noProof/>
          </w:rPr>
          <w:t>Table A 19 Lucinda, Wet Tropics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_Toc462652086 \h </w:instrText>
        </w:r>
        <w:r w:rsidR="00CC1775" w:rsidRPr="00CC1775">
          <w:rPr>
            <w:noProof/>
            <w:webHidden/>
          </w:rPr>
        </w:r>
        <w:r w:rsidR="00CC1775" w:rsidRPr="00CC1775">
          <w:rPr>
            <w:noProof/>
            <w:webHidden/>
          </w:rPr>
          <w:fldChar w:fldCharType="separate"/>
        </w:r>
        <w:r w:rsidR="00E51A34">
          <w:rPr>
            <w:noProof/>
            <w:webHidden/>
          </w:rPr>
          <w:t>78</w:t>
        </w:r>
        <w:r w:rsidR="00CC1775" w:rsidRPr="00CC1775">
          <w:rPr>
            <w:noProof/>
            <w:webHidden/>
          </w:rPr>
          <w:fldChar w:fldCharType="end"/>
        </w:r>
      </w:hyperlink>
    </w:p>
    <w:p w14:paraId="19B74BA9"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7" w:history="1">
        <w:r w:rsidR="00CC1775" w:rsidRPr="00CC1775">
          <w:rPr>
            <w:rStyle w:val="Hyperlink"/>
            <w:noProof/>
          </w:rPr>
          <w:t>Table A 20 Orpheus Island, Burdekin region – Concentrations in water (ng L-1)</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_Toc462652087 \h </w:instrText>
        </w:r>
        <w:r w:rsidR="00CC1775" w:rsidRPr="00CC1775">
          <w:rPr>
            <w:noProof/>
            <w:webHidden/>
          </w:rPr>
        </w:r>
        <w:r w:rsidR="00CC1775" w:rsidRPr="00CC1775">
          <w:rPr>
            <w:noProof/>
            <w:webHidden/>
          </w:rPr>
          <w:fldChar w:fldCharType="separate"/>
        </w:r>
        <w:r w:rsidR="00E51A34">
          <w:rPr>
            <w:noProof/>
            <w:webHidden/>
          </w:rPr>
          <w:t>81</w:t>
        </w:r>
        <w:r w:rsidR="00CC1775" w:rsidRPr="00CC1775">
          <w:rPr>
            <w:noProof/>
            <w:webHidden/>
          </w:rPr>
          <w:fldChar w:fldCharType="end"/>
        </w:r>
      </w:hyperlink>
    </w:p>
    <w:p w14:paraId="27DE5F7F"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8" w:history="1">
        <w:r w:rsidR="00CC1775" w:rsidRPr="00CC1775">
          <w:rPr>
            <w:rStyle w:val="Hyperlink"/>
            <w:noProof/>
          </w:rPr>
          <w:t>Table A 21 Cape Cleveland, Burdekin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_Toc462652088 \h </w:instrText>
        </w:r>
        <w:r w:rsidR="00CC1775" w:rsidRPr="00CC1775">
          <w:rPr>
            <w:noProof/>
            <w:webHidden/>
          </w:rPr>
        </w:r>
        <w:r w:rsidR="00CC1775" w:rsidRPr="00CC1775">
          <w:rPr>
            <w:noProof/>
            <w:webHidden/>
          </w:rPr>
          <w:fldChar w:fldCharType="separate"/>
        </w:r>
        <w:r w:rsidR="00E51A34">
          <w:rPr>
            <w:noProof/>
            <w:webHidden/>
          </w:rPr>
          <w:t>82</w:t>
        </w:r>
        <w:r w:rsidR="00CC1775" w:rsidRPr="00CC1775">
          <w:rPr>
            <w:noProof/>
            <w:webHidden/>
          </w:rPr>
          <w:fldChar w:fldCharType="end"/>
        </w:r>
      </w:hyperlink>
    </w:p>
    <w:p w14:paraId="19026175"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89" w:history="1">
        <w:r w:rsidR="00CC1775" w:rsidRPr="00CC1775">
          <w:rPr>
            <w:rStyle w:val="Hyperlink"/>
            <w:noProof/>
          </w:rPr>
          <w:t>Table A 22 Barratta Creek, Burdekin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_Toc462652089 \h </w:instrText>
        </w:r>
        <w:r w:rsidR="00CC1775" w:rsidRPr="00CC1775">
          <w:rPr>
            <w:noProof/>
            <w:webHidden/>
          </w:rPr>
        </w:r>
        <w:r w:rsidR="00CC1775" w:rsidRPr="00CC1775">
          <w:rPr>
            <w:noProof/>
            <w:webHidden/>
          </w:rPr>
          <w:fldChar w:fldCharType="separate"/>
        </w:r>
        <w:r w:rsidR="00E51A34">
          <w:rPr>
            <w:noProof/>
            <w:webHidden/>
          </w:rPr>
          <w:t>83</w:t>
        </w:r>
        <w:r w:rsidR="00CC1775" w:rsidRPr="00CC1775">
          <w:rPr>
            <w:noProof/>
            <w:webHidden/>
          </w:rPr>
          <w:fldChar w:fldCharType="end"/>
        </w:r>
      </w:hyperlink>
    </w:p>
    <w:p w14:paraId="0B618293"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0" w:history="1">
        <w:r w:rsidR="00CC1775" w:rsidRPr="00CC1775">
          <w:rPr>
            <w:rStyle w:val="Hyperlink"/>
            <w:noProof/>
          </w:rPr>
          <w:t>Table A 23 Barratta Creek case study, Burdekin region – Water concentrations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_Toc462652090 \h </w:instrText>
        </w:r>
        <w:r w:rsidR="00CC1775" w:rsidRPr="00CC1775">
          <w:rPr>
            <w:noProof/>
            <w:webHidden/>
          </w:rPr>
        </w:r>
        <w:r w:rsidR="00CC1775" w:rsidRPr="00CC1775">
          <w:rPr>
            <w:noProof/>
            <w:webHidden/>
          </w:rPr>
          <w:fldChar w:fldCharType="separate"/>
        </w:r>
        <w:r w:rsidR="00E51A34">
          <w:rPr>
            <w:noProof/>
            <w:webHidden/>
          </w:rPr>
          <w:t>84</w:t>
        </w:r>
        <w:r w:rsidR="00CC1775" w:rsidRPr="00CC1775">
          <w:rPr>
            <w:noProof/>
            <w:webHidden/>
          </w:rPr>
          <w:fldChar w:fldCharType="end"/>
        </w:r>
      </w:hyperlink>
    </w:p>
    <w:p w14:paraId="36DAF64D"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1" w:history="1">
        <w:r w:rsidR="00CC1775" w:rsidRPr="00CC1775">
          <w:rPr>
            <w:rStyle w:val="Hyperlink"/>
            <w:noProof/>
          </w:rPr>
          <w:t>Table A 24 Outer Whitsunday, Mackay Whitsunday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_Toc462652091 \h </w:instrText>
        </w:r>
        <w:r w:rsidR="00CC1775" w:rsidRPr="00CC1775">
          <w:rPr>
            <w:noProof/>
            <w:webHidden/>
          </w:rPr>
        </w:r>
        <w:r w:rsidR="00CC1775" w:rsidRPr="00CC1775">
          <w:rPr>
            <w:noProof/>
            <w:webHidden/>
          </w:rPr>
          <w:fldChar w:fldCharType="separate"/>
        </w:r>
        <w:r w:rsidR="00E51A34">
          <w:rPr>
            <w:noProof/>
            <w:webHidden/>
          </w:rPr>
          <w:t>85</w:t>
        </w:r>
        <w:r w:rsidR="00CC1775" w:rsidRPr="00CC1775">
          <w:rPr>
            <w:noProof/>
            <w:webHidden/>
          </w:rPr>
          <w:fldChar w:fldCharType="end"/>
        </w:r>
      </w:hyperlink>
    </w:p>
    <w:p w14:paraId="0927CAF5"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2" w:history="1">
        <w:r w:rsidR="00CC1775" w:rsidRPr="00CC1775">
          <w:rPr>
            <w:rStyle w:val="Hyperlink"/>
            <w:noProof/>
          </w:rPr>
          <w:t>Table A 25 Repulse Bay, Mackay Whitsunday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_Toc462652092 \h </w:instrText>
        </w:r>
        <w:r w:rsidR="00CC1775" w:rsidRPr="00CC1775">
          <w:rPr>
            <w:noProof/>
            <w:webHidden/>
          </w:rPr>
        </w:r>
        <w:r w:rsidR="00CC1775" w:rsidRPr="00CC1775">
          <w:rPr>
            <w:noProof/>
            <w:webHidden/>
          </w:rPr>
          <w:fldChar w:fldCharType="separate"/>
        </w:r>
        <w:r w:rsidR="00E51A34">
          <w:rPr>
            <w:noProof/>
            <w:webHidden/>
          </w:rPr>
          <w:t>85</w:t>
        </w:r>
        <w:r w:rsidR="00CC1775" w:rsidRPr="00CC1775">
          <w:rPr>
            <w:noProof/>
            <w:webHidden/>
          </w:rPr>
          <w:fldChar w:fldCharType="end"/>
        </w:r>
      </w:hyperlink>
    </w:p>
    <w:p w14:paraId="56A1CA75"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3" w:history="1">
        <w:r w:rsidR="00CC1775" w:rsidRPr="00CC1775">
          <w:rPr>
            <w:rStyle w:val="Hyperlink"/>
            <w:noProof/>
          </w:rPr>
          <w:t>Table A 26 Round/ Flat Top, Mackay Whitsunday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_Toc462652093 \h </w:instrText>
        </w:r>
        <w:r w:rsidR="00CC1775" w:rsidRPr="00CC1775">
          <w:rPr>
            <w:noProof/>
            <w:webHidden/>
          </w:rPr>
        </w:r>
        <w:r w:rsidR="00CC1775" w:rsidRPr="00CC1775">
          <w:rPr>
            <w:noProof/>
            <w:webHidden/>
          </w:rPr>
          <w:fldChar w:fldCharType="separate"/>
        </w:r>
        <w:r w:rsidR="00E51A34">
          <w:rPr>
            <w:noProof/>
            <w:webHidden/>
          </w:rPr>
          <w:t>86</w:t>
        </w:r>
        <w:r w:rsidR="00CC1775" w:rsidRPr="00CC1775">
          <w:rPr>
            <w:noProof/>
            <w:webHidden/>
          </w:rPr>
          <w:fldChar w:fldCharType="end"/>
        </w:r>
      </w:hyperlink>
    </w:p>
    <w:p w14:paraId="17E0BFDA"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4" w:history="1">
        <w:r w:rsidR="00CC1775" w:rsidRPr="00CC1775">
          <w:rPr>
            <w:rStyle w:val="Hyperlink"/>
            <w:noProof/>
          </w:rPr>
          <w:t>Table A 27 Sarina Inlet, Mackay Whitsunday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_Toc462652094 \h </w:instrText>
        </w:r>
        <w:r w:rsidR="00CC1775" w:rsidRPr="00CC1775">
          <w:rPr>
            <w:noProof/>
            <w:webHidden/>
          </w:rPr>
        </w:r>
        <w:r w:rsidR="00CC1775" w:rsidRPr="00CC1775">
          <w:rPr>
            <w:noProof/>
            <w:webHidden/>
          </w:rPr>
          <w:fldChar w:fldCharType="separate"/>
        </w:r>
        <w:r w:rsidR="00E51A34">
          <w:rPr>
            <w:noProof/>
            <w:webHidden/>
          </w:rPr>
          <w:t>87</w:t>
        </w:r>
        <w:r w:rsidR="00CC1775" w:rsidRPr="00CC1775">
          <w:rPr>
            <w:noProof/>
            <w:webHidden/>
          </w:rPr>
          <w:fldChar w:fldCharType="end"/>
        </w:r>
      </w:hyperlink>
    </w:p>
    <w:p w14:paraId="242CBD67"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5" w:history="1">
        <w:r w:rsidR="00CC1775" w:rsidRPr="00CC1775">
          <w:rPr>
            <w:rStyle w:val="Hyperlink"/>
            <w:noProof/>
          </w:rPr>
          <w:t>Table A 28 Sandy Creek, Mackay Whitsunday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_Toc462652095 \h </w:instrText>
        </w:r>
        <w:r w:rsidR="00CC1775" w:rsidRPr="00CC1775">
          <w:rPr>
            <w:noProof/>
            <w:webHidden/>
          </w:rPr>
        </w:r>
        <w:r w:rsidR="00CC1775" w:rsidRPr="00CC1775">
          <w:rPr>
            <w:noProof/>
            <w:webHidden/>
          </w:rPr>
          <w:fldChar w:fldCharType="separate"/>
        </w:r>
        <w:r w:rsidR="00E51A34">
          <w:rPr>
            <w:noProof/>
            <w:webHidden/>
          </w:rPr>
          <w:t>88</w:t>
        </w:r>
        <w:r w:rsidR="00CC1775" w:rsidRPr="00CC1775">
          <w:rPr>
            <w:noProof/>
            <w:webHidden/>
          </w:rPr>
          <w:fldChar w:fldCharType="end"/>
        </w:r>
      </w:hyperlink>
    </w:p>
    <w:p w14:paraId="636ADC87"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6" w:history="1">
        <w:r w:rsidR="00CC1775" w:rsidRPr="00CC1775">
          <w:rPr>
            <w:rStyle w:val="Hyperlink"/>
            <w:noProof/>
          </w:rPr>
          <w:t>Table A 29 North Keppel Island, Fitzroy Region – Concentrations in water (ng L</w:t>
        </w:r>
        <w:r w:rsidR="00CC1775" w:rsidRPr="00CC1775">
          <w:rPr>
            <w:rStyle w:val="Hyperlink"/>
            <w:noProof/>
            <w:vertAlign w:val="superscript"/>
          </w:rPr>
          <w:t>-1</w:t>
        </w:r>
        <w:r w:rsidR="00CC1775" w:rsidRPr="00CC1775">
          <w:rPr>
            <w:rStyle w:val="Hyperlink"/>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_Toc462652096 \h </w:instrText>
        </w:r>
        <w:r w:rsidR="00CC1775" w:rsidRPr="00CC1775">
          <w:rPr>
            <w:noProof/>
            <w:webHidden/>
          </w:rPr>
        </w:r>
        <w:r w:rsidR="00CC1775" w:rsidRPr="00CC1775">
          <w:rPr>
            <w:noProof/>
            <w:webHidden/>
          </w:rPr>
          <w:fldChar w:fldCharType="separate"/>
        </w:r>
        <w:r w:rsidR="00E51A34">
          <w:rPr>
            <w:noProof/>
            <w:webHidden/>
          </w:rPr>
          <w:t>89</w:t>
        </w:r>
        <w:r w:rsidR="00CC1775" w:rsidRPr="00CC1775">
          <w:rPr>
            <w:noProof/>
            <w:webHidden/>
          </w:rPr>
          <w:fldChar w:fldCharType="end"/>
        </w:r>
      </w:hyperlink>
    </w:p>
    <w:p w14:paraId="159B0528"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7" w:history="1">
        <w:r w:rsidR="00CC1775" w:rsidRPr="00CC1775">
          <w:rPr>
            <w:rStyle w:val="Hyperlink"/>
            <w:noProof/>
          </w:rPr>
          <w:t>Table A 30 Concentrations in water (ng L</w:t>
        </w:r>
        <w:r w:rsidR="00CC1775" w:rsidRPr="00CC1775">
          <w:rPr>
            <w:rStyle w:val="Hyperlink"/>
            <w:noProof/>
            <w:vertAlign w:val="superscript"/>
          </w:rPr>
          <w:t>-1</w:t>
        </w:r>
        <w:r w:rsidR="00CC1775" w:rsidRPr="00CC1775">
          <w:rPr>
            <w:rStyle w:val="Hyperlink"/>
            <w:noProof/>
          </w:rPr>
          <w:t>) measured along the Tully River and Russell-Mulgrave River transects using passive samplers during the wet season</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_Toc462652097 \h </w:instrText>
        </w:r>
        <w:r w:rsidR="00CC1775" w:rsidRPr="00CC1775">
          <w:rPr>
            <w:noProof/>
            <w:webHidden/>
          </w:rPr>
        </w:r>
        <w:r w:rsidR="00CC1775" w:rsidRPr="00CC1775">
          <w:rPr>
            <w:noProof/>
            <w:webHidden/>
          </w:rPr>
          <w:fldChar w:fldCharType="separate"/>
        </w:r>
        <w:r w:rsidR="00E51A34">
          <w:rPr>
            <w:noProof/>
            <w:webHidden/>
          </w:rPr>
          <w:t>90</w:t>
        </w:r>
        <w:r w:rsidR="00CC1775" w:rsidRPr="00CC1775">
          <w:rPr>
            <w:noProof/>
            <w:webHidden/>
          </w:rPr>
          <w:fldChar w:fldCharType="end"/>
        </w:r>
      </w:hyperlink>
    </w:p>
    <w:p w14:paraId="77218866"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8" w:history="1">
        <w:r w:rsidR="00CC1775" w:rsidRPr="00CC1775">
          <w:rPr>
            <w:rStyle w:val="Hyperlink"/>
            <w:noProof/>
          </w:rPr>
          <w:t>Table A 31 Concentrations in water (ng L</w:t>
        </w:r>
        <w:r w:rsidR="00CC1775" w:rsidRPr="00CC1775">
          <w:rPr>
            <w:rStyle w:val="Hyperlink"/>
            <w:noProof/>
            <w:vertAlign w:val="superscript"/>
          </w:rPr>
          <w:t>-1</w:t>
        </w:r>
        <w:r w:rsidR="00CC1775" w:rsidRPr="00CC1775">
          <w:rPr>
            <w:rStyle w:val="Hyperlink"/>
            <w:noProof/>
          </w:rPr>
          <w:t>) measured at various locations along the river transects using 1 L grab samples during the wet season</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_Toc462652098 \h </w:instrText>
        </w:r>
        <w:r w:rsidR="00CC1775" w:rsidRPr="00CC1775">
          <w:rPr>
            <w:noProof/>
            <w:webHidden/>
          </w:rPr>
        </w:r>
        <w:r w:rsidR="00CC1775" w:rsidRPr="00CC1775">
          <w:rPr>
            <w:noProof/>
            <w:webHidden/>
          </w:rPr>
          <w:fldChar w:fldCharType="separate"/>
        </w:r>
        <w:r w:rsidR="00E51A34">
          <w:rPr>
            <w:noProof/>
            <w:webHidden/>
          </w:rPr>
          <w:t>90</w:t>
        </w:r>
        <w:r w:rsidR="00CC1775" w:rsidRPr="00CC1775">
          <w:rPr>
            <w:noProof/>
            <w:webHidden/>
          </w:rPr>
          <w:fldChar w:fldCharType="end"/>
        </w:r>
      </w:hyperlink>
    </w:p>
    <w:p w14:paraId="5C7AAC16"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099" w:history="1">
        <w:r w:rsidR="00CC1775" w:rsidRPr="00CC1775">
          <w:rPr>
            <w:rStyle w:val="Hyperlink"/>
            <w:bCs/>
            <w:noProof/>
          </w:rPr>
          <w:t>Table A 32 Interim risk categories for marine waters using the ms-PAF method, (percentage of species potentially affected and the corresponding equivalent diuron concentration (ng L</w:t>
        </w:r>
        <w:r w:rsidR="00CC1775" w:rsidRPr="00CC1775">
          <w:rPr>
            <w:rStyle w:val="Hyperlink"/>
            <w:bCs/>
            <w:noProof/>
            <w:vertAlign w:val="superscript"/>
          </w:rPr>
          <w:t>-1</w:t>
        </w:r>
        <w:r w:rsidR="00CC1775" w:rsidRPr="00CC1775">
          <w:rPr>
            <w:rStyle w:val="Hyperlink"/>
            <w:bCs/>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_Toc462652099 \h </w:instrText>
        </w:r>
        <w:r w:rsidR="00CC1775" w:rsidRPr="00CC1775">
          <w:rPr>
            <w:noProof/>
            <w:webHidden/>
          </w:rPr>
        </w:r>
        <w:r w:rsidR="00CC1775" w:rsidRPr="00CC1775">
          <w:rPr>
            <w:noProof/>
            <w:webHidden/>
          </w:rPr>
          <w:fldChar w:fldCharType="separate"/>
        </w:r>
        <w:r w:rsidR="00E51A34">
          <w:rPr>
            <w:noProof/>
            <w:webHidden/>
          </w:rPr>
          <w:t>127</w:t>
        </w:r>
        <w:r w:rsidR="00CC1775" w:rsidRPr="00CC1775">
          <w:rPr>
            <w:noProof/>
            <w:webHidden/>
          </w:rPr>
          <w:fldChar w:fldCharType="end"/>
        </w:r>
      </w:hyperlink>
    </w:p>
    <w:p w14:paraId="6928ABB8"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00" w:history="1">
        <w:r w:rsidR="00CC1775" w:rsidRPr="00CC1775">
          <w:rPr>
            <w:rStyle w:val="Hyperlink"/>
            <w:bCs/>
            <w:noProof/>
          </w:rPr>
          <w:t>Table A 33 Comparison of PSII-HEq Max (ng/L) and ms-PAF Max (% species affected) values for all fixed monitoring sites since monitoring commenced.</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_Toc462652100 \h </w:instrText>
        </w:r>
        <w:r w:rsidR="00CC1775" w:rsidRPr="00CC1775">
          <w:rPr>
            <w:noProof/>
            <w:webHidden/>
          </w:rPr>
        </w:r>
        <w:r w:rsidR="00CC1775" w:rsidRPr="00CC1775">
          <w:rPr>
            <w:noProof/>
            <w:webHidden/>
          </w:rPr>
          <w:fldChar w:fldCharType="separate"/>
        </w:r>
        <w:r w:rsidR="00E51A34">
          <w:rPr>
            <w:noProof/>
            <w:webHidden/>
          </w:rPr>
          <w:t>127</w:t>
        </w:r>
        <w:r w:rsidR="00CC1775" w:rsidRPr="00CC1775">
          <w:rPr>
            <w:noProof/>
            <w:webHidden/>
          </w:rPr>
          <w:fldChar w:fldCharType="end"/>
        </w:r>
      </w:hyperlink>
    </w:p>
    <w:p w14:paraId="5850A8FB"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01" w:history="1">
        <w:r w:rsidR="00CC1775" w:rsidRPr="00CC1775">
          <w:rPr>
            <w:rStyle w:val="Hyperlink"/>
            <w:bCs/>
            <w:noProof/>
          </w:rPr>
          <w:t>Table A 34 Comparison of PSII-HEq Max (ng/L) and ms-PAF Max (% species affected) values for passive samplers and grab samples collected on river transects during the 2014-15 wet season.</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_Toc462652101 \h </w:instrText>
        </w:r>
        <w:r w:rsidR="00CC1775" w:rsidRPr="00CC1775">
          <w:rPr>
            <w:noProof/>
            <w:webHidden/>
          </w:rPr>
        </w:r>
        <w:r w:rsidR="00CC1775" w:rsidRPr="00CC1775">
          <w:rPr>
            <w:noProof/>
            <w:webHidden/>
          </w:rPr>
          <w:fldChar w:fldCharType="separate"/>
        </w:r>
        <w:r w:rsidR="00E51A34">
          <w:rPr>
            <w:noProof/>
            <w:webHidden/>
          </w:rPr>
          <w:t>128</w:t>
        </w:r>
        <w:r w:rsidR="00CC1775" w:rsidRPr="00CC1775">
          <w:rPr>
            <w:noProof/>
            <w:webHidden/>
          </w:rPr>
          <w:fldChar w:fldCharType="end"/>
        </w:r>
      </w:hyperlink>
    </w:p>
    <w:p w14:paraId="296F77AE"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02" w:history="1">
        <w:r w:rsidR="00CC1775" w:rsidRPr="00CC1775">
          <w:rPr>
            <w:rStyle w:val="Hyperlink"/>
            <w:bCs/>
            <w:noProof/>
          </w:rPr>
          <w:t>Table A 35 Comparison of PSII-HEq Max (ng/L) and ms-PAF Max (% species affected) values for passive samplers deployed in the Barratta Creek</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_Toc462652102 \h </w:instrText>
        </w:r>
        <w:r w:rsidR="00CC1775" w:rsidRPr="00CC1775">
          <w:rPr>
            <w:noProof/>
            <w:webHidden/>
          </w:rPr>
        </w:r>
        <w:r w:rsidR="00CC1775" w:rsidRPr="00CC1775">
          <w:rPr>
            <w:noProof/>
            <w:webHidden/>
          </w:rPr>
          <w:fldChar w:fldCharType="separate"/>
        </w:r>
        <w:r w:rsidR="00E51A34">
          <w:rPr>
            <w:noProof/>
            <w:webHidden/>
          </w:rPr>
          <w:t>129</w:t>
        </w:r>
        <w:r w:rsidR="00CC1775" w:rsidRPr="00CC1775">
          <w:rPr>
            <w:noProof/>
            <w:webHidden/>
          </w:rPr>
          <w:fldChar w:fldCharType="end"/>
        </w:r>
      </w:hyperlink>
    </w:p>
    <w:p w14:paraId="344F2787" w14:textId="77777777" w:rsidR="00CC1775" w:rsidRPr="00CC1775" w:rsidRDefault="00F745D3" w:rsidP="00CC1775">
      <w:pPr>
        <w:pStyle w:val="TableofFigures"/>
        <w:tabs>
          <w:tab w:val="right" w:leader="dot" w:pos="10790"/>
        </w:tabs>
        <w:spacing w:line="360" w:lineRule="auto"/>
        <w:rPr>
          <w:rFonts w:asciiTheme="minorHAnsi" w:hAnsiTheme="minorHAnsi"/>
          <w:i w:val="0"/>
          <w:iCs w:val="0"/>
          <w:noProof/>
          <w:sz w:val="22"/>
          <w:szCs w:val="22"/>
          <w:lang w:val="en-AU" w:eastAsia="en-AU" w:bidi="ar-SA"/>
        </w:rPr>
      </w:pPr>
      <w:hyperlink w:anchor="_Toc462652103" w:history="1">
        <w:r w:rsidR="00CC1775" w:rsidRPr="00CC1775">
          <w:rPr>
            <w:rStyle w:val="Hyperlink"/>
            <w:bCs/>
            <w:noProof/>
          </w:rPr>
          <w:t>Table A 36 Comparison of the ms-PAF values of various hypothetical herbicide profiles (ng L</w:t>
        </w:r>
        <w:r w:rsidR="00CC1775" w:rsidRPr="00CC1775">
          <w:rPr>
            <w:rStyle w:val="Hyperlink"/>
            <w:bCs/>
            <w:noProof/>
            <w:vertAlign w:val="superscript"/>
          </w:rPr>
          <w:t>-1</w:t>
        </w:r>
        <w:r w:rsidR="00CC1775" w:rsidRPr="00CC1775">
          <w:rPr>
            <w:rStyle w:val="Hyperlink"/>
            <w:bCs/>
            <w:noProof/>
          </w:rPr>
          <w:t>)</w:t>
        </w:r>
        <w:r w:rsidR="00CC1775" w:rsidRPr="00CC1775">
          <w:rPr>
            <w:noProof/>
            <w:webHidden/>
          </w:rPr>
          <w:tab/>
        </w:r>
        <w:r w:rsidR="00CC1775" w:rsidRPr="00CC1775">
          <w:rPr>
            <w:noProof/>
            <w:webHidden/>
          </w:rPr>
          <w:fldChar w:fldCharType="begin"/>
        </w:r>
        <w:r w:rsidR="00CC1775" w:rsidRPr="00CC1775">
          <w:rPr>
            <w:noProof/>
            <w:webHidden/>
          </w:rPr>
          <w:instrText xml:space="preserve"> PAGEREF _Toc462652103 \h </w:instrText>
        </w:r>
        <w:r w:rsidR="00CC1775" w:rsidRPr="00CC1775">
          <w:rPr>
            <w:noProof/>
            <w:webHidden/>
          </w:rPr>
        </w:r>
        <w:r w:rsidR="00CC1775" w:rsidRPr="00CC1775">
          <w:rPr>
            <w:noProof/>
            <w:webHidden/>
          </w:rPr>
          <w:fldChar w:fldCharType="separate"/>
        </w:r>
        <w:r w:rsidR="00E51A34">
          <w:rPr>
            <w:noProof/>
            <w:webHidden/>
          </w:rPr>
          <w:t>130</w:t>
        </w:r>
        <w:r w:rsidR="00CC1775" w:rsidRPr="00CC1775">
          <w:rPr>
            <w:noProof/>
            <w:webHidden/>
          </w:rPr>
          <w:fldChar w:fldCharType="end"/>
        </w:r>
      </w:hyperlink>
    </w:p>
    <w:p w14:paraId="7D24D88F" w14:textId="77777777" w:rsidR="0059608E" w:rsidRPr="00E30957" w:rsidRDefault="00737592" w:rsidP="005E2835">
      <w:r w:rsidRPr="00CC1775">
        <w:rPr>
          <w:lang w:val="en-AU"/>
        </w:rPr>
        <w:fldChar w:fldCharType="end"/>
      </w:r>
      <w:r w:rsidR="0059608E" w:rsidRPr="007E6E4A">
        <w:rPr>
          <w:lang w:val="en-AU"/>
        </w:rPr>
        <w:br w:type="page"/>
      </w:r>
      <w:bookmarkStart w:id="4" w:name="_Toc211315595"/>
      <w:r w:rsidR="0059608E" w:rsidRPr="006E6A7E">
        <w:rPr>
          <w:b/>
          <w:sz w:val="36"/>
          <w:szCs w:val="36"/>
          <w:u w:val="single"/>
          <w:lang w:val="en-AU"/>
        </w:rPr>
        <w:lastRenderedPageBreak/>
        <w:t>Acronyms</w:t>
      </w:r>
      <w:bookmarkEnd w:id="4"/>
    </w:p>
    <w:tbl>
      <w:tblPr>
        <w:tblStyle w:val="TableStyleAnita"/>
        <w:tblW w:w="5010" w:type="pct"/>
        <w:tblBorders>
          <w:insideH w:val="single" w:sz="4" w:space="0" w:color="auto"/>
          <w:insideV w:val="single" w:sz="4" w:space="0" w:color="auto"/>
        </w:tblBorders>
        <w:tblLook w:val="0000" w:firstRow="0" w:lastRow="0" w:firstColumn="0" w:lastColumn="0" w:noHBand="0" w:noVBand="0"/>
        <w:tblDescription w:val="List of acronyms"/>
      </w:tblPr>
      <w:tblGrid>
        <w:gridCol w:w="2002"/>
        <w:gridCol w:w="9036"/>
      </w:tblGrid>
      <w:tr w:rsidR="00E30957" w:rsidRPr="006C2A7B" w14:paraId="53B5BB84" w14:textId="77777777" w:rsidTr="00A31472">
        <w:trPr>
          <w:trHeight w:val="332"/>
          <w:tblHeader/>
        </w:trPr>
        <w:tc>
          <w:tcPr>
            <w:tcW w:w="907" w:type="pct"/>
            <w:vAlign w:val="center"/>
          </w:tcPr>
          <w:p w14:paraId="0994DE83" w14:textId="77777777" w:rsidR="00E30957" w:rsidRPr="00E30957" w:rsidRDefault="00E30957" w:rsidP="00934FAD">
            <w:pPr>
              <w:spacing w:line="276" w:lineRule="auto"/>
              <w:jc w:val="left"/>
              <w:rPr>
                <w:rFonts w:cs="Arial"/>
                <w:lang w:val="en-AU"/>
              </w:rPr>
            </w:pPr>
            <w:r w:rsidRPr="00E30957">
              <w:rPr>
                <w:rFonts w:cs="Arial"/>
                <w:lang w:val="en-AU"/>
              </w:rPr>
              <w:t>2,4-D</w:t>
            </w:r>
          </w:p>
        </w:tc>
        <w:tc>
          <w:tcPr>
            <w:tcW w:w="4093" w:type="pct"/>
            <w:vAlign w:val="center"/>
          </w:tcPr>
          <w:p w14:paraId="2F29051B" w14:textId="77777777" w:rsidR="00E30957" w:rsidRPr="00E30957" w:rsidRDefault="00E30957" w:rsidP="00934FAD">
            <w:pPr>
              <w:spacing w:line="276" w:lineRule="auto"/>
              <w:jc w:val="left"/>
              <w:rPr>
                <w:rFonts w:cs="Arial"/>
                <w:lang w:val="en-AU"/>
              </w:rPr>
            </w:pPr>
            <w:r w:rsidRPr="00E30957">
              <w:rPr>
                <w:rFonts w:cs="Arial"/>
                <w:lang w:val="en-AU"/>
              </w:rPr>
              <w:t>2,4-dichlorophenoxyacetic acid</w:t>
            </w:r>
          </w:p>
        </w:tc>
      </w:tr>
      <w:tr w:rsidR="00E30957" w:rsidRPr="006C2A7B" w14:paraId="189DDA2D" w14:textId="77777777" w:rsidTr="00A31472">
        <w:trPr>
          <w:trHeight w:val="332"/>
          <w:tblHeader/>
        </w:trPr>
        <w:tc>
          <w:tcPr>
            <w:tcW w:w="907" w:type="pct"/>
            <w:vAlign w:val="center"/>
          </w:tcPr>
          <w:p w14:paraId="7DE7A791" w14:textId="77777777" w:rsidR="00E30957" w:rsidRPr="00E30957" w:rsidRDefault="00E30957" w:rsidP="00934FAD">
            <w:pPr>
              <w:spacing w:line="276" w:lineRule="auto"/>
              <w:jc w:val="left"/>
              <w:rPr>
                <w:rFonts w:cs="Arial"/>
                <w:lang w:val="en-AU"/>
              </w:rPr>
            </w:pPr>
            <w:r w:rsidRPr="00E30957">
              <w:rPr>
                <w:rFonts w:cs="Arial"/>
                <w:lang w:val="en-AU"/>
              </w:rPr>
              <w:t>ANZECC</w:t>
            </w:r>
          </w:p>
        </w:tc>
        <w:tc>
          <w:tcPr>
            <w:tcW w:w="4093" w:type="pct"/>
            <w:vAlign w:val="center"/>
          </w:tcPr>
          <w:p w14:paraId="3B14661A" w14:textId="77777777" w:rsidR="00E30957" w:rsidRPr="00E30957" w:rsidRDefault="00E30957" w:rsidP="00934FAD">
            <w:pPr>
              <w:spacing w:line="276" w:lineRule="auto"/>
              <w:jc w:val="left"/>
              <w:rPr>
                <w:rFonts w:cs="Arial"/>
                <w:lang w:val="en-AU"/>
              </w:rPr>
            </w:pPr>
            <w:r w:rsidRPr="00E30957">
              <w:rPr>
                <w:rFonts w:cs="Arial"/>
                <w:lang w:val="en-AU"/>
              </w:rPr>
              <w:t>Australian and New Zealand Environment and Conservation Council</w:t>
            </w:r>
          </w:p>
        </w:tc>
      </w:tr>
      <w:tr w:rsidR="00E30957" w:rsidRPr="006C2A7B" w14:paraId="701428F9" w14:textId="77777777" w:rsidTr="00A31472">
        <w:trPr>
          <w:trHeight w:val="332"/>
          <w:tblHeader/>
        </w:trPr>
        <w:tc>
          <w:tcPr>
            <w:tcW w:w="907" w:type="pct"/>
            <w:vAlign w:val="center"/>
          </w:tcPr>
          <w:p w14:paraId="7AC7A4F2" w14:textId="77777777" w:rsidR="00E30957" w:rsidRPr="00E30957" w:rsidRDefault="00E30957" w:rsidP="00934FAD">
            <w:pPr>
              <w:spacing w:line="276" w:lineRule="auto"/>
              <w:jc w:val="left"/>
              <w:rPr>
                <w:rFonts w:cs="Arial"/>
                <w:lang w:val="en-AU"/>
              </w:rPr>
            </w:pPr>
            <w:r w:rsidRPr="00E30957">
              <w:rPr>
                <w:rFonts w:cs="Arial"/>
                <w:lang w:val="en-AU"/>
              </w:rPr>
              <w:t>ARMCANZ</w:t>
            </w:r>
          </w:p>
        </w:tc>
        <w:tc>
          <w:tcPr>
            <w:tcW w:w="4093" w:type="pct"/>
            <w:vAlign w:val="center"/>
          </w:tcPr>
          <w:p w14:paraId="580FC562" w14:textId="77777777" w:rsidR="00E30957" w:rsidRPr="00E30957" w:rsidRDefault="00E30957" w:rsidP="00934FAD">
            <w:pPr>
              <w:spacing w:line="276" w:lineRule="auto"/>
              <w:jc w:val="left"/>
              <w:rPr>
                <w:rFonts w:cs="Arial"/>
                <w:lang w:val="en-AU"/>
              </w:rPr>
            </w:pPr>
            <w:r w:rsidRPr="00E30957">
              <w:rPr>
                <w:rFonts w:cs="Arial"/>
                <w:lang w:val="en-AU"/>
              </w:rPr>
              <w:t xml:space="preserve">Agriculture and Resource Management Council of Australia and New Zealand </w:t>
            </w:r>
          </w:p>
        </w:tc>
      </w:tr>
      <w:tr w:rsidR="00E30957" w:rsidRPr="006C2A7B" w14:paraId="5231CF25" w14:textId="77777777" w:rsidTr="00A31472">
        <w:trPr>
          <w:trHeight w:val="332"/>
          <w:tblHeader/>
        </w:trPr>
        <w:tc>
          <w:tcPr>
            <w:tcW w:w="907" w:type="pct"/>
            <w:vAlign w:val="center"/>
          </w:tcPr>
          <w:p w14:paraId="5074D9A2" w14:textId="77777777" w:rsidR="00E30957" w:rsidRPr="00E30957" w:rsidRDefault="00E30957" w:rsidP="00934FAD">
            <w:pPr>
              <w:spacing w:line="276" w:lineRule="auto"/>
              <w:jc w:val="left"/>
              <w:rPr>
                <w:rFonts w:cs="Arial"/>
                <w:lang w:val="en-AU"/>
              </w:rPr>
            </w:pPr>
            <w:r w:rsidRPr="00E30957">
              <w:rPr>
                <w:rFonts w:cs="Arial"/>
                <w:lang w:val="en-AU"/>
              </w:rPr>
              <w:t>%CV</w:t>
            </w:r>
          </w:p>
        </w:tc>
        <w:tc>
          <w:tcPr>
            <w:tcW w:w="4093" w:type="pct"/>
            <w:vAlign w:val="center"/>
          </w:tcPr>
          <w:p w14:paraId="2DCDFB63" w14:textId="77777777" w:rsidR="00E30957" w:rsidRPr="00E30957" w:rsidRDefault="00E30957" w:rsidP="00934FAD">
            <w:pPr>
              <w:spacing w:line="276" w:lineRule="auto"/>
              <w:jc w:val="left"/>
              <w:rPr>
                <w:rFonts w:cs="Arial"/>
                <w:lang w:val="en-AU"/>
              </w:rPr>
            </w:pPr>
            <w:r w:rsidRPr="00E30957">
              <w:rPr>
                <w:rFonts w:cs="Arial"/>
                <w:lang w:val="en-AU"/>
              </w:rPr>
              <w:t>per cent coefficient of variation</w:t>
            </w:r>
          </w:p>
        </w:tc>
      </w:tr>
      <w:tr w:rsidR="00E30957" w:rsidRPr="006C2A7B" w14:paraId="01B40B40" w14:textId="77777777" w:rsidTr="00A31472">
        <w:trPr>
          <w:trHeight w:val="332"/>
          <w:tblHeader/>
        </w:trPr>
        <w:tc>
          <w:tcPr>
            <w:tcW w:w="907" w:type="pct"/>
            <w:vAlign w:val="center"/>
          </w:tcPr>
          <w:p w14:paraId="5BE49189" w14:textId="77777777" w:rsidR="00E30957" w:rsidRPr="00E30957" w:rsidRDefault="00E30957" w:rsidP="00934FAD">
            <w:pPr>
              <w:spacing w:line="276" w:lineRule="auto"/>
              <w:jc w:val="left"/>
              <w:rPr>
                <w:rFonts w:cs="Arial"/>
                <w:lang w:val="en-AU"/>
              </w:rPr>
            </w:pPr>
            <w:r w:rsidRPr="00E30957">
              <w:rPr>
                <w:rFonts w:cs="Arial"/>
                <w:lang w:val="en-AU"/>
              </w:rPr>
              <w:t>C</w:t>
            </w:r>
            <w:r w:rsidRPr="00E30957">
              <w:rPr>
                <w:rFonts w:cs="Arial"/>
                <w:vertAlign w:val="subscript"/>
                <w:lang w:val="en-AU"/>
              </w:rPr>
              <w:t>W</w:t>
            </w:r>
          </w:p>
        </w:tc>
        <w:tc>
          <w:tcPr>
            <w:tcW w:w="4093" w:type="pct"/>
            <w:vAlign w:val="center"/>
          </w:tcPr>
          <w:p w14:paraId="6AB01F77" w14:textId="77777777" w:rsidR="00E30957" w:rsidRPr="00E30957" w:rsidRDefault="00E30957" w:rsidP="00934FAD">
            <w:pPr>
              <w:spacing w:line="276" w:lineRule="auto"/>
              <w:jc w:val="left"/>
              <w:rPr>
                <w:rFonts w:cs="Arial"/>
                <w:lang w:val="en-AU"/>
              </w:rPr>
            </w:pPr>
            <w:r w:rsidRPr="00E30957">
              <w:rPr>
                <w:rFonts w:cs="Arial"/>
                <w:lang w:val="en-AU"/>
              </w:rPr>
              <w:t xml:space="preserve">Concentration in water </w:t>
            </w:r>
          </w:p>
        </w:tc>
      </w:tr>
      <w:tr w:rsidR="00E30957" w:rsidRPr="006C2A7B" w14:paraId="24CE6116" w14:textId="77777777" w:rsidTr="00A31472">
        <w:trPr>
          <w:trHeight w:val="332"/>
          <w:tblHeader/>
        </w:trPr>
        <w:tc>
          <w:tcPr>
            <w:tcW w:w="907" w:type="pct"/>
            <w:vAlign w:val="center"/>
          </w:tcPr>
          <w:p w14:paraId="732042C1" w14:textId="77777777" w:rsidR="00E30957" w:rsidRPr="00E30957" w:rsidRDefault="00E30957" w:rsidP="00934FAD">
            <w:pPr>
              <w:spacing w:line="276" w:lineRule="auto"/>
              <w:jc w:val="left"/>
              <w:rPr>
                <w:rFonts w:cs="Arial"/>
                <w:lang w:val="en-AU"/>
              </w:rPr>
            </w:pPr>
            <w:r w:rsidRPr="00E30957">
              <w:rPr>
                <w:rFonts w:cs="Arial"/>
                <w:lang w:val="en-AU"/>
              </w:rPr>
              <w:t>DSITI</w:t>
            </w:r>
          </w:p>
        </w:tc>
        <w:tc>
          <w:tcPr>
            <w:tcW w:w="4093" w:type="pct"/>
            <w:vAlign w:val="center"/>
          </w:tcPr>
          <w:p w14:paraId="37ADE246" w14:textId="77777777" w:rsidR="00E30957" w:rsidRPr="00E30957" w:rsidRDefault="00E30957" w:rsidP="00934FAD">
            <w:pPr>
              <w:spacing w:line="276" w:lineRule="auto"/>
              <w:jc w:val="left"/>
              <w:rPr>
                <w:rFonts w:cs="Arial"/>
                <w:bCs/>
                <w:lang w:val="en-AU"/>
              </w:rPr>
            </w:pPr>
            <w:r w:rsidRPr="00E30957">
              <w:rPr>
                <w:rFonts w:cs="Arial"/>
                <w:bCs/>
                <w:lang w:val="en-AU"/>
              </w:rPr>
              <w:t>Department of Science, Information Technology and Innovation</w:t>
            </w:r>
          </w:p>
        </w:tc>
      </w:tr>
      <w:tr w:rsidR="00E30957" w:rsidRPr="006C2A7B" w14:paraId="262EAE27" w14:textId="77777777" w:rsidTr="00A31472">
        <w:trPr>
          <w:trHeight w:val="332"/>
          <w:tblHeader/>
        </w:trPr>
        <w:tc>
          <w:tcPr>
            <w:tcW w:w="907" w:type="pct"/>
            <w:vAlign w:val="center"/>
          </w:tcPr>
          <w:p w14:paraId="1C6F51AD" w14:textId="77777777" w:rsidR="00E30957" w:rsidRPr="00E30957" w:rsidRDefault="00E30957" w:rsidP="00934FAD">
            <w:pPr>
              <w:spacing w:line="276" w:lineRule="auto"/>
              <w:jc w:val="left"/>
              <w:rPr>
                <w:rFonts w:cs="Arial"/>
                <w:vertAlign w:val="subscript"/>
                <w:lang w:val="en-AU"/>
              </w:rPr>
            </w:pPr>
            <w:r w:rsidRPr="00E30957">
              <w:rPr>
                <w:rFonts w:cs="Arial"/>
                <w:lang w:val="en-AU"/>
              </w:rPr>
              <w:t>EC</w:t>
            </w:r>
            <w:r w:rsidRPr="00E30957">
              <w:rPr>
                <w:rFonts w:cs="Arial"/>
                <w:vertAlign w:val="subscript"/>
                <w:lang w:val="en-AU"/>
              </w:rPr>
              <w:t>x</w:t>
            </w:r>
          </w:p>
        </w:tc>
        <w:tc>
          <w:tcPr>
            <w:tcW w:w="4093" w:type="pct"/>
            <w:vAlign w:val="center"/>
          </w:tcPr>
          <w:p w14:paraId="759D14AA" w14:textId="77777777" w:rsidR="00E30957" w:rsidRPr="00E30957" w:rsidRDefault="00E30957" w:rsidP="00934FAD">
            <w:pPr>
              <w:spacing w:line="276" w:lineRule="auto"/>
              <w:jc w:val="left"/>
              <w:rPr>
                <w:rFonts w:cs="Arial"/>
                <w:lang w:val="en-AU"/>
              </w:rPr>
            </w:pPr>
            <w:r w:rsidRPr="00E30957">
              <w:rPr>
                <w:rFonts w:cs="Arial"/>
                <w:bCs/>
                <w:lang w:val="en-AU"/>
              </w:rPr>
              <w:t xml:space="preserve">x per cent maximal effective concentration is observed </w:t>
            </w:r>
          </w:p>
        </w:tc>
      </w:tr>
      <w:tr w:rsidR="00E30957" w:rsidRPr="006C2A7B" w14:paraId="7B5B069E" w14:textId="77777777" w:rsidTr="00A31472">
        <w:trPr>
          <w:trHeight w:val="332"/>
          <w:tblHeader/>
        </w:trPr>
        <w:tc>
          <w:tcPr>
            <w:tcW w:w="907" w:type="pct"/>
            <w:vAlign w:val="center"/>
          </w:tcPr>
          <w:p w14:paraId="67DBD353" w14:textId="77777777" w:rsidR="00E30957" w:rsidRPr="00E30957" w:rsidRDefault="00E30957" w:rsidP="00934FAD">
            <w:pPr>
              <w:spacing w:line="276" w:lineRule="auto"/>
              <w:jc w:val="left"/>
              <w:rPr>
                <w:rFonts w:cs="Arial"/>
                <w:lang w:val="en-AU"/>
              </w:rPr>
            </w:pPr>
            <w:r w:rsidRPr="00E30957">
              <w:rPr>
                <w:rFonts w:cs="Arial"/>
                <w:lang w:val="en-AU"/>
              </w:rPr>
              <w:t>ED</w:t>
            </w:r>
          </w:p>
        </w:tc>
        <w:tc>
          <w:tcPr>
            <w:tcW w:w="4093" w:type="pct"/>
            <w:vAlign w:val="center"/>
          </w:tcPr>
          <w:p w14:paraId="77470A17" w14:textId="77777777" w:rsidR="00E30957" w:rsidRPr="00E30957" w:rsidRDefault="00E30957" w:rsidP="00934FAD">
            <w:pPr>
              <w:spacing w:line="276" w:lineRule="auto"/>
              <w:jc w:val="left"/>
              <w:rPr>
                <w:rFonts w:cs="Arial"/>
                <w:lang w:val="en-AU"/>
              </w:rPr>
            </w:pPr>
            <w:r w:rsidRPr="00E30957">
              <w:rPr>
                <w:rFonts w:cs="Arial"/>
                <w:lang w:val="en-AU"/>
              </w:rPr>
              <w:t>Empore Disk</w:t>
            </w:r>
            <w:r w:rsidRPr="00E30957">
              <w:rPr>
                <w:rFonts w:cs="Arial"/>
                <w:vertAlign w:val="superscript"/>
                <w:lang w:val="en-AU"/>
              </w:rPr>
              <w:t>TM</w:t>
            </w:r>
            <w:r w:rsidRPr="00E30957">
              <w:rPr>
                <w:rFonts w:cs="Arial"/>
                <w:lang w:val="en-AU"/>
              </w:rPr>
              <w:t xml:space="preserve"> passive sampler</w:t>
            </w:r>
          </w:p>
        </w:tc>
      </w:tr>
      <w:tr w:rsidR="00E30957" w:rsidRPr="006C2A7B" w14:paraId="15B85E85" w14:textId="77777777" w:rsidTr="00A31472">
        <w:trPr>
          <w:trHeight w:val="332"/>
          <w:tblHeader/>
        </w:trPr>
        <w:tc>
          <w:tcPr>
            <w:tcW w:w="907" w:type="pct"/>
            <w:vAlign w:val="center"/>
          </w:tcPr>
          <w:p w14:paraId="6E19DBC0" w14:textId="77777777" w:rsidR="00E30957" w:rsidRPr="00E30957" w:rsidRDefault="00E30957" w:rsidP="00934FAD">
            <w:pPr>
              <w:spacing w:line="276" w:lineRule="auto"/>
              <w:jc w:val="left"/>
              <w:rPr>
                <w:rFonts w:cs="Arial"/>
                <w:lang w:val="en-AU"/>
              </w:rPr>
            </w:pPr>
            <w:r w:rsidRPr="00E30957">
              <w:rPr>
                <w:rFonts w:cs="Arial"/>
                <w:lang w:val="en-AU"/>
              </w:rPr>
              <w:t>Entox</w:t>
            </w:r>
          </w:p>
        </w:tc>
        <w:tc>
          <w:tcPr>
            <w:tcW w:w="4093" w:type="pct"/>
            <w:vAlign w:val="center"/>
          </w:tcPr>
          <w:p w14:paraId="7110346E" w14:textId="77777777" w:rsidR="00E30957" w:rsidRPr="00E30957" w:rsidRDefault="00E30957" w:rsidP="00934FAD">
            <w:pPr>
              <w:spacing w:line="276" w:lineRule="auto"/>
              <w:jc w:val="left"/>
              <w:rPr>
                <w:rFonts w:cs="Arial"/>
                <w:lang w:val="en-AU"/>
              </w:rPr>
            </w:pPr>
            <w:r w:rsidRPr="00E30957">
              <w:rPr>
                <w:rFonts w:cs="Arial"/>
                <w:lang w:val="en-AU"/>
              </w:rPr>
              <w:t>National Research Centre for Environmental Toxicology</w:t>
            </w:r>
          </w:p>
        </w:tc>
      </w:tr>
      <w:tr w:rsidR="00E30957" w:rsidRPr="006C2A7B" w14:paraId="2E3D71DA" w14:textId="77777777" w:rsidTr="00A31472">
        <w:trPr>
          <w:trHeight w:val="332"/>
          <w:tblHeader/>
        </w:trPr>
        <w:tc>
          <w:tcPr>
            <w:tcW w:w="907" w:type="pct"/>
            <w:vAlign w:val="center"/>
          </w:tcPr>
          <w:p w14:paraId="5D0EBFD9" w14:textId="77777777" w:rsidR="00E30957" w:rsidRPr="00E30957" w:rsidRDefault="00E30957" w:rsidP="00934FAD">
            <w:pPr>
              <w:spacing w:line="276" w:lineRule="auto"/>
              <w:jc w:val="left"/>
              <w:rPr>
                <w:rFonts w:cs="Arial"/>
                <w:lang w:val="en-AU"/>
              </w:rPr>
            </w:pPr>
            <w:r w:rsidRPr="00E30957">
              <w:rPr>
                <w:rFonts w:cs="Arial"/>
                <w:lang w:val="en-AU"/>
              </w:rPr>
              <w:t>GBRCLMP</w:t>
            </w:r>
          </w:p>
        </w:tc>
        <w:tc>
          <w:tcPr>
            <w:tcW w:w="4093" w:type="pct"/>
            <w:vAlign w:val="center"/>
          </w:tcPr>
          <w:p w14:paraId="19E2D621" w14:textId="77777777" w:rsidR="00E30957" w:rsidRPr="00E30957" w:rsidRDefault="00E30957" w:rsidP="00934FAD">
            <w:pPr>
              <w:spacing w:line="276" w:lineRule="auto"/>
              <w:jc w:val="left"/>
              <w:rPr>
                <w:rFonts w:cs="Arial"/>
                <w:lang w:val="en-AU"/>
              </w:rPr>
            </w:pPr>
            <w:r w:rsidRPr="00E30957">
              <w:rPr>
                <w:rFonts w:cs="Arial"/>
                <w:lang w:val="en-AU"/>
              </w:rPr>
              <w:t>Great Barrier Reef Catchment Loads Monitoring Program</w:t>
            </w:r>
          </w:p>
        </w:tc>
      </w:tr>
      <w:tr w:rsidR="00E30957" w:rsidRPr="006C2A7B" w14:paraId="3B664BDB" w14:textId="77777777" w:rsidTr="00A31472">
        <w:trPr>
          <w:trHeight w:val="332"/>
          <w:tblHeader/>
        </w:trPr>
        <w:tc>
          <w:tcPr>
            <w:tcW w:w="907" w:type="pct"/>
            <w:vAlign w:val="center"/>
          </w:tcPr>
          <w:p w14:paraId="06458513" w14:textId="77777777" w:rsidR="00E30957" w:rsidRPr="00E30957" w:rsidRDefault="00E30957" w:rsidP="00934FAD">
            <w:pPr>
              <w:spacing w:line="276" w:lineRule="auto"/>
              <w:jc w:val="left"/>
              <w:rPr>
                <w:rFonts w:cs="Arial"/>
                <w:lang w:val="en-AU"/>
              </w:rPr>
            </w:pPr>
            <w:r w:rsidRPr="00E30957">
              <w:rPr>
                <w:rFonts w:cs="Arial"/>
                <w:lang w:val="en-AU"/>
              </w:rPr>
              <w:t>GBRMPA</w:t>
            </w:r>
          </w:p>
        </w:tc>
        <w:tc>
          <w:tcPr>
            <w:tcW w:w="4093" w:type="pct"/>
            <w:vAlign w:val="center"/>
          </w:tcPr>
          <w:p w14:paraId="340EEB51" w14:textId="77777777" w:rsidR="00E30957" w:rsidRPr="00E30957" w:rsidRDefault="00E30957" w:rsidP="00934FAD">
            <w:pPr>
              <w:spacing w:line="276" w:lineRule="auto"/>
              <w:jc w:val="left"/>
              <w:rPr>
                <w:rFonts w:cs="Arial"/>
                <w:lang w:val="en-AU"/>
              </w:rPr>
            </w:pPr>
            <w:r w:rsidRPr="00E30957">
              <w:rPr>
                <w:rFonts w:cs="Arial"/>
                <w:lang w:val="en-AU"/>
              </w:rPr>
              <w:t>Great Barrier Reef Marine Park Authority</w:t>
            </w:r>
          </w:p>
        </w:tc>
      </w:tr>
      <w:tr w:rsidR="00E30957" w:rsidRPr="006C2A7B" w14:paraId="61058C85" w14:textId="77777777" w:rsidTr="00A31472">
        <w:trPr>
          <w:trHeight w:val="332"/>
          <w:tblHeader/>
        </w:trPr>
        <w:tc>
          <w:tcPr>
            <w:tcW w:w="907" w:type="pct"/>
            <w:vAlign w:val="center"/>
          </w:tcPr>
          <w:p w14:paraId="5E78EAB2" w14:textId="77777777" w:rsidR="00E30957" w:rsidRPr="00E30957" w:rsidRDefault="00E30957" w:rsidP="00934FAD">
            <w:pPr>
              <w:spacing w:line="276" w:lineRule="auto"/>
              <w:jc w:val="left"/>
              <w:rPr>
                <w:rFonts w:cs="Arial"/>
                <w:lang w:val="en-AU"/>
              </w:rPr>
            </w:pPr>
            <w:r w:rsidRPr="00E30957">
              <w:rPr>
                <w:rFonts w:cs="Arial"/>
                <w:lang w:val="en-AU"/>
              </w:rPr>
              <w:t>GC-MS</w:t>
            </w:r>
          </w:p>
        </w:tc>
        <w:tc>
          <w:tcPr>
            <w:tcW w:w="4093" w:type="pct"/>
            <w:vAlign w:val="center"/>
          </w:tcPr>
          <w:p w14:paraId="5FD09C35" w14:textId="77777777" w:rsidR="00E30957" w:rsidRPr="00E30957" w:rsidRDefault="00E30957" w:rsidP="00934FAD">
            <w:pPr>
              <w:spacing w:line="276" w:lineRule="auto"/>
              <w:jc w:val="left"/>
              <w:rPr>
                <w:rFonts w:cs="Arial"/>
                <w:lang w:val="en-AU"/>
              </w:rPr>
            </w:pPr>
            <w:r w:rsidRPr="00E30957">
              <w:rPr>
                <w:rFonts w:cs="Arial"/>
                <w:lang w:val="en-AU"/>
              </w:rPr>
              <w:t>Gas Chromatography-Mass Spectrometry</w:t>
            </w:r>
          </w:p>
        </w:tc>
      </w:tr>
      <w:tr w:rsidR="00E30957" w:rsidRPr="006C2A7B" w14:paraId="785CE90F" w14:textId="77777777" w:rsidTr="00A31472">
        <w:trPr>
          <w:trHeight w:val="332"/>
          <w:tblHeader/>
        </w:trPr>
        <w:tc>
          <w:tcPr>
            <w:tcW w:w="907" w:type="pct"/>
            <w:vAlign w:val="center"/>
          </w:tcPr>
          <w:p w14:paraId="2CECC068" w14:textId="77777777" w:rsidR="00E30957" w:rsidRPr="00E30957" w:rsidRDefault="00E30957" w:rsidP="00934FAD">
            <w:pPr>
              <w:spacing w:line="276" w:lineRule="auto"/>
              <w:jc w:val="left"/>
              <w:rPr>
                <w:rFonts w:cs="Arial"/>
                <w:lang w:val="en-AU"/>
              </w:rPr>
            </w:pPr>
            <w:r w:rsidRPr="00E30957">
              <w:rPr>
                <w:rFonts w:cs="Arial"/>
                <w:lang w:val="en-AU"/>
              </w:rPr>
              <w:t>GPC</w:t>
            </w:r>
          </w:p>
        </w:tc>
        <w:tc>
          <w:tcPr>
            <w:tcW w:w="4093" w:type="pct"/>
            <w:vAlign w:val="center"/>
          </w:tcPr>
          <w:p w14:paraId="119E1373" w14:textId="77777777" w:rsidR="00E30957" w:rsidRPr="00E30957" w:rsidRDefault="00E30957" w:rsidP="00934FAD">
            <w:pPr>
              <w:spacing w:line="276" w:lineRule="auto"/>
              <w:jc w:val="left"/>
              <w:rPr>
                <w:rFonts w:cs="Arial"/>
                <w:lang w:val="en-AU"/>
              </w:rPr>
            </w:pPr>
            <w:r w:rsidRPr="00E30957">
              <w:rPr>
                <w:rFonts w:cs="Arial"/>
                <w:lang w:val="en-AU"/>
              </w:rPr>
              <w:t>Gel Permeation Chromatography</w:t>
            </w:r>
          </w:p>
        </w:tc>
      </w:tr>
      <w:tr w:rsidR="00E30957" w:rsidRPr="006C2A7B" w14:paraId="16C8B5A3" w14:textId="77777777" w:rsidTr="00A31472">
        <w:trPr>
          <w:trHeight w:val="332"/>
          <w:tblHeader/>
        </w:trPr>
        <w:tc>
          <w:tcPr>
            <w:tcW w:w="907" w:type="pct"/>
            <w:vAlign w:val="center"/>
          </w:tcPr>
          <w:p w14:paraId="1F65CCD4" w14:textId="77777777" w:rsidR="00E30957" w:rsidRPr="00E30957" w:rsidRDefault="00E30957" w:rsidP="00934FAD">
            <w:pPr>
              <w:spacing w:line="276" w:lineRule="auto"/>
              <w:jc w:val="left"/>
              <w:rPr>
                <w:rFonts w:cs="Arial"/>
                <w:lang w:val="en-AU"/>
              </w:rPr>
            </w:pPr>
            <w:r w:rsidRPr="00E30957">
              <w:rPr>
                <w:rFonts w:cs="Arial"/>
                <w:lang w:val="en-AU"/>
              </w:rPr>
              <w:t>GVs</w:t>
            </w:r>
          </w:p>
        </w:tc>
        <w:tc>
          <w:tcPr>
            <w:tcW w:w="4093" w:type="pct"/>
            <w:vAlign w:val="center"/>
          </w:tcPr>
          <w:p w14:paraId="1F6F958B" w14:textId="77777777" w:rsidR="00E30957" w:rsidRPr="00E30957" w:rsidRDefault="00E30957" w:rsidP="00934FAD">
            <w:pPr>
              <w:spacing w:line="276" w:lineRule="auto"/>
              <w:jc w:val="left"/>
              <w:rPr>
                <w:rFonts w:cs="Arial"/>
                <w:bCs/>
                <w:lang w:val="en-AU"/>
              </w:rPr>
            </w:pPr>
            <w:r w:rsidRPr="00E30957">
              <w:rPr>
                <w:rFonts w:cs="Arial"/>
                <w:bCs/>
                <w:lang w:val="en-AU"/>
              </w:rPr>
              <w:t>Guideline Values</w:t>
            </w:r>
          </w:p>
        </w:tc>
      </w:tr>
      <w:tr w:rsidR="00E30957" w:rsidRPr="006C2A7B" w14:paraId="2AB702BC" w14:textId="77777777" w:rsidTr="00A31472">
        <w:trPr>
          <w:trHeight w:val="332"/>
          <w:tblHeader/>
        </w:trPr>
        <w:tc>
          <w:tcPr>
            <w:tcW w:w="907" w:type="pct"/>
            <w:vAlign w:val="center"/>
          </w:tcPr>
          <w:p w14:paraId="2CECF446" w14:textId="77777777" w:rsidR="00E30957" w:rsidRPr="00E30957" w:rsidRDefault="00E30957" w:rsidP="00934FAD">
            <w:pPr>
              <w:spacing w:line="276" w:lineRule="auto"/>
              <w:jc w:val="left"/>
              <w:rPr>
                <w:rFonts w:cs="Arial"/>
                <w:lang w:val="en-AU"/>
              </w:rPr>
            </w:pPr>
            <w:r w:rsidRPr="00E30957">
              <w:rPr>
                <w:rFonts w:cs="Arial"/>
                <w:lang w:val="en-AU"/>
              </w:rPr>
              <w:t>IC</w:t>
            </w:r>
            <w:r w:rsidRPr="00E30957">
              <w:rPr>
                <w:rFonts w:cs="Arial"/>
                <w:vertAlign w:val="subscript"/>
                <w:lang w:val="en-AU"/>
              </w:rPr>
              <w:t>x</w:t>
            </w:r>
          </w:p>
        </w:tc>
        <w:tc>
          <w:tcPr>
            <w:tcW w:w="4093" w:type="pct"/>
            <w:vAlign w:val="center"/>
          </w:tcPr>
          <w:p w14:paraId="1963F4E7" w14:textId="77777777" w:rsidR="00E30957" w:rsidRPr="00E30957" w:rsidRDefault="00E30957" w:rsidP="00934FAD">
            <w:pPr>
              <w:spacing w:line="276" w:lineRule="auto"/>
              <w:jc w:val="left"/>
              <w:rPr>
                <w:rFonts w:cs="Arial"/>
                <w:lang w:val="en-AU"/>
              </w:rPr>
            </w:pPr>
            <w:r w:rsidRPr="00E30957">
              <w:rPr>
                <w:rFonts w:cs="Arial"/>
                <w:bCs/>
                <w:lang w:val="en-AU"/>
              </w:rPr>
              <w:t>x per cent of the maximal inhibitory concentration is observed</w:t>
            </w:r>
          </w:p>
        </w:tc>
      </w:tr>
      <w:tr w:rsidR="00E30957" w:rsidRPr="006C2A7B" w14:paraId="64C5B2AA" w14:textId="77777777" w:rsidTr="00A31472">
        <w:trPr>
          <w:trHeight w:val="332"/>
          <w:tblHeader/>
        </w:trPr>
        <w:tc>
          <w:tcPr>
            <w:tcW w:w="907" w:type="pct"/>
            <w:vAlign w:val="center"/>
          </w:tcPr>
          <w:p w14:paraId="49F09E58" w14:textId="77777777" w:rsidR="00E30957" w:rsidRPr="00E30957" w:rsidRDefault="00E30957" w:rsidP="00934FAD">
            <w:pPr>
              <w:spacing w:line="276" w:lineRule="auto"/>
              <w:jc w:val="left"/>
              <w:rPr>
                <w:rFonts w:cs="Arial"/>
                <w:lang w:val="en-AU"/>
              </w:rPr>
            </w:pPr>
            <w:r w:rsidRPr="00E30957">
              <w:rPr>
                <w:rFonts w:cs="Arial"/>
                <w:lang w:val="en-AU"/>
              </w:rPr>
              <w:t>IWL</w:t>
            </w:r>
          </w:p>
        </w:tc>
        <w:tc>
          <w:tcPr>
            <w:tcW w:w="4093" w:type="pct"/>
            <w:vAlign w:val="center"/>
          </w:tcPr>
          <w:p w14:paraId="2EF76AB7" w14:textId="77777777" w:rsidR="00E30957" w:rsidRPr="00E30957" w:rsidRDefault="00E30957" w:rsidP="00934FAD">
            <w:pPr>
              <w:spacing w:line="276" w:lineRule="auto"/>
              <w:jc w:val="left"/>
              <w:rPr>
                <w:rFonts w:cs="Arial"/>
                <w:lang w:val="en-AU"/>
              </w:rPr>
            </w:pPr>
            <w:r w:rsidRPr="00E30957">
              <w:rPr>
                <w:rFonts w:cs="Arial"/>
                <w:lang w:val="en-AU"/>
              </w:rPr>
              <w:t>Interim working level</w:t>
            </w:r>
          </w:p>
        </w:tc>
      </w:tr>
      <w:tr w:rsidR="00E30957" w:rsidRPr="006C2A7B" w14:paraId="0CF9AA9B" w14:textId="77777777" w:rsidTr="00A31472">
        <w:trPr>
          <w:trHeight w:val="332"/>
          <w:tblHeader/>
        </w:trPr>
        <w:tc>
          <w:tcPr>
            <w:tcW w:w="907" w:type="pct"/>
            <w:vAlign w:val="center"/>
          </w:tcPr>
          <w:p w14:paraId="0F6408D7" w14:textId="77777777" w:rsidR="00E30957" w:rsidRPr="00E30957" w:rsidRDefault="00E30957" w:rsidP="00934FAD">
            <w:pPr>
              <w:spacing w:line="276" w:lineRule="auto"/>
              <w:jc w:val="left"/>
              <w:rPr>
                <w:rFonts w:cs="Arial"/>
                <w:lang w:val="en-AU"/>
              </w:rPr>
            </w:pPr>
            <w:r w:rsidRPr="00E30957">
              <w:rPr>
                <w:rFonts w:cs="Arial"/>
                <w:lang w:val="en-AU"/>
              </w:rPr>
              <w:t>K</w:t>
            </w:r>
            <w:r w:rsidRPr="00E30957">
              <w:rPr>
                <w:rFonts w:cs="Arial"/>
                <w:vertAlign w:val="subscript"/>
                <w:lang w:val="en-AU"/>
              </w:rPr>
              <w:t>OW</w:t>
            </w:r>
          </w:p>
        </w:tc>
        <w:tc>
          <w:tcPr>
            <w:tcW w:w="4093" w:type="pct"/>
            <w:vAlign w:val="center"/>
          </w:tcPr>
          <w:p w14:paraId="0BB3D4DC" w14:textId="77777777" w:rsidR="00E30957" w:rsidRPr="00E30957" w:rsidRDefault="00E30957" w:rsidP="00934FAD">
            <w:pPr>
              <w:spacing w:line="276" w:lineRule="auto"/>
              <w:jc w:val="left"/>
              <w:rPr>
                <w:rFonts w:cs="Arial"/>
                <w:lang w:val="en-AU"/>
              </w:rPr>
            </w:pPr>
            <w:r w:rsidRPr="00E30957">
              <w:rPr>
                <w:rFonts w:cs="Arial"/>
                <w:lang w:val="en-AU"/>
              </w:rPr>
              <w:t>Octanol-water partition coefficient</w:t>
            </w:r>
          </w:p>
        </w:tc>
      </w:tr>
      <w:tr w:rsidR="00E30957" w:rsidRPr="006C2A7B" w14:paraId="2E134B9E" w14:textId="77777777" w:rsidTr="00A31472">
        <w:trPr>
          <w:trHeight w:val="332"/>
          <w:tblHeader/>
        </w:trPr>
        <w:tc>
          <w:tcPr>
            <w:tcW w:w="907" w:type="pct"/>
            <w:vAlign w:val="center"/>
          </w:tcPr>
          <w:p w14:paraId="6112B600" w14:textId="77777777" w:rsidR="00E30957" w:rsidRPr="00E30957" w:rsidRDefault="00E30957" w:rsidP="00934FAD">
            <w:pPr>
              <w:spacing w:line="276" w:lineRule="auto"/>
              <w:ind w:right="541"/>
              <w:jc w:val="left"/>
              <w:rPr>
                <w:rFonts w:cs="Arial"/>
                <w:lang w:val="en-AU"/>
              </w:rPr>
            </w:pPr>
            <w:r w:rsidRPr="00E30957">
              <w:rPr>
                <w:rFonts w:cs="Arial"/>
                <w:lang w:val="en-AU"/>
              </w:rPr>
              <w:t>LC</w:t>
            </w:r>
            <w:r w:rsidRPr="00E30957">
              <w:rPr>
                <w:rFonts w:cs="Arial"/>
                <w:vertAlign w:val="subscript"/>
                <w:lang w:val="en-AU"/>
              </w:rPr>
              <w:t>x</w:t>
            </w:r>
          </w:p>
        </w:tc>
        <w:tc>
          <w:tcPr>
            <w:tcW w:w="4093" w:type="pct"/>
            <w:vAlign w:val="center"/>
          </w:tcPr>
          <w:p w14:paraId="25DD18F6" w14:textId="77777777" w:rsidR="00E30957" w:rsidRPr="00E30957" w:rsidRDefault="00E30957" w:rsidP="00934FAD">
            <w:pPr>
              <w:spacing w:line="276" w:lineRule="auto"/>
              <w:jc w:val="left"/>
              <w:rPr>
                <w:rFonts w:cs="Arial"/>
                <w:lang w:val="en-AU"/>
              </w:rPr>
            </w:pPr>
            <w:r w:rsidRPr="00E30957">
              <w:rPr>
                <w:rFonts w:cs="Arial"/>
                <w:lang w:val="en-AU"/>
              </w:rPr>
              <w:t>x per cent of the lethal concentration is observed</w:t>
            </w:r>
          </w:p>
        </w:tc>
      </w:tr>
      <w:tr w:rsidR="00E30957" w:rsidRPr="006C2A7B" w14:paraId="7185FF52" w14:textId="77777777" w:rsidTr="00A31472">
        <w:trPr>
          <w:trHeight w:val="332"/>
          <w:tblHeader/>
        </w:trPr>
        <w:tc>
          <w:tcPr>
            <w:tcW w:w="907" w:type="pct"/>
            <w:vAlign w:val="center"/>
          </w:tcPr>
          <w:p w14:paraId="3548B35B" w14:textId="77777777" w:rsidR="00E30957" w:rsidRPr="00E30957" w:rsidRDefault="00E30957" w:rsidP="00934FAD">
            <w:pPr>
              <w:spacing w:line="276" w:lineRule="auto"/>
              <w:ind w:right="541"/>
              <w:jc w:val="left"/>
              <w:rPr>
                <w:rFonts w:cs="Arial"/>
                <w:lang w:val="en-AU"/>
              </w:rPr>
            </w:pPr>
            <w:r w:rsidRPr="00E30957">
              <w:rPr>
                <w:rFonts w:cs="Arial"/>
                <w:lang w:val="en-AU"/>
              </w:rPr>
              <w:t>LC-MS</w:t>
            </w:r>
          </w:p>
        </w:tc>
        <w:tc>
          <w:tcPr>
            <w:tcW w:w="4093" w:type="pct"/>
            <w:vAlign w:val="center"/>
          </w:tcPr>
          <w:p w14:paraId="4115846C" w14:textId="77777777" w:rsidR="00E30957" w:rsidRPr="00E30957" w:rsidRDefault="00E30957" w:rsidP="00934FAD">
            <w:pPr>
              <w:spacing w:line="276" w:lineRule="auto"/>
              <w:jc w:val="left"/>
              <w:rPr>
                <w:rFonts w:cs="Arial"/>
                <w:lang w:val="en-AU"/>
              </w:rPr>
            </w:pPr>
            <w:r w:rsidRPr="00E30957">
              <w:rPr>
                <w:rFonts w:cs="Arial"/>
                <w:lang w:val="en-AU"/>
              </w:rPr>
              <w:t>Liquid Chromatography-Mass Spectrometry</w:t>
            </w:r>
          </w:p>
        </w:tc>
      </w:tr>
      <w:tr w:rsidR="00E30957" w:rsidRPr="006C2A7B" w14:paraId="191C6B0F" w14:textId="77777777" w:rsidTr="00A31472">
        <w:trPr>
          <w:trHeight w:val="332"/>
          <w:tblHeader/>
        </w:trPr>
        <w:tc>
          <w:tcPr>
            <w:tcW w:w="907" w:type="pct"/>
            <w:vAlign w:val="center"/>
          </w:tcPr>
          <w:p w14:paraId="3CA0CFB2" w14:textId="77777777" w:rsidR="00E30957" w:rsidRPr="00E30957" w:rsidRDefault="00E30957" w:rsidP="00934FAD">
            <w:pPr>
              <w:spacing w:line="276" w:lineRule="auto"/>
              <w:jc w:val="left"/>
              <w:rPr>
                <w:rFonts w:cs="Arial"/>
                <w:lang w:val="en-AU"/>
              </w:rPr>
            </w:pPr>
            <w:r w:rsidRPr="00E30957">
              <w:rPr>
                <w:rFonts w:cs="Arial"/>
                <w:lang w:val="en-AU"/>
              </w:rPr>
              <w:t>LOD</w:t>
            </w:r>
          </w:p>
        </w:tc>
        <w:tc>
          <w:tcPr>
            <w:tcW w:w="4093" w:type="pct"/>
            <w:vAlign w:val="center"/>
          </w:tcPr>
          <w:p w14:paraId="004CB084" w14:textId="77777777" w:rsidR="00E30957" w:rsidRPr="00E30957" w:rsidRDefault="00E30957" w:rsidP="00934FAD">
            <w:pPr>
              <w:spacing w:line="276" w:lineRule="auto"/>
              <w:jc w:val="left"/>
              <w:rPr>
                <w:rFonts w:cs="Arial"/>
                <w:lang w:val="en-AU"/>
              </w:rPr>
            </w:pPr>
            <w:r w:rsidRPr="00E30957">
              <w:rPr>
                <w:rFonts w:cs="Arial"/>
                <w:lang w:val="en-AU"/>
              </w:rPr>
              <w:t>Limit of Detection</w:t>
            </w:r>
          </w:p>
        </w:tc>
      </w:tr>
      <w:tr w:rsidR="00E30957" w:rsidRPr="006C2A7B" w14:paraId="2CFCE308" w14:textId="77777777" w:rsidTr="00A31472">
        <w:trPr>
          <w:trHeight w:val="332"/>
          <w:tblHeader/>
        </w:trPr>
        <w:tc>
          <w:tcPr>
            <w:tcW w:w="907" w:type="pct"/>
            <w:vAlign w:val="center"/>
          </w:tcPr>
          <w:p w14:paraId="7243CD47" w14:textId="77777777" w:rsidR="00E30957" w:rsidRPr="00E30957" w:rsidRDefault="00E30957" w:rsidP="00934FAD">
            <w:pPr>
              <w:spacing w:line="276" w:lineRule="auto"/>
              <w:jc w:val="left"/>
              <w:rPr>
                <w:rFonts w:cs="Arial"/>
                <w:lang w:val="en-AU"/>
              </w:rPr>
            </w:pPr>
            <w:r w:rsidRPr="00E30957">
              <w:rPr>
                <w:rFonts w:cs="Arial"/>
                <w:lang w:val="en-AU"/>
              </w:rPr>
              <w:t>LOR</w:t>
            </w:r>
          </w:p>
        </w:tc>
        <w:tc>
          <w:tcPr>
            <w:tcW w:w="4093" w:type="pct"/>
            <w:vAlign w:val="center"/>
          </w:tcPr>
          <w:p w14:paraId="2E271928" w14:textId="77777777" w:rsidR="00E30957" w:rsidRPr="00E30957" w:rsidRDefault="00E30957" w:rsidP="00934FAD">
            <w:pPr>
              <w:spacing w:line="276" w:lineRule="auto"/>
              <w:jc w:val="left"/>
              <w:rPr>
                <w:rFonts w:cs="Arial"/>
                <w:lang w:val="en-AU"/>
              </w:rPr>
            </w:pPr>
            <w:r w:rsidRPr="00E30957">
              <w:rPr>
                <w:rFonts w:cs="Arial"/>
                <w:lang w:val="en-AU"/>
              </w:rPr>
              <w:t>Limit of Reporting</w:t>
            </w:r>
          </w:p>
        </w:tc>
      </w:tr>
      <w:tr w:rsidR="00E30957" w:rsidRPr="006C2A7B" w14:paraId="22B9DA8D" w14:textId="77777777" w:rsidTr="00A31472">
        <w:trPr>
          <w:trHeight w:val="332"/>
          <w:tblHeader/>
        </w:trPr>
        <w:tc>
          <w:tcPr>
            <w:tcW w:w="907" w:type="pct"/>
            <w:vAlign w:val="center"/>
          </w:tcPr>
          <w:p w14:paraId="7C9E7907" w14:textId="77777777" w:rsidR="00E30957" w:rsidRPr="00E30957" w:rsidRDefault="00E30957" w:rsidP="00934FAD">
            <w:pPr>
              <w:spacing w:line="276" w:lineRule="auto"/>
              <w:jc w:val="left"/>
              <w:rPr>
                <w:rFonts w:cs="Arial"/>
                <w:lang w:val="en-AU"/>
              </w:rPr>
            </w:pPr>
            <w:r w:rsidRPr="00E30957">
              <w:rPr>
                <w:rFonts w:cs="Arial"/>
                <w:lang w:val="en-AU"/>
              </w:rPr>
              <w:t>MCPA</w:t>
            </w:r>
          </w:p>
        </w:tc>
        <w:tc>
          <w:tcPr>
            <w:tcW w:w="4093" w:type="pct"/>
            <w:vAlign w:val="center"/>
          </w:tcPr>
          <w:p w14:paraId="6695FA8D" w14:textId="77777777" w:rsidR="00E30957" w:rsidRPr="00E30957" w:rsidRDefault="00E30957" w:rsidP="00934FAD">
            <w:pPr>
              <w:spacing w:line="276" w:lineRule="auto"/>
              <w:jc w:val="left"/>
              <w:rPr>
                <w:rFonts w:cs="Arial"/>
                <w:lang w:val="en-AU"/>
              </w:rPr>
            </w:pPr>
            <w:r w:rsidRPr="00E30957">
              <w:rPr>
                <w:rFonts w:cs="Arial"/>
                <w:lang w:val="en-AU"/>
              </w:rPr>
              <w:t>2-methyl-4-chlorophenoxyacetic acid</w:t>
            </w:r>
          </w:p>
        </w:tc>
      </w:tr>
      <w:tr w:rsidR="00E30957" w:rsidRPr="006C2A7B" w14:paraId="41DB2169" w14:textId="77777777" w:rsidTr="00A31472">
        <w:trPr>
          <w:trHeight w:val="332"/>
          <w:tblHeader/>
        </w:trPr>
        <w:tc>
          <w:tcPr>
            <w:tcW w:w="907" w:type="pct"/>
            <w:vAlign w:val="center"/>
          </w:tcPr>
          <w:p w14:paraId="4F021935" w14:textId="77777777" w:rsidR="00E30957" w:rsidRPr="00E30957" w:rsidRDefault="00E30957" w:rsidP="00934FAD">
            <w:pPr>
              <w:spacing w:line="276" w:lineRule="auto"/>
              <w:jc w:val="left"/>
              <w:rPr>
                <w:rFonts w:cs="Arial"/>
                <w:lang w:val="en-AU"/>
              </w:rPr>
            </w:pPr>
            <w:r w:rsidRPr="00E30957">
              <w:rPr>
                <w:rFonts w:cs="Arial"/>
                <w:lang w:val="en-AU"/>
              </w:rPr>
              <w:t>MMP</w:t>
            </w:r>
          </w:p>
        </w:tc>
        <w:tc>
          <w:tcPr>
            <w:tcW w:w="4093" w:type="pct"/>
            <w:vAlign w:val="center"/>
          </w:tcPr>
          <w:p w14:paraId="1E8DD2C2" w14:textId="77777777" w:rsidR="00E30957" w:rsidRPr="00E30957" w:rsidRDefault="00E30957" w:rsidP="00934FAD">
            <w:pPr>
              <w:spacing w:line="276" w:lineRule="auto"/>
              <w:jc w:val="left"/>
              <w:rPr>
                <w:rFonts w:cs="Arial"/>
                <w:lang w:val="en-AU"/>
              </w:rPr>
            </w:pPr>
            <w:r w:rsidRPr="00E30957">
              <w:rPr>
                <w:rFonts w:cs="Arial"/>
                <w:lang w:val="en-AU"/>
              </w:rPr>
              <w:t>Marine Monitoring Program</w:t>
            </w:r>
          </w:p>
        </w:tc>
      </w:tr>
      <w:tr w:rsidR="00E30957" w:rsidRPr="006C2A7B" w14:paraId="5A7C2A9C" w14:textId="77777777" w:rsidTr="00A31472">
        <w:trPr>
          <w:trHeight w:val="332"/>
          <w:tblHeader/>
        </w:trPr>
        <w:tc>
          <w:tcPr>
            <w:tcW w:w="907" w:type="pct"/>
            <w:vAlign w:val="center"/>
          </w:tcPr>
          <w:p w14:paraId="0E9D972F" w14:textId="77777777" w:rsidR="00E30957" w:rsidRPr="00E30957" w:rsidRDefault="00E30957" w:rsidP="00934FAD">
            <w:pPr>
              <w:spacing w:line="276" w:lineRule="auto"/>
              <w:jc w:val="left"/>
              <w:rPr>
                <w:rFonts w:cs="Arial"/>
                <w:lang w:val="en-AU"/>
              </w:rPr>
            </w:pPr>
            <w:r w:rsidRPr="00E30957">
              <w:rPr>
                <w:rFonts w:cs="Arial"/>
                <w:lang w:val="en-AU"/>
              </w:rPr>
              <w:t>ms-PAF</w:t>
            </w:r>
          </w:p>
        </w:tc>
        <w:tc>
          <w:tcPr>
            <w:tcW w:w="4093" w:type="pct"/>
            <w:vAlign w:val="center"/>
          </w:tcPr>
          <w:p w14:paraId="4EBD97FA" w14:textId="77777777" w:rsidR="00E30957" w:rsidRPr="00E30957" w:rsidRDefault="00E30957" w:rsidP="00934FAD">
            <w:pPr>
              <w:spacing w:line="276" w:lineRule="auto"/>
              <w:jc w:val="left"/>
              <w:rPr>
                <w:rFonts w:cs="Arial"/>
                <w:lang w:val="en-AU"/>
              </w:rPr>
            </w:pPr>
            <w:r w:rsidRPr="00E30957">
              <w:rPr>
                <w:rFonts w:cs="Arial"/>
                <w:lang w:val="en-AU"/>
              </w:rPr>
              <w:t>Multi-substance potentially affected fraction</w:t>
            </w:r>
          </w:p>
        </w:tc>
      </w:tr>
      <w:tr w:rsidR="00E30957" w:rsidRPr="006C2A7B" w14:paraId="56D4BB10" w14:textId="77777777" w:rsidTr="00A31472">
        <w:trPr>
          <w:trHeight w:val="332"/>
          <w:tblHeader/>
        </w:trPr>
        <w:tc>
          <w:tcPr>
            <w:tcW w:w="907" w:type="pct"/>
            <w:vAlign w:val="center"/>
          </w:tcPr>
          <w:p w14:paraId="687B85E0" w14:textId="77777777" w:rsidR="00E30957" w:rsidRPr="00E30957" w:rsidRDefault="00E30957" w:rsidP="00934FAD">
            <w:pPr>
              <w:spacing w:line="276" w:lineRule="auto"/>
              <w:jc w:val="left"/>
              <w:rPr>
                <w:rFonts w:cs="Arial"/>
                <w:lang w:val="en-AU"/>
              </w:rPr>
            </w:pPr>
            <w:r w:rsidRPr="00E30957">
              <w:rPr>
                <w:rFonts w:cs="Arial"/>
                <w:lang w:val="en-AU"/>
              </w:rPr>
              <w:t>NOEC</w:t>
            </w:r>
          </w:p>
        </w:tc>
        <w:tc>
          <w:tcPr>
            <w:tcW w:w="4093" w:type="pct"/>
            <w:vAlign w:val="center"/>
          </w:tcPr>
          <w:p w14:paraId="65CBCF18" w14:textId="77777777" w:rsidR="00E30957" w:rsidRPr="00E30957" w:rsidRDefault="00E30957" w:rsidP="00934FAD">
            <w:pPr>
              <w:spacing w:line="276" w:lineRule="auto"/>
              <w:jc w:val="left"/>
              <w:rPr>
                <w:rFonts w:cs="Arial"/>
                <w:lang w:val="en-AU"/>
              </w:rPr>
            </w:pPr>
            <w:r w:rsidRPr="00E30957">
              <w:rPr>
                <w:rFonts w:cs="Arial"/>
                <w:lang w:val="en-AU"/>
              </w:rPr>
              <w:t>No Observed Effect Concentration</w:t>
            </w:r>
          </w:p>
        </w:tc>
      </w:tr>
      <w:tr w:rsidR="00E30957" w:rsidRPr="006C2A7B" w14:paraId="05171997" w14:textId="77777777" w:rsidTr="00A31472">
        <w:trPr>
          <w:trHeight w:val="332"/>
          <w:tblHeader/>
        </w:trPr>
        <w:tc>
          <w:tcPr>
            <w:tcW w:w="907" w:type="pct"/>
            <w:vAlign w:val="center"/>
          </w:tcPr>
          <w:p w14:paraId="3A192B81" w14:textId="77777777" w:rsidR="00E30957" w:rsidRPr="00E30957" w:rsidRDefault="00E30957" w:rsidP="00934FAD">
            <w:pPr>
              <w:spacing w:line="276" w:lineRule="auto"/>
              <w:jc w:val="left"/>
              <w:rPr>
                <w:rFonts w:cs="Arial"/>
                <w:lang w:val="en-AU"/>
              </w:rPr>
            </w:pPr>
            <w:r w:rsidRPr="00E30957">
              <w:rPr>
                <w:rFonts w:cs="Arial"/>
                <w:lang w:val="en-AU"/>
              </w:rPr>
              <w:t>PDMS</w:t>
            </w:r>
          </w:p>
        </w:tc>
        <w:tc>
          <w:tcPr>
            <w:tcW w:w="4093" w:type="pct"/>
            <w:vAlign w:val="center"/>
          </w:tcPr>
          <w:p w14:paraId="72A6D3C5" w14:textId="77777777" w:rsidR="00E30957" w:rsidRPr="00E30957" w:rsidRDefault="00E30957" w:rsidP="00934FAD">
            <w:pPr>
              <w:spacing w:line="276" w:lineRule="auto"/>
              <w:jc w:val="left"/>
              <w:rPr>
                <w:rFonts w:cs="Arial"/>
                <w:lang w:val="en-AU"/>
              </w:rPr>
            </w:pPr>
            <w:r w:rsidRPr="00E30957">
              <w:rPr>
                <w:rFonts w:cs="Arial"/>
                <w:lang w:val="en-AU"/>
              </w:rPr>
              <w:t>Polydimethylsiloxane passive sampler</w:t>
            </w:r>
          </w:p>
        </w:tc>
      </w:tr>
      <w:tr w:rsidR="00E30957" w:rsidRPr="006C2A7B" w14:paraId="4EF0396E" w14:textId="77777777" w:rsidTr="00A31472">
        <w:trPr>
          <w:trHeight w:val="332"/>
          <w:tblHeader/>
        </w:trPr>
        <w:tc>
          <w:tcPr>
            <w:tcW w:w="907" w:type="pct"/>
            <w:vAlign w:val="center"/>
          </w:tcPr>
          <w:p w14:paraId="623D746B" w14:textId="77777777" w:rsidR="00E30957" w:rsidRPr="00E30957" w:rsidRDefault="00E30957" w:rsidP="00934FAD">
            <w:pPr>
              <w:spacing w:line="276" w:lineRule="auto"/>
              <w:jc w:val="left"/>
              <w:rPr>
                <w:rFonts w:cs="Arial"/>
                <w:lang w:val="en-AU"/>
              </w:rPr>
            </w:pPr>
            <w:r w:rsidRPr="00E30957">
              <w:rPr>
                <w:rFonts w:cs="Arial"/>
                <w:lang w:val="en-AU"/>
              </w:rPr>
              <w:t>PFM</w:t>
            </w:r>
          </w:p>
        </w:tc>
        <w:tc>
          <w:tcPr>
            <w:tcW w:w="4093" w:type="pct"/>
            <w:vAlign w:val="center"/>
          </w:tcPr>
          <w:p w14:paraId="6AA82069" w14:textId="77777777" w:rsidR="00E30957" w:rsidRPr="00E30957" w:rsidRDefault="00E30957" w:rsidP="00934FAD">
            <w:pPr>
              <w:spacing w:line="276" w:lineRule="auto"/>
              <w:jc w:val="left"/>
              <w:rPr>
                <w:rFonts w:cs="Arial"/>
                <w:lang w:val="en-AU"/>
              </w:rPr>
            </w:pPr>
            <w:r w:rsidRPr="00E30957">
              <w:rPr>
                <w:rFonts w:cs="Arial"/>
                <w:lang w:val="en-AU"/>
              </w:rPr>
              <w:t>Passive/Plaster Flow Monitor</w:t>
            </w:r>
          </w:p>
        </w:tc>
      </w:tr>
      <w:tr w:rsidR="00E30957" w:rsidRPr="006C2A7B" w14:paraId="717592EC" w14:textId="77777777" w:rsidTr="00A31472">
        <w:trPr>
          <w:trHeight w:val="332"/>
          <w:tblHeader/>
        </w:trPr>
        <w:tc>
          <w:tcPr>
            <w:tcW w:w="907" w:type="pct"/>
            <w:vAlign w:val="center"/>
          </w:tcPr>
          <w:p w14:paraId="70D81044" w14:textId="77777777" w:rsidR="00E30957" w:rsidRPr="00E30957" w:rsidRDefault="00E30957" w:rsidP="00934FAD">
            <w:pPr>
              <w:spacing w:line="276" w:lineRule="auto"/>
              <w:jc w:val="left"/>
              <w:rPr>
                <w:rFonts w:cs="Arial"/>
                <w:lang w:val="en-AU"/>
              </w:rPr>
            </w:pPr>
            <w:r w:rsidRPr="00E30957">
              <w:rPr>
                <w:rFonts w:cs="Arial"/>
                <w:lang w:val="en-AU"/>
              </w:rPr>
              <w:t>PSII-HEq</w:t>
            </w:r>
          </w:p>
        </w:tc>
        <w:tc>
          <w:tcPr>
            <w:tcW w:w="4093" w:type="pct"/>
            <w:vAlign w:val="center"/>
          </w:tcPr>
          <w:p w14:paraId="2BF502B5" w14:textId="77777777" w:rsidR="00E30957" w:rsidRPr="00E30957" w:rsidRDefault="00E30957" w:rsidP="00934FAD">
            <w:pPr>
              <w:spacing w:line="276" w:lineRule="auto"/>
              <w:jc w:val="left"/>
              <w:rPr>
                <w:rFonts w:cs="Arial"/>
                <w:lang w:val="en-AU"/>
              </w:rPr>
            </w:pPr>
            <w:r w:rsidRPr="00E30957">
              <w:rPr>
                <w:rFonts w:cs="Arial"/>
                <w:lang w:val="en-AU"/>
              </w:rPr>
              <w:t>Photosystem II -Herbicide Equivalent Concentration</w:t>
            </w:r>
          </w:p>
        </w:tc>
      </w:tr>
      <w:tr w:rsidR="00E30957" w:rsidRPr="006C2A7B" w14:paraId="0A1DA4E8" w14:textId="77777777" w:rsidTr="00A31472">
        <w:trPr>
          <w:trHeight w:val="332"/>
          <w:tblHeader/>
        </w:trPr>
        <w:tc>
          <w:tcPr>
            <w:tcW w:w="907" w:type="pct"/>
            <w:vAlign w:val="center"/>
          </w:tcPr>
          <w:p w14:paraId="46925847" w14:textId="77777777" w:rsidR="00E30957" w:rsidRPr="00E30957" w:rsidRDefault="00E30957" w:rsidP="00934FAD">
            <w:pPr>
              <w:spacing w:line="276" w:lineRule="auto"/>
              <w:jc w:val="left"/>
              <w:rPr>
                <w:rFonts w:cs="Arial"/>
                <w:lang w:val="en-AU"/>
              </w:rPr>
            </w:pPr>
            <w:r w:rsidRPr="00E30957">
              <w:rPr>
                <w:rFonts w:cs="Arial"/>
                <w:lang w:val="en-AU"/>
              </w:rPr>
              <w:t>PTFE</w:t>
            </w:r>
          </w:p>
        </w:tc>
        <w:tc>
          <w:tcPr>
            <w:tcW w:w="4093" w:type="pct"/>
            <w:vAlign w:val="center"/>
          </w:tcPr>
          <w:p w14:paraId="77516F09" w14:textId="77777777" w:rsidR="00E30957" w:rsidRPr="00E30957" w:rsidRDefault="00E30957" w:rsidP="00934FAD">
            <w:pPr>
              <w:spacing w:line="276" w:lineRule="auto"/>
              <w:jc w:val="left"/>
              <w:rPr>
                <w:rFonts w:cs="Arial"/>
                <w:lang w:val="en-AU"/>
              </w:rPr>
            </w:pPr>
            <w:r w:rsidRPr="00E30957">
              <w:rPr>
                <w:rFonts w:cs="Arial"/>
                <w:lang w:val="en-AU"/>
              </w:rPr>
              <w:t>Polytetrafluoroethylene : Common brand name - Teflon</w:t>
            </w:r>
          </w:p>
        </w:tc>
      </w:tr>
      <w:tr w:rsidR="00E30957" w:rsidRPr="006C2A7B" w14:paraId="1AAC5145" w14:textId="77777777" w:rsidTr="00A31472">
        <w:trPr>
          <w:trHeight w:val="332"/>
          <w:tblHeader/>
        </w:trPr>
        <w:tc>
          <w:tcPr>
            <w:tcW w:w="907" w:type="pct"/>
            <w:vAlign w:val="center"/>
          </w:tcPr>
          <w:p w14:paraId="2E4C1CD8" w14:textId="77777777" w:rsidR="00E30957" w:rsidRPr="00E30957" w:rsidRDefault="00E30957" w:rsidP="00934FAD">
            <w:pPr>
              <w:spacing w:line="276" w:lineRule="auto"/>
              <w:jc w:val="left"/>
              <w:rPr>
                <w:rFonts w:cs="Arial"/>
                <w:lang w:val="en-AU"/>
              </w:rPr>
            </w:pPr>
            <w:r w:rsidRPr="00E30957">
              <w:rPr>
                <w:rFonts w:cs="Arial"/>
                <w:lang w:val="en-AU"/>
              </w:rPr>
              <w:t>PWG</w:t>
            </w:r>
          </w:p>
        </w:tc>
        <w:tc>
          <w:tcPr>
            <w:tcW w:w="4093" w:type="pct"/>
            <w:vAlign w:val="center"/>
          </w:tcPr>
          <w:p w14:paraId="38FB45AA" w14:textId="77777777" w:rsidR="00E30957" w:rsidRPr="00E30957" w:rsidRDefault="00E30957" w:rsidP="00934FAD">
            <w:pPr>
              <w:spacing w:line="276" w:lineRule="auto"/>
              <w:jc w:val="left"/>
              <w:rPr>
                <w:rFonts w:cs="Arial"/>
                <w:lang w:val="en-AU"/>
              </w:rPr>
            </w:pPr>
            <w:r w:rsidRPr="00E30957">
              <w:rPr>
                <w:rFonts w:cs="Arial"/>
                <w:lang w:val="en-AU"/>
              </w:rPr>
              <w:t>Pesticide Working Group</w:t>
            </w:r>
          </w:p>
        </w:tc>
      </w:tr>
      <w:tr w:rsidR="00E30957" w:rsidRPr="006C2A7B" w14:paraId="4D54E646" w14:textId="77777777" w:rsidTr="00A31472">
        <w:trPr>
          <w:trHeight w:val="332"/>
          <w:tblHeader/>
        </w:trPr>
        <w:tc>
          <w:tcPr>
            <w:tcW w:w="907" w:type="pct"/>
            <w:vAlign w:val="center"/>
          </w:tcPr>
          <w:p w14:paraId="5FB6749E" w14:textId="77777777" w:rsidR="00E30957" w:rsidRPr="00E30957" w:rsidRDefault="00E30957" w:rsidP="00934FAD">
            <w:pPr>
              <w:spacing w:line="276" w:lineRule="auto"/>
              <w:jc w:val="left"/>
              <w:rPr>
                <w:rFonts w:cs="Arial"/>
                <w:lang w:val="en-AU"/>
              </w:rPr>
            </w:pPr>
            <w:r w:rsidRPr="00E30957">
              <w:rPr>
                <w:rFonts w:cs="Arial"/>
                <w:lang w:val="en-AU"/>
              </w:rPr>
              <w:t>QAQC</w:t>
            </w:r>
          </w:p>
        </w:tc>
        <w:tc>
          <w:tcPr>
            <w:tcW w:w="4093" w:type="pct"/>
            <w:vAlign w:val="center"/>
          </w:tcPr>
          <w:p w14:paraId="75A4C635" w14:textId="77777777" w:rsidR="00E30957" w:rsidRPr="00E30957" w:rsidRDefault="00E30957" w:rsidP="00934FAD">
            <w:pPr>
              <w:spacing w:line="276" w:lineRule="auto"/>
              <w:jc w:val="left"/>
              <w:rPr>
                <w:rFonts w:cs="Arial"/>
                <w:lang w:val="en-AU"/>
              </w:rPr>
            </w:pPr>
            <w:r w:rsidRPr="00E30957">
              <w:rPr>
                <w:rFonts w:cs="Arial"/>
                <w:lang w:val="en-AU"/>
              </w:rPr>
              <w:t>Quality Assurance Quality Control</w:t>
            </w:r>
          </w:p>
        </w:tc>
      </w:tr>
      <w:tr w:rsidR="00E30957" w:rsidRPr="006C2A7B" w14:paraId="5985571E" w14:textId="77777777" w:rsidTr="00A31472">
        <w:trPr>
          <w:trHeight w:val="332"/>
          <w:tblHeader/>
        </w:trPr>
        <w:tc>
          <w:tcPr>
            <w:tcW w:w="907" w:type="pct"/>
            <w:vAlign w:val="center"/>
          </w:tcPr>
          <w:p w14:paraId="4D12F18E" w14:textId="77777777" w:rsidR="00E30957" w:rsidRPr="00E30957" w:rsidRDefault="00E30957" w:rsidP="00934FAD">
            <w:pPr>
              <w:spacing w:line="276" w:lineRule="auto"/>
              <w:jc w:val="left"/>
              <w:rPr>
                <w:rFonts w:cs="Arial"/>
                <w:lang w:val="en-AU"/>
              </w:rPr>
            </w:pPr>
            <w:r w:rsidRPr="00E30957">
              <w:rPr>
                <w:rFonts w:cs="Arial"/>
                <w:lang w:val="en-AU"/>
              </w:rPr>
              <w:t>QHFSS</w:t>
            </w:r>
          </w:p>
        </w:tc>
        <w:tc>
          <w:tcPr>
            <w:tcW w:w="4093" w:type="pct"/>
            <w:vAlign w:val="center"/>
          </w:tcPr>
          <w:p w14:paraId="6AC9C487" w14:textId="77777777" w:rsidR="00E30957" w:rsidRPr="00E30957" w:rsidRDefault="00E30957" w:rsidP="00934FAD">
            <w:pPr>
              <w:spacing w:line="276" w:lineRule="auto"/>
              <w:jc w:val="left"/>
              <w:rPr>
                <w:rFonts w:cs="Arial"/>
                <w:lang w:val="en-AU"/>
              </w:rPr>
            </w:pPr>
            <w:r w:rsidRPr="00E30957">
              <w:rPr>
                <w:rFonts w:cs="Arial"/>
                <w:lang w:val="en-AU"/>
              </w:rPr>
              <w:t>Queensland Health Forensic &amp; Scientific Services</w:t>
            </w:r>
          </w:p>
        </w:tc>
      </w:tr>
      <w:tr w:rsidR="00E30957" w:rsidRPr="006C2A7B" w14:paraId="41E8286E" w14:textId="77777777" w:rsidTr="00A31472">
        <w:trPr>
          <w:trHeight w:val="332"/>
          <w:tblHeader/>
        </w:trPr>
        <w:tc>
          <w:tcPr>
            <w:tcW w:w="907" w:type="pct"/>
            <w:vAlign w:val="center"/>
          </w:tcPr>
          <w:p w14:paraId="6B6BFF46" w14:textId="77777777" w:rsidR="00E30957" w:rsidRPr="00E30957" w:rsidRDefault="00E30957" w:rsidP="00934FAD">
            <w:pPr>
              <w:spacing w:line="276" w:lineRule="auto"/>
              <w:jc w:val="left"/>
              <w:rPr>
                <w:rFonts w:cs="Arial"/>
                <w:lang w:val="en-AU"/>
              </w:rPr>
            </w:pPr>
            <w:r w:rsidRPr="00E30957">
              <w:rPr>
                <w:rFonts w:cs="Arial"/>
                <w:lang w:val="en-AU"/>
              </w:rPr>
              <w:t>RPF</w:t>
            </w:r>
          </w:p>
        </w:tc>
        <w:tc>
          <w:tcPr>
            <w:tcW w:w="4093" w:type="pct"/>
            <w:vAlign w:val="center"/>
          </w:tcPr>
          <w:p w14:paraId="292D176B" w14:textId="77777777" w:rsidR="00E30957" w:rsidRPr="00E30957" w:rsidRDefault="00E30957" w:rsidP="00934FAD">
            <w:pPr>
              <w:spacing w:line="276" w:lineRule="auto"/>
              <w:jc w:val="left"/>
              <w:rPr>
                <w:rFonts w:cs="Arial"/>
                <w:lang w:val="en-AU"/>
              </w:rPr>
            </w:pPr>
            <w:r w:rsidRPr="00E30957">
              <w:rPr>
                <w:rFonts w:cs="Arial"/>
                <w:lang w:val="en-AU"/>
              </w:rPr>
              <w:t>Relative Potency Factor</w:t>
            </w:r>
          </w:p>
        </w:tc>
      </w:tr>
      <w:tr w:rsidR="00E30957" w:rsidRPr="006C2A7B" w14:paraId="4C45A692" w14:textId="77777777" w:rsidTr="00A31472">
        <w:trPr>
          <w:trHeight w:val="332"/>
          <w:tblHeader/>
        </w:trPr>
        <w:tc>
          <w:tcPr>
            <w:tcW w:w="907" w:type="pct"/>
            <w:vAlign w:val="center"/>
          </w:tcPr>
          <w:p w14:paraId="0263E586" w14:textId="77777777" w:rsidR="00E30957" w:rsidRPr="00E30957" w:rsidRDefault="00E30957" w:rsidP="00934FAD">
            <w:pPr>
              <w:spacing w:line="276" w:lineRule="auto"/>
              <w:jc w:val="left"/>
              <w:rPr>
                <w:rFonts w:cs="Arial"/>
                <w:lang w:val="en-AU"/>
              </w:rPr>
            </w:pPr>
            <w:r w:rsidRPr="00E30957">
              <w:rPr>
                <w:rFonts w:cs="Arial"/>
                <w:lang w:val="en-AU"/>
              </w:rPr>
              <w:t>RWQPP</w:t>
            </w:r>
          </w:p>
        </w:tc>
        <w:tc>
          <w:tcPr>
            <w:tcW w:w="4093" w:type="pct"/>
            <w:vAlign w:val="center"/>
          </w:tcPr>
          <w:p w14:paraId="4D68E5D3" w14:textId="77777777" w:rsidR="00E30957" w:rsidRPr="00E30957" w:rsidRDefault="00E30957" w:rsidP="00934FAD">
            <w:pPr>
              <w:spacing w:line="276" w:lineRule="auto"/>
              <w:jc w:val="left"/>
              <w:rPr>
                <w:rFonts w:cs="Arial"/>
                <w:lang w:val="en-AU"/>
              </w:rPr>
            </w:pPr>
            <w:r w:rsidRPr="00E30957">
              <w:rPr>
                <w:rFonts w:cs="Arial"/>
                <w:lang w:val="en-AU"/>
              </w:rPr>
              <w:t>Reef Water Quality Protection Plan</w:t>
            </w:r>
          </w:p>
        </w:tc>
      </w:tr>
      <w:tr w:rsidR="00E30957" w:rsidRPr="006C2A7B" w14:paraId="189EBF97" w14:textId="77777777" w:rsidTr="00A31472">
        <w:trPr>
          <w:trHeight w:val="332"/>
          <w:tblHeader/>
        </w:trPr>
        <w:tc>
          <w:tcPr>
            <w:tcW w:w="907" w:type="pct"/>
            <w:vAlign w:val="center"/>
          </w:tcPr>
          <w:p w14:paraId="2714147E" w14:textId="77777777" w:rsidR="00E30957" w:rsidRPr="00E30957" w:rsidRDefault="00E30957" w:rsidP="00934FAD">
            <w:pPr>
              <w:spacing w:line="276" w:lineRule="auto"/>
              <w:jc w:val="left"/>
              <w:rPr>
                <w:rFonts w:cs="Arial"/>
                <w:lang w:val="en-AU"/>
              </w:rPr>
            </w:pPr>
            <w:r w:rsidRPr="00E30957">
              <w:rPr>
                <w:rFonts w:cs="Arial"/>
                <w:lang w:val="en-AU"/>
              </w:rPr>
              <w:t>SDB-RPS</w:t>
            </w:r>
          </w:p>
        </w:tc>
        <w:tc>
          <w:tcPr>
            <w:tcW w:w="4093" w:type="pct"/>
            <w:vAlign w:val="center"/>
          </w:tcPr>
          <w:p w14:paraId="4862FD5D" w14:textId="77777777" w:rsidR="00E30957" w:rsidRPr="00E30957" w:rsidRDefault="00E30957" w:rsidP="00934FAD">
            <w:pPr>
              <w:spacing w:line="276" w:lineRule="auto"/>
              <w:jc w:val="left"/>
              <w:rPr>
                <w:rFonts w:cs="Arial"/>
                <w:lang w:val="en-AU"/>
              </w:rPr>
            </w:pPr>
            <w:r w:rsidRPr="00E30957">
              <w:rPr>
                <w:rFonts w:cs="Arial"/>
                <w:lang w:val="en-AU"/>
              </w:rPr>
              <w:t>Poly(styrenedivinylbenzene) copolymer – reverse phase sulfonated</w:t>
            </w:r>
          </w:p>
        </w:tc>
      </w:tr>
      <w:tr w:rsidR="00E30957" w:rsidRPr="006C2A7B" w14:paraId="4145EBCE" w14:textId="77777777" w:rsidTr="00A31472">
        <w:trPr>
          <w:trHeight w:val="332"/>
          <w:tblHeader/>
        </w:trPr>
        <w:tc>
          <w:tcPr>
            <w:tcW w:w="907" w:type="pct"/>
            <w:vAlign w:val="center"/>
          </w:tcPr>
          <w:p w14:paraId="1D28BF6D" w14:textId="77777777" w:rsidR="00E30957" w:rsidRPr="00E30957" w:rsidRDefault="00E30957" w:rsidP="00934FAD">
            <w:pPr>
              <w:spacing w:line="276" w:lineRule="auto"/>
              <w:jc w:val="left"/>
              <w:rPr>
                <w:rFonts w:cs="Arial"/>
                <w:lang w:val="en-AU"/>
              </w:rPr>
            </w:pPr>
            <w:r w:rsidRPr="00E30957">
              <w:rPr>
                <w:rFonts w:cs="Arial"/>
                <w:lang w:val="en-AU"/>
              </w:rPr>
              <w:t>SOP</w:t>
            </w:r>
          </w:p>
        </w:tc>
        <w:tc>
          <w:tcPr>
            <w:tcW w:w="4093" w:type="pct"/>
            <w:vAlign w:val="center"/>
          </w:tcPr>
          <w:p w14:paraId="3F447B95" w14:textId="77777777" w:rsidR="00E30957" w:rsidRPr="00E30957" w:rsidRDefault="00E30957" w:rsidP="00934FAD">
            <w:pPr>
              <w:spacing w:line="276" w:lineRule="auto"/>
              <w:jc w:val="left"/>
              <w:rPr>
                <w:rFonts w:cs="Arial"/>
                <w:lang w:val="en-AU"/>
              </w:rPr>
            </w:pPr>
            <w:r w:rsidRPr="00E30957">
              <w:rPr>
                <w:rFonts w:cs="Arial"/>
                <w:lang w:val="en-AU"/>
              </w:rPr>
              <w:t>Standard Operation Procedure</w:t>
            </w:r>
          </w:p>
        </w:tc>
      </w:tr>
      <w:tr w:rsidR="00E30957" w:rsidRPr="006C2A7B" w14:paraId="7E9A5497" w14:textId="77777777" w:rsidTr="00A31472">
        <w:trPr>
          <w:trHeight w:val="332"/>
          <w:tblHeader/>
        </w:trPr>
        <w:tc>
          <w:tcPr>
            <w:tcW w:w="907" w:type="pct"/>
            <w:vAlign w:val="center"/>
          </w:tcPr>
          <w:p w14:paraId="32740E29" w14:textId="77777777" w:rsidR="00E30957" w:rsidRPr="00E30957" w:rsidRDefault="00E30957" w:rsidP="00934FAD">
            <w:pPr>
              <w:spacing w:line="276" w:lineRule="auto"/>
              <w:jc w:val="left"/>
              <w:rPr>
                <w:rFonts w:cs="Arial"/>
                <w:lang w:val="en-AU"/>
              </w:rPr>
            </w:pPr>
            <w:r w:rsidRPr="00E30957">
              <w:rPr>
                <w:rFonts w:cs="Arial"/>
                <w:lang w:val="en-AU"/>
              </w:rPr>
              <w:t>SSD</w:t>
            </w:r>
          </w:p>
        </w:tc>
        <w:tc>
          <w:tcPr>
            <w:tcW w:w="4093" w:type="pct"/>
            <w:vAlign w:val="center"/>
          </w:tcPr>
          <w:p w14:paraId="295009F2" w14:textId="77777777" w:rsidR="00E30957" w:rsidRPr="00E30957" w:rsidRDefault="00E30957" w:rsidP="00934FAD">
            <w:pPr>
              <w:spacing w:line="276" w:lineRule="auto"/>
              <w:jc w:val="left"/>
              <w:rPr>
                <w:rFonts w:cs="Arial"/>
                <w:lang w:val="en-AU"/>
              </w:rPr>
            </w:pPr>
            <w:r w:rsidRPr="00E30957">
              <w:rPr>
                <w:rFonts w:cs="Arial"/>
                <w:lang w:val="en-AU"/>
              </w:rPr>
              <w:t>Species Sensitivity Distribution</w:t>
            </w:r>
          </w:p>
        </w:tc>
      </w:tr>
    </w:tbl>
    <w:p w14:paraId="01AC103B" w14:textId="77777777" w:rsidR="00E30957" w:rsidRDefault="00E30957" w:rsidP="00E30957">
      <w:pPr>
        <w:rPr>
          <w:lang w:val="en-AU"/>
        </w:rPr>
        <w:sectPr w:rsidR="00E30957" w:rsidSect="0066689E">
          <w:headerReference w:type="default" r:id="rId17"/>
          <w:footerReference w:type="default" r:id="rId18"/>
          <w:pgSz w:w="12240" w:h="15840"/>
          <w:pgMar w:top="624" w:right="720" w:bottom="624" w:left="720" w:header="709" w:footer="709" w:gutter="0"/>
          <w:pgNumType w:fmt="lowerRoman" w:start="1"/>
          <w:cols w:space="708"/>
          <w:docGrid w:linePitch="360"/>
        </w:sectPr>
      </w:pPr>
    </w:p>
    <w:p w14:paraId="40F76626" w14:textId="77777777" w:rsidR="0059608E" w:rsidRPr="0066689E" w:rsidRDefault="0059608E" w:rsidP="0066689E">
      <w:pPr>
        <w:pStyle w:val="Heading1"/>
      </w:pPr>
      <w:bookmarkStart w:id="5" w:name="_Toc461457749"/>
      <w:bookmarkStart w:id="6" w:name="_Toc462651931"/>
      <w:bookmarkStart w:id="7" w:name="_Toc211315597"/>
      <w:r w:rsidRPr="0066689E">
        <w:lastRenderedPageBreak/>
        <w:t>EXECUTIVE SUMMARY</w:t>
      </w:r>
      <w:bookmarkEnd w:id="5"/>
      <w:bookmarkEnd w:id="6"/>
    </w:p>
    <w:p w14:paraId="6E169AEB" w14:textId="3F39823A" w:rsidR="0059608E" w:rsidRDefault="0059608E" w:rsidP="006130D4">
      <w:pPr>
        <w:spacing w:line="360" w:lineRule="auto"/>
        <w:rPr>
          <w:rFonts w:cs="Arial"/>
          <w:lang w:val="en-AU"/>
        </w:rPr>
      </w:pPr>
      <w:r>
        <w:rPr>
          <w:rFonts w:cs="Arial"/>
          <w:lang w:val="en-AU"/>
        </w:rPr>
        <w:t>Declining water quality influenced by land-based activit</w:t>
      </w:r>
      <w:r w:rsidR="00D162E8">
        <w:rPr>
          <w:rFonts w:cs="Arial"/>
          <w:lang w:val="en-AU"/>
        </w:rPr>
        <w:t>i</w:t>
      </w:r>
      <w:r>
        <w:rPr>
          <w:rFonts w:cs="Arial"/>
          <w:lang w:val="en-AU"/>
        </w:rPr>
        <w:t xml:space="preserve">es and run-off has been identified as a significant threat to the health and resilience of the Great Barrier Reef (the Reef). Sediment, nutrients and pesticides remain the key water quality issues and </w:t>
      </w:r>
      <w:r w:rsidR="00C36509">
        <w:rPr>
          <w:rFonts w:cs="Arial"/>
          <w:lang w:val="en-AU"/>
        </w:rPr>
        <w:t xml:space="preserve">may </w:t>
      </w:r>
      <w:r>
        <w:rPr>
          <w:rFonts w:cs="Arial"/>
          <w:lang w:val="en-AU"/>
        </w:rPr>
        <w:t xml:space="preserve">have negative impacts on marine plants and animals (primarily corals and seagrass) that are exposed to run-off plumes in inshore marine areas. The Reef Water Quality Protection Plan (Reef Plan) </w:t>
      </w:r>
      <w:r w:rsidRPr="008B2AA1">
        <w:rPr>
          <w:rFonts w:cs="Arial"/>
          <w:lang w:val="en-AU"/>
        </w:rPr>
        <w:t xml:space="preserve">is a collaborative program designed to improve the quality of water in the Reef though improved land management </w:t>
      </w:r>
      <w:r>
        <w:rPr>
          <w:rFonts w:cs="Arial"/>
          <w:lang w:val="en-AU"/>
        </w:rPr>
        <w:t xml:space="preserve">practises. In 2014-2015, Entox carried out water quality monitoring activities in the Great Barrier Reef Marine Park (the Marine Park) as part of the Marine Monitoring Program (MMP) under Reef Plan. The key objectives of the project are to monitor and </w:t>
      </w:r>
      <w:r w:rsidRPr="00F43AA4">
        <w:rPr>
          <w:rFonts w:cs="Arial"/>
          <w:lang w:val="en-AU"/>
        </w:rPr>
        <w:t xml:space="preserve">assess trends in </w:t>
      </w:r>
      <w:r>
        <w:rPr>
          <w:rFonts w:cs="Arial"/>
          <w:lang w:val="en-AU"/>
        </w:rPr>
        <w:t xml:space="preserve">inshore </w:t>
      </w:r>
      <w:r w:rsidRPr="00F43AA4">
        <w:rPr>
          <w:rFonts w:cs="Arial"/>
          <w:lang w:val="en-AU"/>
        </w:rPr>
        <w:t xml:space="preserve">water quality (i.e. </w:t>
      </w:r>
      <w:r>
        <w:rPr>
          <w:rFonts w:cs="Arial"/>
          <w:lang w:val="en-AU"/>
        </w:rPr>
        <w:t xml:space="preserve">concentrations of </w:t>
      </w:r>
      <w:r w:rsidRPr="00F43AA4">
        <w:rPr>
          <w:rFonts w:cs="Arial"/>
          <w:lang w:val="en-AU"/>
        </w:rPr>
        <w:t xml:space="preserve">pesticides/ herbicides) </w:t>
      </w:r>
      <w:r>
        <w:rPr>
          <w:rFonts w:cs="Arial"/>
          <w:lang w:val="en-AU"/>
        </w:rPr>
        <w:t xml:space="preserve">against the Marine Park Water Quality Guidelines, </w:t>
      </w:r>
      <w:r w:rsidRPr="00F43AA4">
        <w:rPr>
          <w:rFonts w:cs="Arial"/>
          <w:lang w:val="en-AU"/>
        </w:rPr>
        <w:t xml:space="preserve">and </w:t>
      </w:r>
      <w:r>
        <w:rPr>
          <w:rFonts w:cs="Arial"/>
          <w:lang w:val="en-AU"/>
        </w:rPr>
        <w:t>link inshore concentrations and their transport with end-of-catchment loads.</w:t>
      </w:r>
      <w:r w:rsidRPr="00F43AA4">
        <w:rPr>
          <w:rFonts w:cs="Arial"/>
          <w:lang w:val="en-AU"/>
        </w:rPr>
        <w:t xml:space="preserve"> </w:t>
      </w:r>
    </w:p>
    <w:p w14:paraId="7442156A" w14:textId="77777777" w:rsidR="0059608E" w:rsidRDefault="0059608E" w:rsidP="006130D4">
      <w:pPr>
        <w:spacing w:line="360" w:lineRule="auto"/>
        <w:rPr>
          <w:rFonts w:cs="Arial"/>
          <w:lang w:val="en-AU"/>
        </w:rPr>
      </w:pPr>
    </w:p>
    <w:p w14:paraId="263C8104" w14:textId="77777777" w:rsidR="0059608E" w:rsidRDefault="0059608E" w:rsidP="006130D4">
      <w:pPr>
        <w:spacing w:line="360" w:lineRule="auto"/>
        <w:rPr>
          <w:rFonts w:cs="Arial"/>
          <w:lang w:val="en-AU"/>
        </w:rPr>
      </w:pPr>
      <w:r>
        <w:rPr>
          <w:rFonts w:cs="Arial"/>
          <w:lang w:val="en-AU"/>
        </w:rPr>
        <w:t xml:space="preserve">A combination of grab sampling and passive sampling techniques are utilised to monitor spatial and temporal trends in pesticide concentrations. Pesticides included in these monitoring activities include photosystem II (PSII) inhibiting herbicides (ametryn, atrazine, diuron, hexazinone and tebuthiuron) which have been </w:t>
      </w:r>
      <w:r w:rsidRPr="005D2536">
        <w:rPr>
          <w:rFonts w:cs="Arial"/>
          <w:lang w:val="en-AU"/>
        </w:rPr>
        <w:t>identified as priority chemicals for monitoring due to their heavy usage in GBR catchments</w:t>
      </w:r>
      <w:r>
        <w:rPr>
          <w:rFonts w:cs="Arial"/>
          <w:lang w:val="en-AU"/>
        </w:rPr>
        <w:t xml:space="preserve"> in the sugar cane, horticulture and grazing industries. In recent years, emerging ‘alternatives’ to the traditional </w:t>
      </w:r>
      <w:r w:rsidR="00581B7C">
        <w:rPr>
          <w:rFonts w:cs="Arial"/>
          <w:lang w:val="en-AU"/>
        </w:rPr>
        <w:t xml:space="preserve">five </w:t>
      </w:r>
      <w:r>
        <w:rPr>
          <w:rFonts w:cs="Arial"/>
          <w:lang w:val="en-AU"/>
        </w:rPr>
        <w:t xml:space="preserve">priority PSII herbicides </w:t>
      </w:r>
      <w:r w:rsidR="00A813BB">
        <w:rPr>
          <w:rFonts w:cs="Arial"/>
          <w:lang w:val="en-AU"/>
        </w:rPr>
        <w:t xml:space="preserve">(which </w:t>
      </w:r>
      <w:r w:rsidR="00581B7C">
        <w:rPr>
          <w:rFonts w:cs="Arial"/>
          <w:lang w:val="en-AU"/>
        </w:rPr>
        <w:t>include</w:t>
      </w:r>
      <w:r>
        <w:rPr>
          <w:rFonts w:cs="Arial"/>
          <w:lang w:val="en-AU"/>
        </w:rPr>
        <w:t xml:space="preserve"> pre- and post-emergent ‘knockdown’ herbicides</w:t>
      </w:r>
      <w:r w:rsidR="00A813BB">
        <w:rPr>
          <w:rFonts w:cs="Arial"/>
          <w:lang w:val="en-AU"/>
        </w:rPr>
        <w:t>)</w:t>
      </w:r>
      <w:r>
        <w:rPr>
          <w:rFonts w:cs="Arial"/>
          <w:lang w:val="en-AU"/>
        </w:rPr>
        <w:t xml:space="preserve"> are being increasingly adopted by industry, and subsequently have been identified as monitoring priorities. Passive </w:t>
      </w:r>
      <w:r w:rsidRPr="00F43AA4">
        <w:rPr>
          <w:rFonts w:cs="Arial"/>
          <w:lang w:val="en-AU"/>
        </w:rPr>
        <w:t>sampl</w:t>
      </w:r>
      <w:r>
        <w:rPr>
          <w:rFonts w:cs="Arial"/>
          <w:lang w:val="en-AU"/>
        </w:rPr>
        <w:t xml:space="preserve">ers which provide a time-averaged estimate of water concentration were deployed </w:t>
      </w:r>
      <w:r w:rsidRPr="00F43AA4">
        <w:rPr>
          <w:rFonts w:cs="Arial"/>
          <w:lang w:val="en-AU"/>
        </w:rPr>
        <w:t>at fifteen fixed</w:t>
      </w:r>
      <w:r>
        <w:rPr>
          <w:rFonts w:cs="Arial"/>
          <w:lang w:val="en-AU"/>
        </w:rPr>
        <w:t xml:space="preserve"> (i.e. ‘permanent’)</w:t>
      </w:r>
      <w:r w:rsidRPr="00F43AA4">
        <w:rPr>
          <w:rFonts w:cs="Arial"/>
          <w:lang w:val="en-AU"/>
        </w:rPr>
        <w:t xml:space="preserve"> sites located in four Natural Resource Management (NRM) regions (the Wet Tropics, Burdekin, Mackay Whitsunday</w:t>
      </w:r>
      <w:r>
        <w:rPr>
          <w:rFonts w:cs="Arial"/>
          <w:lang w:val="en-AU"/>
        </w:rPr>
        <w:t xml:space="preserve"> </w:t>
      </w:r>
      <w:r w:rsidRPr="00F43AA4">
        <w:rPr>
          <w:rFonts w:cs="Arial"/>
          <w:lang w:val="en-AU"/>
        </w:rPr>
        <w:t>and Fitzroy).</w:t>
      </w:r>
      <w:r>
        <w:rPr>
          <w:rFonts w:cs="Arial"/>
          <w:lang w:val="en-AU"/>
        </w:rPr>
        <w:t xml:space="preserve"> Following a review of the program in 2013</w:t>
      </w:r>
      <w:r w:rsidR="00F45DF4">
        <w:rPr>
          <w:rFonts w:cs="Arial"/>
          <w:lang w:val="en-AU"/>
        </w:rPr>
        <w:t>-</w:t>
      </w:r>
      <w:r>
        <w:rPr>
          <w:rFonts w:cs="Arial"/>
          <w:lang w:val="en-AU"/>
        </w:rPr>
        <w:t>2014, this year five new monitoring sites were established in the Wet Tropics and Mackay Whitsunday regions</w:t>
      </w:r>
      <w:r w:rsidRPr="00F43AA4">
        <w:rPr>
          <w:rFonts w:cs="Arial"/>
          <w:lang w:val="en-AU"/>
        </w:rPr>
        <w:t xml:space="preserve"> </w:t>
      </w:r>
      <w:r>
        <w:rPr>
          <w:rFonts w:cs="Arial"/>
          <w:lang w:val="en-AU"/>
        </w:rPr>
        <w:t xml:space="preserve">to improve estimates of risk in regions of known high pesticide use, and to better align with seagrass monitoring sites and </w:t>
      </w:r>
      <w:bookmarkStart w:id="8" w:name="OLE_LINK1"/>
      <w:r>
        <w:rPr>
          <w:rFonts w:cs="Arial"/>
          <w:lang w:val="en-AU"/>
        </w:rPr>
        <w:t>end-of-catchment pesticide loads monitoring activit</w:t>
      </w:r>
      <w:r w:rsidR="00D162E8">
        <w:rPr>
          <w:rFonts w:cs="Arial"/>
          <w:lang w:val="en-AU"/>
        </w:rPr>
        <w:t>i</w:t>
      </w:r>
      <w:r>
        <w:rPr>
          <w:rFonts w:cs="Arial"/>
          <w:lang w:val="en-AU"/>
        </w:rPr>
        <w:t>es</w:t>
      </w:r>
      <w:bookmarkEnd w:id="8"/>
      <w:r>
        <w:rPr>
          <w:rFonts w:cs="Arial"/>
          <w:lang w:val="en-AU"/>
        </w:rPr>
        <w:t xml:space="preserve"> as part of the Paddock to Reef Program (also </w:t>
      </w:r>
      <w:r w:rsidR="004E644A">
        <w:rPr>
          <w:rFonts w:cs="Arial"/>
          <w:lang w:val="en-AU"/>
        </w:rPr>
        <w:t xml:space="preserve">conducted </w:t>
      </w:r>
      <w:r>
        <w:rPr>
          <w:rFonts w:cs="Arial"/>
          <w:lang w:val="en-AU"/>
        </w:rPr>
        <w:t xml:space="preserve">under Reef Plan). </w:t>
      </w:r>
      <w:r w:rsidRPr="00F43AA4">
        <w:rPr>
          <w:rFonts w:cs="Arial"/>
          <w:lang w:val="en-AU"/>
        </w:rPr>
        <w:t xml:space="preserve">Exposure to pesticides from terrestrial run-off entering the Reef lagoon was </w:t>
      </w:r>
      <w:r>
        <w:rPr>
          <w:rFonts w:cs="Arial"/>
          <w:lang w:val="en-AU"/>
        </w:rPr>
        <w:t xml:space="preserve">also </w:t>
      </w:r>
      <w:r w:rsidRPr="00F43AA4">
        <w:rPr>
          <w:rFonts w:cs="Arial"/>
          <w:lang w:val="en-AU"/>
        </w:rPr>
        <w:t xml:space="preserve">assessed using </w:t>
      </w:r>
      <w:r>
        <w:rPr>
          <w:rFonts w:cs="Arial"/>
          <w:lang w:val="en-AU"/>
        </w:rPr>
        <w:t xml:space="preserve">both </w:t>
      </w:r>
      <w:r w:rsidRPr="00F43AA4">
        <w:rPr>
          <w:rFonts w:cs="Arial"/>
          <w:lang w:val="en-AU"/>
        </w:rPr>
        <w:t xml:space="preserve">passive samplers and grab samples </w:t>
      </w:r>
      <w:r>
        <w:rPr>
          <w:rFonts w:cs="Arial"/>
          <w:lang w:val="en-AU"/>
        </w:rPr>
        <w:t xml:space="preserve">(which provide a point-in-time snapshot of concentrations) </w:t>
      </w:r>
      <w:r w:rsidRPr="00F43AA4">
        <w:rPr>
          <w:rFonts w:cs="Arial"/>
          <w:lang w:val="en-AU"/>
        </w:rPr>
        <w:t xml:space="preserve">along transects extending from the Tully and Russell-Mulgrave Rivers in the </w:t>
      </w:r>
      <w:r>
        <w:rPr>
          <w:rFonts w:cs="Arial"/>
          <w:lang w:val="en-AU"/>
        </w:rPr>
        <w:t>Wet Tropics</w:t>
      </w:r>
      <w:r w:rsidRPr="00F43AA4">
        <w:rPr>
          <w:rFonts w:cs="Arial"/>
          <w:lang w:val="en-AU"/>
        </w:rPr>
        <w:t xml:space="preserve"> region. </w:t>
      </w:r>
    </w:p>
    <w:p w14:paraId="7A2E3384" w14:textId="77777777" w:rsidR="0059608E" w:rsidRDefault="0059608E" w:rsidP="006130D4">
      <w:pPr>
        <w:spacing w:line="360" w:lineRule="auto"/>
        <w:rPr>
          <w:rFonts w:cs="Arial"/>
          <w:lang w:val="en-AU"/>
        </w:rPr>
      </w:pPr>
    </w:p>
    <w:p w14:paraId="597B5094" w14:textId="77777777" w:rsidR="00482572" w:rsidRDefault="0059608E" w:rsidP="006130D4">
      <w:pPr>
        <w:spacing w:line="360" w:lineRule="auto"/>
        <w:rPr>
          <w:rFonts w:cs="Arial"/>
          <w:lang w:val="en-AU"/>
        </w:rPr>
      </w:pPr>
      <w:r>
        <w:rPr>
          <w:rFonts w:cs="Arial"/>
          <w:lang w:val="en-AU"/>
        </w:rPr>
        <w:t>T</w:t>
      </w:r>
      <w:r w:rsidRPr="00C24A02">
        <w:rPr>
          <w:rFonts w:cs="Arial"/>
          <w:lang w:val="en-AU"/>
        </w:rPr>
        <w:t>he concentration</w:t>
      </w:r>
      <w:r>
        <w:rPr>
          <w:rFonts w:cs="Arial"/>
          <w:lang w:val="en-AU"/>
        </w:rPr>
        <w:t>s</w:t>
      </w:r>
      <w:r w:rsidRPr="00C24A02">
        <w:rPr>
          <w:rFonts w:cs="Arial"/>
          <w:lang w:val="en-AU"/>
        </w:rPr>
        <w:t xml:space="preserve"> of herbicides</w:t>
      </w:r>
      <w:r>
        <w:rPr>
          <w:rFonts w:cs="Arial"/>
          <w:lang w:val="en-AU"/>
        </w:rPr>
        <w:t xml:space="preserve"> have been</w:t>
      </w:r>
      <w:r w:rsidRPr="00C24A02">
        <w:rPr>
          <w:rFonts w:cs="Arial"/>
          <w:lang w:val="en-AU"/>
        </w:rPr>
        <w:t xml:space="preserve"> expressed </w:t>
      </w:r>
      <w:r>
        <w:rPr>
          <w:rFonts w:cs="Arial"/>
          <w:lang w:val="en-AU"/>
        </w:rPr>
        <w:t xml:space="preserve">both </w:t>
      </w:r>
      <w:r w:rsidRPr="00C24A02">
        <w:rPr>
          <w:rFonts w:cs="Arial"/>
          <w:lang w:val="en-AU"/>
        </w:rPr>
        <w:t xml:space="preserve">as </w:t>
      </w:r>
      <w:r>
        <w:rPr>
          <w:rFonts w:cs="Arial"/>
          <w:lang w:val="en-AU"/>
        </w:rPr>
        <w:t>water concentrations (ng L</w:t>
      </w:r>
      <w:r>
        <w:rPr>
          <w:rFonts w:cs="Arial"/>
          <w:vertAlign w:val="superscript"/>
          <w:lang w:val="en-AU"/>
        </w:rPr>
        <w:t>-1</w:t>
      </w:r>
      <w:r>
        <w:rPr>
          <w:rFonts w:cs="Arial"/>
          <w:lang w:val="en-AU"/>
        </w:rPr>
        <w:t xml:space="preserve">) and </w:t>
      </w:r>
      <w:r w:rsidRPr="00C24A02">
        <w:rPr>
          <w:rFonts w:cs="Arial"/>
          <w:lang w:val="en-AU"/>
        </w:rPr>
        <w:t>PSII herbicide equivalen</w:t>
      </w:r>
      <w:r>
        <w:rPr>
          <w:rFonts w:cs="Arial"/>
          <w:lang w:val="en-AU"/>
        </w:rPr>
        <w:t xml:space="preserve">t concentrations </w:t>
      </w:r>
      <w:r w:rsidRPr="00C24A02">
        <w:rPr>
          <w:rFonts w:cs="Arial"/>
          <w:lang w:val="en-AU"/>
        </w:rPr>
        <w:t>(PSII-HEq)</w:t>
      </w:r>
      <w:r>
        <w:rPr>
          <w:rFonts w:cs="Arial"/>
          <w:lang w:val="en-AU"/>
        </w:rPr>
        <w:t xml:space="preserve"> (also in ng L</w:t>
      </w:r>
      <w:r>
        <w:rPr>
          <w:rFonts w:cs="Arial"/>
          <w:vertAlign w:val="superscript"/>
          <w:lang w:val="en-AU"/>
        </w:rPr>
        <w:t>-1</w:t>
      </w:r>
      <w:r>
        <w:rPr>
          <w:rFonts w:cs="Arial"/>
          <w:lang w:val="en-AU"/>
        </w:rPr>
        <w:t xml:space="preserve">), which incorporate both the </w:t>
      </w:r>
      <w:r w:rsidRPr="004D34A7">
        <w:t>potency and abundance of individual PSII herbicide</w:t>
      </w:r>
      <w:r>
        <w:t>s</w:t>
      </w:r>
      <w:r>
        <w:rPr>
          <w:rFonts w:cs="Arial"/>
          <w:lang w:val="en-AU"/>
        </w:rPr>
        <w:t xml:space="preserve"> relative to the reference PSII herbicide diuron</w:t>
      </w:r>
      <w:r w:rsidRPr="00C24A02">
        <w:rPr>
          <w:rFonts w:cs="Arial"/>
          <w:lang w:val="en-AU"/>
        </w:rPr>
        <w:t xml:space="preserve">. </w:t>
      </w:r>
      <w:r w:rsidR="00244ECD">
        <w:rPr>
          <w:rFonts w:cs="Arial"/>
          <w:lang w:val="en-AU"/>
        </w:rPr>
        <w:t xml:space="preserve">The </w:t>
      </w:r>
      <w:r>
        <w:rPr>
          <w:rFonts w:cs="Arial"/>
          <w:lang w:val="en-AU"/>
        </w:rPr>
        <w:t xml:space="preserve">PSII-HEq Max is the maximum PSII-HEq concentration detected </w:t>
      </w:r>
      <w:r w:rsidR="001E4F85">
        <w:rPr>
          <w:rFonts w:cs="Arial"/>
          <w:lang w:val="en-AU"/>
        </w:rPr>
        <w:t>at a fixed monitoring site</w:t>
      </w:r>
      <w:r w:rsidR="00D9728A">
        <w:rPr>
          <w:rFonts w:cs="Arial"/>
          <w:lang w:val="en-AU"/>
        </w:rPr>
        <w:t xml:space="preserve"> </w:t>
      </w:r>
      <w:r>
        <w:rPr>
          <w:rFonts w:cs="Arial"/>
          <w:lang w:val="en-AU"/>
        </w:rPr>
        <w:t>in a given monitoring year. The</w:t>
      </w:r>
      <w:r w:rsidRPr="00C24A02">
        <w:rPr>
          <w:rFonts w:cs="Arial"/>
          <w:lang w:val="en-AU"/>
        </w:rPr>
        <w:t xml:space="preserve"> PSII-HEq Index was developed as an indicator of </w:t>
      </w:r>
      <w:r>
        <w:rPr>
          <w:rFonts w:cs="Arial"/>
          <w:lang w:val="en-AU"/>
        </w:rPr>
        <w:t>the potential for PSII inhibition caused by the additive effects of mixtures of herbicides (Figure 1)</w:t>
      </w:r>
      <w:r w:rsidR="00BC7A83">
        <w:rPr>
          <w:rFonts w:cs="Arial"/>
          <w:lang w:val="en-AU"/>
        </w:rPr>
        <w:t xml:space="preserve"> </w:t>
      </w:r>
      <w:r w:rsidR="001E4F85">
        <w:rPr>
          <w:rFonts w:cs="Arial"/>
          <w:lang w:val="en-AU"/>
        </w:rPr>
        <w:t>with a Category 1 (≥900 ng L</w:t>
      </w:r>
      <w:r w:rsidR="001E4F85">
        <w:rPr>
          <w:rFonts w:cs="Arial"/>
          <w:vertAlign w:val="superscript"/>
          <w:lang w:val="en-AU"/>
        </w:rPr>
        <w:t>-1</w:t>
      </w:r>
      <w:r w:rsidR="001E4F85">
        <w:rPr>
          <w:rFonts w:cs="Arial"/>
          <w:lang w:val="en-AU"/>
        </w:rPr>
        <w:t xml:space="preserve">) </w:t>
      </w:r>
      <w:r w:rsidR="00EF4A8F">
        <w:rPr>
          <w:rFonts w:cs="Arial"/>
          <w:lang w:val="en-AU"/>
        </w:rPr>
        <w:t xml:space="preserve">equivalent to </w:t>
      </w:r>
      <w:r w:rsidR="001E4F85">
        <w:rPr>
          <w:rFonts w:cs="Arial"/>
          <w:lang w:val="en-AU"/>
        </w:rPr>
        <w:t xml:space="preserve">exceeding the </w:t>
      </w:r>
      <w:r w:rsidR="00BC7A83">
        <w:rPr>
          <w:rFonts w:cs="Arial"/>
          <w:lang w:val="en-AU"/>
        </w:rPr>
        <w:t xml:space="preserve">Marine Water </w:t>
      </w:r>
      <w:r w:rsidR="00BC7A83">
        <w:rPr>
          <w:rFonts w:cs="Arial"/>
          <w:lang w:val="en-AU"/>
        </w:rPr>
        <w:lastRenderedPageBreak/>
        <w:t>Quality Guideline</w:t>
      </w:r>
      <w:r w:rsidR="001E4F85">
        <w:rPr>
          <w:rFonts w:cs="Arial"/>
          <w:lang w:val="en-AU"/>
        </w:rPr>
        <w:t xml:space="preserve"> for diuron</w:t>
      </w:r>
      <w:r>
        <w:rPr>
          <w:rFonts w:cs="Arial"/>
          <w:lang w:val="en-AU"/>
        </w:rPr>
        <w:t xml:space="preserve">. </w:t>
      </w:r>
      <w:r w:rsidR="008D1183">
        <w:rPr>
          <w:rFonts w:cs="Arial"/>
          <w:lang w:val="en-AU"/>
        </w:rPr>
        <w:t xml:space="preserve">It must be noted that the </w:t>
      </w:r>
      <w:r>
        <w:rPr>
          <w:rFonts w:cs="Arial"/>
          <w:lang w:val="en-AU"/>
        </w:rPr>
        <w:t xml:space="preserve">National Marine Water Quality Guidelines </w:t>
      </w:r>
      <w:r w:rsidR="008D1183">
        <w:rPr>
          <w:rFonts w:cs="Arial"/>
          <w:lang w:val="en-AU"/>
        </w:rPr>
        <w:t xml:space="preserve">are </w:t>
      </w:r>
      <w:r w:rsidR="009174C3">
        <w:rPr>
          <w:rFonts w:cs="Arial"/>
          <w:lang w:val="en-AU"/>
        </w:rPr>
        <w:t xml:space="preserve">now </w:t>
      </w:r>
      <w:r w:rsidR="008D1183">
        <w:rPr>
          <w:rFonts w:cs="Arial"/>
          <w:lang w:val="en-AU"/>
        </w:rPr>
        <w:t>currently under review</w:t>
      </w:r>
      <w:r w:rsidR="009174C3">
        <w:rPr>
          <w:rFonts w:cs="Arial"/>
          <w:lang w:val="en-AU"/>
        </w:rPr>
        <w:t xml:space="preserve">, however all comparisons </w:t>
      </w:r>
      <w:r w:rsidR="00EF4A8F">
        <w:rPr>
          <w:rFonts w:cs="Arial"/>
          <w:lang w:val="en-AU"/>
        </w:rPr>
        <w:t xml:space="preserve">in this report are </w:t>
      </w:r>
      <w:r w:rsidR="009174C3">
        <w:rPr>
          <w:rFonts w:cs="Arial"/>
          <w:lang w:val="en-AU"/>
        </w:rPr>
        <w:t xml:space="preserve">to </w:t>
      </w:r>
      <w:r w:rsidR="00EF4A8F">
        <w:rPr>
          <w:rFonts w:cs="Arial"/>
          <w:lang w:val="en-AU"/>
        </w:rPr>
        <w:t xml:space="preserve">the current </w:t>
      </w:r>
      <w:r w:rsidR="009174C3">
        <w:rPr>
          <w:rFonts w:cs="Arial"/>
          <w:lang w:val="en-AU"/>
        </w:rPr>
        <w:t>Guideline values</w:t>
      </w:r>
      <w:r w:rsidR="008D1183">
        <w:rPr>
          <w:rFonts w:cs="Arial"/>
          <w:lang w:val="en-AU"/>
        </w:rPr>
        <w:t>. The derivation of new Guideline values</w:t>
      </w:r>
      <w:r w:rsidR="00116E95">
        <w:rPr>
          <w:rFonts w:cs="Arial"/>
          <w:lang w:val="en-AU"/>
        </w:rPr>
        <w:t xml:space="preserve"> (GVs)</w:t>
      </w:r>
      <w:r w:rsidR="008D1183">
        <w:rPr>
          <w:rFonts w:cs="Arial"/>
          <w:lang w:val="en-AU"/>
        </w:rPr>
        <w:t xml:space="preserve"> </w:t>
      </w:r>
      <w:r w:rsidR="001926A3">
        <w:rPr>
          <w:rFonts w:cs="Arial"/>
          <w:lang w:val="en-AU"/>
        </w:rPr>
        <w:t>u</w:t>
      </w:r>
      <w:r w:rsidR="00EA1B13">
        <w:rPr>
          <w:rFonts w:cs="Arial"/>
          <w:lang w:val="en-AU"/>
        </w:rPr>
        <w:t>tilises</w:t>
      </w:r>
      <w:r>
        <w:rPr>
          <w:rFonts w:cs="Arial"/>
          <w:lang w:val="en-AU"/>
        </w:rPr>
        <w:t xml:space="preserve"> </w:t>
      </w:r>
      <w:r w:rsidR="006B209B">
        <w:rPr>
          <w:rFonts w:cs="Arial"/>
          <w:lang w:val="en-AU"/>
        </w:rPr>
        <w:t>a revised version of the</w:t>
      </w:r>
      <w:r>
        <w:rPr>
          <w:rFonts w:cs="Arial"/>
          <w:lang w:val="en-AU"/>
        </w:rPr>
        <w:t xml:space="preserve"> multi</w:t>
      </w:r>
      <w:r w:rsidR="00BC7A83">
        <w:rPr>
          <w:rFonts w:cs="Arial"/>
          <w:lang w:val="en-AU"/>
        </w:rPr>
        <w:t>-</w:t>
      </w:r>
      <w:r>
        <w:rPr>
          <w:rFonts w:cs="Arial"/>
          <w:lang w:val="en-AU"/>
        </w:rPr>
        <w:t xml:space="preserve">substance potentially affected fraction (ms-PAF) method of quantifying ecological risk </w:t>
      </w:r>
      <w:r w:rsidR="0090002A">
        <w:rPr>
          <w:rFonts w:cs="Arial"/>
          <w:lang w:val="en-AU"/>
        </w:rPr>
        <w:t>through</w:t>
      </w:r>
      <w:r>
        <w:rPr>
          <w:rFonts w:cs="Arial"/>
          <w:lang w:val="en-AU"/>
        </w:rPr>
        <w:t xml:space="preserve"> species sensitivity distributions (SSDs) </w:t>
      </w:r>
      <w:r w:rsidR="00C206FC">
        <w:rPr>
          <w:rFonts w:cs="Arial"/>
          <w:lang w:val="en-AU"/>
        </w:rPr>
        <w:t>that</w:t>
      </w:r>
      <w:r>
        <w:rPr>
          <w:rFonts w:cs="Arial"/>
          <w:lang w:val="en-AU"/>
        </w:rPr>
        <w:t xml:space="preserve"> determine the </w:t>
      </w:r>
      <w:r w:rsidR="00482572">
        <w:rPr>
          <w:rFonts w:cs="Arial"/>
          <w:lang w:val="en-AU"/>
        </w:rPr>
        <w:t>percentage</w:t>
      </w:r>
      <w:r>
        <w:rPr>
          <w:rFonts w:cs="Arial"/>
          <w:lang w:val="en-AU"/>
        </w:rPr>
        <w:t xml:space="preserve"> of species that is expected to be affected above its no observed effect concentration (NOEC), at a given environmental concentration</w:t>
      </w:r>
      <w:r w:rsidR="0090002A">
        <w:rPr>
          <w:rFonts w:cs="Arial"/>
          <w:lang w:val="en-AU"/>
        </w:rPr>
        <w:t>.</w:t>
      </w:r>
      <w:r>
        <w:rPr>
          <w:rFonts w:cs="Arial"/>
          <w:lang w:val="en-AU"/>
        </w:rPr>
        <w:t xml:space="preserve"> </w:t>
      </w:r>
      <w:r w:rsidR="00930285">
        <w:rPr>
          <w:rFonts w:cs="Arial"/>
          <w:lang w:val="en-AU"/>
        </w:rPr>
        <w:t xml:space="preserve">The use of </w:t>
      </w:r>
      <w:r w:rsidR="000926F0">
        <w:rPr>
          <w:rFonts w:cs="Arial"/>
          <w:lang w:val="en-AU"/>
        </w:rPr>
        <w:t xml:space="preserve">the </w:t>
      </w:r>
      <w:r w:rsidR="00930285">
        <w:rPr>
          <w:rFonts w:cs="Arial"/>
          <w:lang w:val="en-AU"/>
        </w:rPr>
        <w:t xml:space="preserve">ms-PAF </w:t>
      </w:r>
      <w:r w:rsidR="000926F0">
        <w:rPr>
          <w:rFonts w:cs="Arial"/>
          <w:lang w:val="en-AU"/>
        </w:rPr>
        <w:t xml:space="preserve">method </w:t>
      </w:r>
      <w:r w:rsidR="00340463">
        <w:rPr>
          <w:rFonts w:cs="Arial"/>
          <w:lang w:val="en-AU"/>
        </w:rPr>
        <w:t xml:space="preserve">to revise GVs </w:t>
      </w:r>
      <w:r w:rsidR="00930285">
        <w:rPr>
          <w:rFonts w:cs="Arial"/>
          <w:lang w:val="en-AU"/>
        </w:rPr>
        <w:t xml:space="preserve">allows the inclusion of new datasets and advances in research, can account for mixture toxicity </w:t>
      </w:r>
      <w:r w:rsidR="00847741">
        <w:rPr>
          <w:rFonts w:cs="Arial"/>
          <w:lang w:val="en-AU"/>
        </w:rPr>
        <w:t xml:space="preserve">affects (relevant as an apparent shift to the use of alternative herbicides occurs), </w:t>
      </w:r>
      <w:r w:rsidR="00E74C41">
        <w:rPr>
          <w:rFonts w:cs="Arial"/>
          <w:lang w:val="en-AU"/>
        </w:rPr>
        <w:t xml:space="preserve">aligns with the risk-based methods </w:t>
      </w:r>
      <w:r w:rsidR="000926F0">
        <w:rPr>
          <w:rFonts w:cs="Arial"/>
          <w:lang w:val="en-AU"/>
        </w:rPr>
        <w:t>a</w:t>
      </w:r>
      <w:r w:rsidR="000D347F">
        <w:rPr>
          <w:rFonts w:cs="Arial"/>
          <w:lang w:val="en-AU"/>
        </w:rPr>
        <w:t xml:space="preserve">lso adopted by the Paddock to Reef Program, </w:t>
      </w:r>
      <w:r w:rsidR="00E74C41">
        <w:rPr>
          <w:rFonts w:cs="Arial"/>
          <w:lang w:val="en-AU"/>
        </w:rPr>
        <w:t>and considers ecologically relevant assessment end points</w:t>
      </w:r>
      <w:r w:rsidR="00340463">
        <w:rPr>
          <w:rFonts w:cs="Arial"/>
          <w:lang w:val="en-AU"/>
        </w:rPr>
        <w:t xml:space="preserve"> which better suit the goals of Reef Plan</w:t>
      </w:r>
      <w:r w:rsidR="00116E95">
        <w:rPr>
          <w:rFonts w:cs="Arial"/>
          <w:lang w:val="en-AU"/>
        </w:rPr>
        <w:t xml:space="preserve">. </w:t>
      </w:r>
      <w:r w:rsidR="00070AD6">
        <w:rPr>
          <w:rFonts w:cs="Arial"/>
          <w:lang w:val="en-AU"/>
        </w:rPr>
        <w:t xml:space="preserve">As a trial this monitoring year, </w:t>
      </w:r>
      <w:r w:rsidR="00E9057F">
        <w:rPr>
          <w:rFonts w:cs="Arial"/>
          <w:lang w:val="en-AU"/>
        </w:rPr>
        <w:t xml:space="preserve">concentration data </w:t>
      </w:r>
      <w:r w:rsidR="008E4507">
        <w:rPr>
          <w:rFonts w:cs="Arial"/>
          <w:lang w:val="en-AU"/>
        </w:rPr>
        <w:t xml:space="preserve">for </w:t>
      </w:r>
      <w:r w:rsidR="001C768E">
        <w:rPr>
          <w:rFonts w:cs="Arial"/>
          <w:lang w:val="en-AU"/>
        </w:rPr>
        <w:t xml:space="preserve">the </w:t>
      </w:r>
      <w:r w:rsidR="00482572">
        <w:rPr>
          <w:rFonts w:cs="Arial"/>
          <w:lang w:val="en-AU"/>
        </w:rPr>
        <w:t xml:space="preserve">five priority PSII herbicides </w:t>
      </w:r>
      <w:r w:rsidR="00B507AD">
        <w:rPr>
          <w:rFonts w:cs="Arial"/>
          <w:lang w:val="en-AU"/>
        </w:rPr>
        <w:t>have</w:t>
      </w:r>
      <w:r w:rsidR="00E9057F">
        <w:rPr>
          <w:rFonts w:cs="Arial"/>
          <w:lang w:val="en-AU"/>
        </w:rPr>
        <w:t xml:space="preserve"> also been reported as </w:t>
      </w:r>
      <w:r w:rsidR="008809D9">
        <w:rPr>
          <w:rFonts w:cs="Arial"/>
          <w:lang w:val="en-AU"/>
        </w:rPr>
        <w:t xml:space="preserve">interim </w:t>
      </w:r>
      <w:r w:rsidR="00E9057F">
        <w:rPr>
          <w:rFonts w:cs="Arial"/>
          <w:lang w:val="en-AU"/>
        </w:rPr>
        <w:t>ms-PAF value</w:t>
      </w:r>
      <w:r w:rsidR="008E4507">
        <w:rPr>
          <w:rFonts w:cs="Arial"/>
          <w:lang w:val="en-AU"/>
        </w:rPr>
        <w:t>s</w:t>
      </w:r>
      <w:r w:rsidR="001B7372">
        <w:rPr>
          <w:rFonts w:cs="Arial"/>
          <w:lang w:val="en-AU"/>
        </w:rPr>
        <w:t xml:space="preserve"> and ms-PAF Max values (the maximum </w:t>
      </w:r>
      <w:r w:rsidR="008039F8">
        <w:rPr>
          <w:rFonts w:cs="Arial"/>
          <w:lang w:val="en-AU"/>
        </w:rPr>
        <w:t>ms-PAF value detected at a fixed monitoring site in a given monitoring year)</w:t>
      </w:r>
      <w:r w:rsidR="00E9057F">
        <w:rPr>
          <w:rFonts w:cs="Arial"/>
          <w:lang w:val="en-AU"/>
        </w:rPr>
        <w:t xml:space="preserve"> </w:t>
      </w:r>
      <w:r w:rsidR="008809D9">
        <w:rPr>
          <w:rFonts w:cs="Arial"/>
          <w:lang w:val="en-AU"/>
        </w:rPr>
        <w:t xml:space="preserve">using SSDs provided by </w:t>
      </w:r>
      <w:r w:rsidR="00B507AD">
        <w:rPr>
          <w:rFonts w:cs="Arial"/>
          <w:lang w:val="en-AU"/>
        </w:rPr>
        <w:t>the Department of Science, Information Technology and Innovation</w:t>
      </w:r>
      <w:r w:rsidR="00812E6E">
        <w:rPr>
          <w:rFonts w:cs="Arial"/>
          <w:lang w:val="en-AU"/>
        </w:rPr>
        <w:t xml:space="preserve"> (DSITI)</w:t>
      </w:r>
      <w:r w:rsidR="00D63C45">
        <w:rPr>
          <w:rFonts w:cs="Arial"/>
          <w:lang w:val="en-AU"/>
        </w:rPr>
        <w:t>.</w:t>
      </w:r>
      <w:r w:rsidR="00B507AD">
        <w:rPr>
          <w:rFonts w:cs="Arial"/>
          <w:lang w:val="en-AU"/>
        </w:rPr>
        <w:t xml:space="preserve"> </w:t>
      </w:r>
      <w:r w:rsidR="00D63C45">
        <w:rPr>
          <w:rFonts w:cs="Arial"/>
          <w:lang w:val="en-AU"/>
        </w:rPr>
        <w:t xml:space="preserve">This </w:t>
      </w:r>
      <w:r w:rsidR="00F4187C">
        <w:rPr>
          <w:rFonts w:cs="Arial"/>
          <w:lang w:val="en-AU"/>
        </w:rPr>
        <w:t xml:space="preserve">is presented as a small </w:t>
      </w:r>
      <w:r w:rsidR="008039F8">
        <w:rPr>
          <w:rFonts w:cs="Arial"/>
          <w:lang w:val="en-AU"/>
        </w:rPr>
        <w:t xml:space="preserve">separate </w:t>
      </w:r>
      <w:r w:rsidR="00F4187C">
        <w:rPr>
          <w:rFonts w:cs="Arial"/>
          <w:lang w:val="en-AU"/>
        </w:rPr>
        <w:t>case study in Appendix</w:t>
      </w:r>
      <w:r w:rsidR="00D6358F">
        <w:rPr>
          <w:rFonts w:cs="Arial"/>
          <w:lang w:val="en-AU"/>
        </w:rPr>
        <w:t xml:space="preserve"> I</w:t>
      </w:r>
      <w:r w:rsidR="00F4187C">
        <w:rPr>
          <w:rFonts w:cs="Arial"/>
          <w:lang w:val="en-AU"/>
        </w:rPr>
        <w:t xml:space="preserve">. </w:t>
      </w:r>
    </w:p>
    <w:p w14:paraId="6ACF20E5" w14:textId="77777777" w:rsidR="00482572" w:rsidRDefault="00482572" w:rsidP="006130D4">
      <w:pPr>
        <w:spacing w:line="360" w:lineRule="auto"/>
        <w:rPr>
          <w:rFonts w:cs="Arial"/>
          <w:lang w:val="en-AU"/>
        </w:rPr>
      </w:pPr>
    </w:p>
    <w:p w14:paraId="272DD6F2" w14:textId="77777777" w:rsidR="0059608E" w:rsidRDefault="0059608E" w:rsidP="006130D4">
      <w:pPr>
        <w:spacing w:line="360" w:lineRule="auto"/>
      </w:pPr>
      <w:r>
        <w:t>A wide range of PSII herbicides and other pesticides were frequently detected at fixed inshore monitoring sites in 2014-2015 using passive sampling techniques, however none of the chemicals detected were at concentrations that</w:t>
      </w:r>
      <w:r w:rsidRPr="00EE5D28">
        <w:t xml:space="preserve"> exceeded </w:t>
      </w:r>
      <w:r w:rsidR="001B7372">
        <w:rPr>
          <w:noProof/>
          <w:lang w:val="en-AU" w:eastAsia="en-AU"/>
        </w:rPr>
        <w:t>GVs</w:t>
      </w:r>
      <w:r w:rsidRPr="00EE5D28">
        <w:rPr>
          <w:noProof/>
          <w:lang w:val="en-AU" w:eastAsia="en-AU"/>
        </w:rPr>
        <w:t xml:space="preserve"> </w:t>
      </w:r>
      <w:r>
        <w:rPr>
          <w:noProof/>
          <w:lang w:val="en-AU" w:eastAsia="en-AU"/>
        </w:rPr>
        <w:t xml:space="preserve">(ANZECC &amp; ARMCANZ, 2000; GBRMPA, 2010). </w:t>
      </w:r>
      <w:r>
        <w:t>In this current monitoring year (and s</w:t>
      </w:r>
      <w:r w:rsidRPr="00C24A02">
        <w:t>ince monitoring commenced</w:t>
      </w:r>
      <w:r>
        <w:t>),</w:t>
      </w:r>
      <w:r w:rsidRPr="00C24A02">
        <w:t xml:space="preserve"> </w:t>
      </w:r>
      <w:r>
        <w:t>the PSII herbicide diuron was again the dominant contributor to the maximum PSII-HEq concentrations (PSII-HEq Max) detected at fixed sites due to its abundance and potency as a PSII inhibitor (Figure 1). Diuron, atrazine and hexazinone were the most frequently detected and abundant herbicides at the fixed sites in the Wet Tropics, Burdekin and Mackay Whitsunday regions, with the highest concentrations (59, 24 and 16 ng L</w:t>
      </w:r>
      <w:r>
        <w:rPr>
          <w:vertAlign w:val="superscript"/>
        </w:rPr>
        <w:t xml:space="preserve">-1 </w:t>
      </w:r>
      <w:r>
        <w:t>respectively) detected at the newly established Sandy Creek site in the Mackay Whitsunday region. Tebuthiuron, atrazine and diuron were most frequently and abundantly detected at the fixed site located in the Fitzroy region. Other</w:t>
      </w:r>
      <w:r w:rsidRPr="00EE5D28">
        <w:t xml:space="preserve"> </w:t>
      </w:r>
      <w:r>
        <w:t>emerging ‘alternative’</w:t>
      </w:r>
      <w:r w:rsidRPr="00EE5D28">
        <w:t xml:space="preserve"> herbicides</w:t>
      </w:r>
      <w:r>
        <w:t xml:space="preserve"> </w:t>
      </w:r>
      <w:r w:rsidRPr="00EE5D28">
        <w:t>(</w:t>
      </w:r>
      <w:r>
        <w:rPr>
          <w:rStyle w:val="st"/>
        </w:rPr>
        <w:t>2,4-dichlorophenoxyacetic acid</w:t>
      </w:r>
      <w:r>
        <w:t xml:space="preserve"> (2,4-D), </w:t>
      </w:r>
      <w:r w:rsidRPr="00EC2BEA">
        <w:t xml:space="preserve">2-methyl-4-chlorophenoxyacetic acid </w:t>
      </w:r>
      <w:r>
        <w:t>(MCPA), chlorpyrifos and pendimethalin</w:t>
      </w:r>
      <w:r w:rsidRPr="00EE5D28">
        <w:t>)</w:t>
      </w:r>
      <w:r>
        <w:t xml:space="preserve"> were also frequently detected in passive samplers at fixed sites, at low or sub ng L</w:t>
      </w:r>
      <w:r>
        <w:rPr>
          <w:vertAlign w:val="superscript"/>
        </w:rPr>
        <w:t xml:space="preserve">-1 </w:t>
      </w:r>
      <w:r>
        <w:t>concentrations. Passive samplers deployed at two locations upstream in the Barratta Creek during the wet season, were dominated by atrazine (maximum of 9800 ng L</w:t>
      </w:r>
      <w:r>
        <w:rPr>
          <w:vertAlign w:val="superscript"/>
        </w:rPr>
        <w:t>-1</w:t>
      </w:r>
      <w:r>
        <w:t>), diuron (maximum of 3400 ng L</w:t>
      </w:r>
      <w:r>
        <w:rPr>
          <w:vertAlign w:val="superscript"/>
        </w:rPr>
        <w:t>-1</w:t>
      </w:r>
      <w:r>
        <w:t>) and desethyl atrazine (1400 ng L</w:t>
      </w:r>
      <w:r>
        <w:rPr>
          <w:vertAlign w:val="superscript"/>
        </w:rPr>
        <w:t>-1</w:t>
      </w:r>
      <w:r>
        <w:t xml:space="preserve">), with atrazine, chlorpyrifos and tebuthiuron meeting or exceeding 99% species protection freshwater guideline values; </w:t>
      </w:r>
      <w:r>
        <w:rPr>
          <w:noProof/>
          <w:lang w:val="en-AU" w:eastAsia="en-AU"/>
        </w:rPr>
        <w:t xml:space="preserve">and diuron and metolochlor exceeding Interim Working Levels (IWLs) (low reliability freshwater </w:t>
      </w:r>
      <w:r w:rsidR="005E3E51">
        <w:rPr>
          <w:noProof/>
          <w:lang w:val="en-AU" w:eastAsia="en-AU"/>
        </w:rPr>
        <w:t xml:space="preserve">guideline </w:t>
      </w:r>
      <w:r>
        <w:rPr>
          <w:noProof/>
          <w:lang w:val="en-AU" w:eastAsia="en-AU"/>
        </w:rPr>
        <w:t>values)</w:t>
      </w:r>
      <w:r w:rsidRPr="001356E3">
        <w:t xml:space="preserve"> </w:t>
      </w:r>
      <w:r>
        <w:t>(</w:t>
      </w:r>
      <w:r w:rsidRPr="00EE5D28">
        <w:rPr>
          <w:noProof/>
          <w:lang w:val="en-AU" w:eastAsia="en-AU"/>
        </w:rPr>
        <w:t>ANZECC and ARMCANZ 2000</w:t>
      </w:r>
      <w:r>
        <w:rPr>
          <w:noProof/>
          <w:lang w:val="en-AU" w:eastAsia="en-AU"/>
        </w:rPr>
        <w:t>) in at least one sampler.</w:t>
      </w:r>
      <w:r w:rsidR="00D63C45" w:rsidRPr="00D63C45">
        <w:t xml:space="preserve"> </w:t>
      </w:r>
      <w:r w:rsidR="00D63C45">
        <w:t>Historically and also observed in this current monitoring year, sites located in inshore areas of the Mackay Whitsunday region had the highest concentrations of herbicides.</w:t>
      </w:r>
    </w:p>
    <w:p w14:paraId="454355F2" w14:textId="77777777" w:rsidR="00DB5835" w:rsidRPr="00EB6B83" w:rsidRDefault="00DB5835" w:rsidP="006130D4">
      <w:pPr>
        <w:spacing w:line="360" w:lineRule="auto"/>
      </w:pPr>
    </w:p>
    <w:p w14:paraId="249BCF2B" w14:textId="77777777" w:rsidR="0059608E" w:rsidRDefault="0059608E" w:rsidP="006130D4">
      <w:pPr>
        <w:spacing w:line="360" w:lineRule="auto"/>
        <w:rPr>
          <w:lang w:val="en-AU" w:eastAsia="en-AU"/>
        </w:rPr>
      </w:pPr>
      <w:r>
        <w:lastRenderedPageBreak/>
        <w:t>Diuron, atrazine and hexazinone were also the most abundant herbicides detected in passive samplers deployed in transects extending from two rivers located in the Wet Tropics. Pesticides detected in grab samples collected from the Russell-Mulgrave River mouth were present in biologically relevant concentrations reaching a maximum of Category 2 on the PSII-HEq Index. The concentration of d</w:t>
      </w:r>
      <w:r>
        <w:rPr>
          <w:lang w:val="en-AU" w:eastAsia="en-AU"/>
        </w:rPr>
        <w:t xml:space="preserve">iuron exceeded the marine </w:t>
      </w:r>
      <w:r w:rsidR="00AF476B">
        <w:rPr>
          <w:lang w:val="en-AU" w:eastAsia="en-AU"/>
        </w:rPr>
        <w:t>IWLs</w:t>
      </w:r>
      <w:r>
        <w:rPr>
          <w:lang w:val="en-AU" w:eastAsia="en-AU"/>
        </w:rPr>
        <w:t xml:space="preserve"> in a single grab sample, collected at the Russell-Mulgrave River mouth. </w:t>
      </w:r>
    </w:p>
    <w:p w14:paraId="08676284" w14:textId="77777777" w:rsidR="0059608E" w:rsidRDefault="0059608E" w:rsidP="006130D4">
      <w:pPr>
        <w:spacing w:line="360" w:lineRule="auto"/>
        <w:rPr>
          <w:lang w:val="en-AU" w:eastAsia="en-AU"/>
        </w:rPr>
      </w:pPr>
    </w:p>
    <w:p w14:paraId="013B16C8" w14:textId="34668FF8" w:rsidR="0059608E" w:rsidRDefault="0059608E" w:rsidP="006130D4">
      <w:pPr>
        <w:spacing w:line="360" w:lineRule="auto"/>
      </w:pPr>
      <w:r>
        <w:t>The profiles of pesticides detected using passive samplers are consistent with the profiles reported</w:t>
      </w:r>
      <w:r w:rsidRPr="009412E3">
        <w:rPr>
          <w:rFonts w:cs="Arial"/>
          <w:lang w:val="en-AU"/>
        </w:rPr>
        <w:t xml:space="preserve"> </w:t>
      </w:r>
      <w:r>
        <w:rPr>
          <w:rFonts w:cs="Arial"/>
          <w:lang w:val="en-AU"/>
        </w:rPr>
        <w:t>in end-of-catchment pesticide loads monitoring activit</w:t>
      </w:r>
      <w:r w:rsidR="0090002A">
        <w:rPr>
          <w:rFonts w:cs="Arial"/>
          <w:lang w:val="en-AU"/>
        </w:rPr>
        <w:t>i</w:t>
      </w:r>
      <w:r>
        <w:rPr>
          <w:rFonts w:cs="Arial"/>
          <w:lang w:val="en-AU"/>
        </w:rPr>
        <w:t>es</w:t>
      </w:r>
      <w:r w:rsidR="00AF476B">
        <w:rPr>
          <w:rFonts w:cs="Arial"/>
          <w:lang w:val="en-AU"/>
        </w:rPr>
        <w:t xml:space="preserve"> and </w:t>
      </w:r>
      <w:r>
        <w:rPr>
          <w:rFonts w:cs="Arial"/>
          <w:lang w:val="en-AU"/>
        </w:rPr>
        <w:t>reflect the known pesticide use in the dominant agricultural land-uses on the adjacent catchment areas.</w:t>
      </w:r>
      <w:r>
        <w:t xml:space="preserve"> Continuing average and below average rainfall across many Reef catchments, reduced total freshwater discharge entering the Reef lagoon to below the long-term median, and reduced end-of-catchment loads </w:t>
      </w:r>
      <w:r w:rsidR="004C7831">
        <w:t xml:space="preserve">in numerous rivers </w:t>
      </w:r>
      <w:r>
        <w:t xml:space="preserve">have likely contributed to the overall low concentrations of pesticides observed in the inshore marine environment this monitoring year.  </w:t>
      </w:r>
    </w:p>
    <w:p w14:paraId="52E5AC4E" w14:textId="77777777" w:rsidR="0059608E" w:rsidRDefault="0059608E" w:rsidP="006130D4">
      <w:pPr>
        <w:spacing w:line="276" w:lineRule="auto"/>
        <w:rPr>
          <w:lang w:val="en-AU" w:eastAsia="en-AU" w:bidi="ar-SA"/>
        </w:rPr>
        <w:sectPr w:rsidR="0059608E" w:rsidSect="00464B07">
          <w:footerReference w:type="default" r:id="rId19"/>
          <w:pgSz w:w="12240" w:h="15840"/>
          <w:pgMar w:top="624" w:right="720" w:bottom="624" w:left="720" w:header="709" w:footer="709" w:gutter="0"/>
          <w:pgNumType w:start="1"/>
          <w:cols w:space="708"/>
          <w:docGrid w:linePitch="360"/>
        </w:sectPr>
      </w:pPr>
    </w:p>
    <w:p w14:paraId="50100846" w14:textId="77777777" w:rsidR="00ED3A30" w:rsidRDefault="00314F72" w:rsidP="00ED3A30">
      <w:pPr>
        <w:pStyle w:val="Figures"/>
        <w:keepNext/>
        <w:spacing w:before="0" w:after="0" w:line="276" w:lineRule="auto"/>
        <w:jc w:val="center"/>
      </w:pPr>
      <w:r>
        <w:object w:dxaOrig="10798" w:dyaOrig="14357" w14:anchorId="5C7E92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1 The temporal trends in PSII-HEq Max at fixed monitoring sites in inshore waters of the Reef determined using time-integrative sampling 2005 – 2015 (top – Wet Tropics region, bottom – Burdekin, Mackay Whitsunday and Fitzroy regions)." style="width:513.75pt;height:685.5pt" o:ole="">
            <v:imagedata r:id="rId20" o:title=""/>
          </v:shape>
          <o:OLEObject Type="Embed" ProgID="Prism7.Document" ShapeID="_x0000_i1025" DrawAspect="Content" ObjectID="_1536570138" r:id="rId21"/>
        </w:object>
      </w:r>
    </w:p>
    <w:p w14:paraId="121A45DE" w14:textId="77777777" w:rsidR="00ED3A30" w:rsidRDefault="00ED3A30" w:rsidP="00ED3A30">
      <w:pPr>
        <w:pStyle w:val="Caption"/>
        <w:jc w:val="center"/>
      </w:pPr>
      <w:bookmarkStart w:id="9" w:name="_Toc462399461"/>
      <w:r>
        <w:t xml:space="preserve">Figure </w:t>
      </w:r>
      <w:r>
        <w:fldChar w:fldCharType="begin"/>
      </w:r>
      <w:r>
        <w:instrText xml:space="preserve"> SEQ Figure \* ARABIC </w:instrText>
      </w:r>
      <w:r>
        <w:fldChar w:fldCharType="separate"/>
      </w:r>
      <w:r w:rsidR="00E51A34">
        <w:rPr>
          <w:noProof/>
        </w:rPr>
        <w:t>1</w:t>
      </w:r>
      <w:r>
        <w:fldChar w:fldCharType="end"/>
      </w:r>
      <w:r>
        <w:t xml:space="preserve"> </w:t>
      </w:r>
      <w:r w:rsidRPr="00E409FB">
        <w:t xml:space="preserve">The temporal trends in PSII-HEq Max at </w:t>
      </w:r>
      <w:r>
        <w:t xml:space="preserve">fixed </w:t>
      </w:r>
      <w:r w:rsidRPr="00E409FB">
        <w:t xml:space="preserve">monitoring sites in inshore waters of the </w:t>
      </w:r>
      <w:r>
        <w:t>Reef</w:t>
      </w:r>
      <w:r w:rsidRPr="00E409FB">
        <w:t xml:space="preserve"> determined using time-integrative sampling</w:t>
      </w:r>
      <w:r>
        <w:t xml:space="preserve"> 2005 – 2015 (top – Wet Tropics region, bottom – Burdekin, Mackay Whitsunday and Fitzroy regions).</w:t>
      </w:r>
      <w:bookmarkEnd w:id="9"/>
    </w:p>
    <w:bookmarkEnd w:id="7"/>
    <w:p w14:paraId="14F7005C" w14:textId="77777777" w:rsidR="0059608E" w:rsidRPr="00B675D3" w:rsidRDefault="0059608E" w:rsidP="006130D4">
      <w:pPr>
        <w:pStyle w:val="ListParagraph"/>
        <w:spacing w:line="360" w:lineRule="auto"/>
        <w:rPr>
          <w:rFonts w:eastAsia="Dotum" w:cs="Arial"/>
          <w:b/>
          <w:sz w:val="36"/>
          <w:szCs w:val="36"/>
          <w:lang w:val="en-AU"/>
        </w:rPr>
      </w:pPr>
      <w:r w:rsidRPr="00B675D3">
        <w:rPr>
          <w:rFonts w:eastAsia="Dotum" w:cs="Arial"/>
          <w:b/>
          <w:sz w:val="36"/>
          <w:szCs w:val="36"/>
          <w:lang w:val="en-AU"/>
        </w:rPr>
        <w:lastRenderedPageBreak/>
        <w:t>Acknowledgements</w:t>
      </w:r>
    </w:p>
    <w:p w14:paraId="62D5916D" w14:textId="77777777" w:rsidR="0059608E" w:rsidRPr="00B675D3" w:rsidRDefault="0059608E" w:rsidP="006130D4">
      <w:pPr>
        <w:spacing w:line="360" w:lineRule="auto"/>
        <w:rPr>
          <w:rFonts w:eastAsia="Dotum" w:cs="Arial"/>
          <w:b/>
          <w:lang w:val="en-AU"/>
        </w:rPr>
      </w:pPr>
      <w:r w:rsidRPr="00B675D3">
        <w:rPr>
          <w:rFonts w:eastAsia="Dotum" w:cs="Arial"/>
          <w:b/>
          <w:lang w:val="en-AU"/>
        </w:rPr>
        <w:t>Other contributors to this work include-</w:t>
      </w:r>
    </w:p>
    <w:p w14:paraId="3638F1CB" w14:textId="77777777" w:rsidR="0059608E" w:rsidRPr="004B2254" w:rsidRDefault="0059608E" w:rsidP="0059608E">
      <w:pPr>
        <w:pStyle w:val="ListParagraph"/>
        <w:numPr>
          <w:ilvl w:val="0"/>
          <w:numId w:val="19"/>
        </w:numPr>
        <w:spacing w:line="360" w:lineRule="auto"/>
        <w:ind w:left="851" w:hanging="720"/>
        <w:rPr>
          <w:rFonts w:cs="Arial"/>
          <w:lang w:val="en-AU"/>
        </w:rPr>
      </w:pPr>
      <w:r w:rsidRPr="004B2254">
        <w:rPr>
          <w:rFonts w:cs="Arial"/>
          <w:lang w:val="en-AU"/>
        </w:rPr>
        <w:t>Carol Honchin of GBRMPA for her work on the PSII-HEq Index in 2010.</w:t>
      </w:r>
    </w:p>
    <w:p w14:paraId="41A0C180" w14:textId="77777777" w:rsidR="0059608E" w:rsidRPr="004B2254" w:rsidRDefault="0059608E" w:rsidP="0059608E">
      <w:pPr>
        <w:pStyle w:val="ListParagraph"/>
        <w:numPr>
          <w:ilvl w:val="0"/>
          <w:numId w:val="19"/>
        </w:numPr>
        <w:spacing w:line="360" w:lineRule="auto"/>
        <w:ind w:left="851" w:hanging="720"/>
        <w:rPr>
          <w:rFonts w:cs="Arial"/>
          <w:lang w:val="en-AU"/>
        </w:rPr>
      </w:pPr>
      <w:r>
        <w:rPr>
          <w:rFonts w:cs="Arial"/>
          <w:lang w:val="en-AU"/>
        </w:rPr>
        <w:t>The</w:t>
      </w:r>
      <w:r w:rsidRPr="004B2254">
        <w:rPr>
          <w:rFonts w:cs="Arial"/>
          <w:lang w:val="en-AU"/>
        </w:rPr>
        <w:t xml:space="preserve"> staff of Australian Institute of Marine Sciences </w:t>
      </w:r>
      <w:r>
        <w:rPr>
          <w:rFonts w:cs="Arial"/>
          <w:lang w:val="en-AU"/>
        </w:rPr>
        <w:t xml:space="preserve">and James Cook University </w:t>
      </w:r>
      <w:r w:rsidRPr="004B2254">
        <w:rPr>
          <w:rFonts w:cs="Arial"/>
          <w:lang w:val="en-AU"/>
        </w:rPr>
        <w:t>for the assessment of long term discharge data</w:t>
      </w:r>
      <w:r>
        <w:rPr>
          <w:rFonts w:cs="Arial"/>
          <w:lang w:val="en-AU"/>
        </w:rPr>
        <w:t>, and mapping</w:t>
      </w:r>
      <w:r w:rsidRPr="004B2254">
        <w:rPr>
          <w:rFonts w:cs="Arial"/>
          <w:lang w:val="en-AU"/>
        </w:rPr>
        <w:t>.</w:t>
      </w:r>
    </w:p>
    <w:p w14:paraId="4F2C33A6" w14:textId="77777777" w:rsidR="0059608E" w:rsidRPr="004B2254" w:rsidRDefault="0059608E" w:rsidP="0059608E">
      <w:pPr>
        <w:pStyle w:val="ListParagraph"/>
        <w:numPr>
          <w:ilvl w:val="0"/>
          <w:numId w:val="19"/>
        </w:numPr>
        <w:spacing w:line="360" w:lineRule="auto"/>
        <w:ind w:left="851" w:hanging="720"/>
        <w:rPr>
          <w:rFonts w:cs="Arial"/>
          <w:lang w:val="en-AU"/>
        </w:rPr>
      </w:pPr>
      <w:r w:rsidRPr="004B2254">
        <w:rPr>
          <w:rFonts w:cs="Arial"/>
          <w:lang w:val="en-AU"/>
        </w:rPr>
        <w:t xml:space="preserve">Steve Carter of Queensland Health Forensic and Scientific Services for the analysis and reporting of </w:t>
      </w:r>
      <w:r>
        <w:rPr>
          <w:rFonts w:cs="Arial"/>
          <w:lang w:val="en-AU"/>
        </w:rPr>
        <w:t>inter</w:t>
      </w:r>
      <w:r w:rsidR="004F6451">
        <w:rPr>
          <w:rFonts w:cs="Arial"/>
          <w:lang w:val="en-AU"/>
        </w:rPr>
        <w:t>-</w:t>
      </w:r>
      <w:r>
        <w:rPr>
          <w:rFonts w:cs="Arial"/>
          <w:lang w:val="en-AU"/>
        </w:rPr>
        <w:t>laboratory</w:t>
      </w:r>
      <w:r w:rsidRPr="004B2254">
        <w:rPr>
          <w:rFonts w:cs="Arial"/>
          <w:lang w:val="en-AU"/>
        </w:rPr>
        <w:t xml:space="preserve"> data.</w:t>
      </w:r>
    </w:p>
    <w:p w14:paraId="6DC65393" w14:textId="77777777" w:rsidR="0059608E" w:rsidRPr="008B7E72" w:rsidRDefault="0059608E" w:rsidP="0059608E">
      <w:pPr>
        <w:pStyle w:val="ListParagraph"/>
        <w:numPr>
          <w:ilvl w:val="0"/>
          <w:numId w:val="19"/>
        </w:numPr>
        <w:spacing w:line="360" w:lineRule="auto"/>
        <w:ind w:left="851" w:hanging="720"/>
        <w:rPr>
          <w:rFonts w:cs="Arial"/>
          <w:lang w:val="en-AU"/>
        </w:rPr>
      </w:pPr>
      <w:r>
        <w:rPr>
          <w:rFonts w:cs="Arial"/>
        </w:rPr>
        <w:t>The early work of David Haynes, Joelle Prange and Deb Bass of GBRMPA in establishing and managing this monitoring program.</w:t>
      </w:r>
    </w:p>
    <w:p w14:paraId="6C811A4C" w14:textId="77777777" w:rsidR="0059608E" w:rsidRPr="00B675D3" w:rsidRDefault="0059608E" w:rsidP="006130D4">
      <w:pPr>
        <w:spacing w:line="360" w:lineRule="auto"/>
        <w:rPr>
          <w:rFonts w:eastAsia="Dotum" w:cs="Arial"/>
          <w:b/>
          <w:lang w:val="en-AU"/>
        </w:rPr>
      </w:pPr>
      <w:r w:rsidRPr="00B675D3">
        <w:rPr>
          <w:rFonts w:eastAsia="Dotum" w:cs="Arial"/>
          <w:b/>
          <w:lang w:val="en-AU"/>
        </w:rPr>
        <w:t>These monitoring activities have been undertaken in some form since 2005</w:t>
      </w:r>
      <w:r>
        <w:rPr>
          <w:rFonts w:eastAsia="Dotum" w:cs="Arial"/>
          <w:b/>
          <w:lang w:val="en-AU"/>
        </w:rPr>
        <w:t xml:space="preserve"> and</w:t>
      </w:r>
      <w:r w:rsidRPr="00B675D3">
        <w:rPr>
          <w:rFonts w:eastAsia="Dotum" w:cs="Arial"/>
          <w:b/>
          <w:lang w:val="en-AU"/>
        </w:rPr>
        <w:t xml:space="preserve"> </w:t>
      </w:r>
      <w:r>
        <w:rPr>
          <w:rFonts w:eastAsia="Dotum" w:cs="Arial"/>
          <w:b/>
          <w:lang w:val="en-AU"/>
        </w:rPr>
        <w:t>we a</w:t>
      </w:r>
      <w:r w:rsidRPr="00B675D3">
        <w:rPr>
          <w:rFonts w:eastAsia="Dotum" w:cs="Arial"/>
          <w:b/>
          <w:lang w:val="en-AU"/>
        </w:rPr>
        <w:t xml:space="preserve">cknowledge </w:t>
      </w:r>
      <w:r>
        <w:rPr>
          <w:rFonts w:eastAsia="Dotum" w:cs="Arial"/>
          <w:b/>
          <w:lang w:val="en-AU"/>
        </w:rPr>
        <w:t>-</w:t>
      </w:r>
    </w:p>
    <w:p w14:paraId="2FDAC507" w14:textId="77777777" w:rsidR="0059608E" w:rsidRPr="00BA3F02" w:rsidRDefault="0059608E" w:rsidP="006130D4">
      <w:pPr>
        <w:spacing w:line="360" w:lineRule="auto"/>
        <w:rPr>
          <w:rFonts w:cs="Arial"/>
          <w:lang w:val="en-AU"/>
        </w:rPr>
      </w:pPr>
      <w:r>
        <w:rPr>
          <w:rFonts w:cs="Arial"/>
          <w:lang w:val="en-AU"/>
        </w:rPr>
        <w:t xml:space="preserve">Dr Karen Kennedy, Andrew Dunn, </w:t>
      </w:r>
      <w:r w:rsidRPr="00BA3F02">
        <w:rPr>
          <w:rFonts w:cs="Arial"/>
          <w:lang w:val="en-AU"/>
        </w:rPr>
        <w:t>Dr Michael Bartkow, Dr Tatiana Komarova, Dr Melanie Shaw,</w:t>
      </w:r>
      <w:r>
        <w:rPr>
          <w:rFonts w:cs="Arial"/>
          <w:lang w:val="en-AU"/>
        </w:rPr>
        <w:t xml:space="preserve"> </w:t>
      </w:r>
      <w:r w:rsidRPr="00BA3F02">
        <w:rPr>
          <w:rFonts w:cs="Arial"/>
          <w:lang w:val="en-AU"/>
        </w:rPr>
        <w:t>Anita Kapernick</w:t>
      </w:r>
      <w:r>
        <w:rPr>
          <w:rFonts w:cs="Arial"/>
          <w:lang w:val="en-AU"/>
        </w:rPr>
        <w:t>, Jake O’Brien, Andrew Banks, Carol Marshall. Thanks also to Rachael Smith, Michael Warne and Olivia King (Department of Science, Information Technology and Innovation) who provided ms-PAF data.</w:t>
      </w:r>
    </w:p>
    <w:p w14:paraId="76C57B46" w14:textId="77777777" w:rsidR="0059608E" w:rsidRDefault="0059608E" w:rsidP="006130D4">
      <w:pPr>
        <w:spacing w:line="360" w:lineRule="auto"/>
        <w:rPr>
          <w:lang w:val="en-AU"/>
        </w:rPr>
      </w:pPr>
    </w:p>
    <w:p w14:paraId="1117358D" w14:textId="77777777" w:rsidR="0059608E" w:rsidRPr="00B675D3" w:rsidRDefault="0059608E" w:rsidP="006130D4">
      <w:pPr>
        <w:spacing w:line="360" w:lineRule="auto"/>
        <w:rPr>
          <w:rFonts w:eastAsia="Dotum" w:cs="Arial"/>
          <w:b/>
          <w:lang w:val="en-AU"/>
        </w:rPr>
      </w:pPr>
      <w:r w:rsidRPr="00B675D3">
        <w:rPr>
          <w:rFonts w:eastAsia="Dotum" w:cs="Arial"/>
          <w:b/>
          <w:lang w:val="en-AU"/>
        </w:rPr>
        <w:t xml:space="preserve">The assistance of the numerous volunteers who have deployed passive samplers is gratefully acknowledged – </w:t>
      </w:r>
    </w:p>
    <w:tbl>
      <w:tblPr>
        <w:tblStyle w:val="Anita-ReportConsult"/>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List of volunteers who assist in deploying samplers"/>
      </w:tblPr>
      <w:tblGrid>
        <w:gridCol w:w="2925"/>
        <w:gridCol w:w="3656"/>
        <w:gridCol w:w="3573"/>
      </w:tblGrid>
      <w:tr w:rsidR="0059608E" w:rsidRPr="00BC6277" w14:paraId="617E0795" w14:textId="77777777" w:rsidTr="00441B7F">
        <w:trPr>
          <w:trHeight w:val="794"/>
          <w:tblHeader/>
          <w:jc w:val="center"/>
        </w:trPr>
        <w:tc>
          <w:tcPr>
            <w:tcW w:w="2925" w:type="dxa"/>
            <w:vAlign w:val="center"/>
          </w:tcPr>
          <w:p w14:paraId="426E2549" w14:textId="77777777" w:rsidR="0059608E" w:rsidRPr="00B675D3" w:rsidRDefault="0059608E" w:rsidP="006130D4">
            <w:pPr>
              <w:spacing w:line="360" w:lineRule="auto"/>
              <w:jc w:val="left"/>
              <w:rPr>
                <w:rFonts w:eastAsia="Dotum" w:cs="Arial"/>
                <w:szCs w:val="18"/>
                <w:lang w:val="en-AU"/>
              </w:rPr>
            </w:pPr>
            <w:r>
              <w:rPr>
                <w:rFonts w:eastAsia="Dotum" w:cs="Arial"/>
                <w:szCs w:val="18"/>
                <w:lang w:val="en-AU"/>
              </w:rPr>
              <w:t>Cahills Couriers</w:t>
            </w:r>
          </w:p>
        </w:tc>
        <w:tc>
          <w:tcPr>
            <w:tcW w:w="3656" w:type="dxa"/>
            <w:vAlign w:val="center"/>
          </w:tcPr>
          <w:p w14:paraId="16992ACD"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Hamilton Island Enterprises</w:t>
            </w:r>
          </w:p>
          <w:p w14:paraId="0D0BC6AE" w14:textId="77777777" w:rsidR="0059608E" w:rsidRPr="00B675D3" w:rsidRDefault="0059608E" w:rsidP="006130D4">
            <w:pPr>
              <w:spacing w:line="360" w:lineRule="auto"/>
              <w:jc w:val="left"/>
              <w:rPr>
                <w:rFonts w:eastAsia="Dotum" w:cs="Arial"/>
                <w:szCs w:val="18"/>
                <w:lang w:val="en-AU"/>
              </w:rPr>
            </w:pPr>
          </w:p>
        </w:tc>
        <w:tc>
          <w:tcPr>
            <w:tcW w:w="3573" w:type="dxa"/>
            <w:vAlign w:val="center"/>
          </w:tcPr>
          <w:p w14:paraId="17D1AA46"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Great Barrier Reef Marine Park Authority</w:t>
            </w:r>
          </w:p>
        </w:tc>
      </w:tr>
      <w:tr w:rsidR="0059608E" w:rsidRPr="00BC6277" w14:paraId="1B4B27F3" w14:textId="77777777" w:rsidTr="00441B7F">
        <w:trPr>
          <w:trHeight w:val="794"/>
          <w:tblHeader/>
          <w:jc w:val="center"/>
        </w:trPr>
        <w:tc>
          <w:tcPr>
            <w:tcW w:w="2925" w:type="dxa"/>
            <w:vAlign w:val="center"/>
          </w:tcPr>
          <w:p w14:paraId="3AF5DC43"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Mission Beach/ Dunk Island Water Taxi</w:t>
            </w:r>
          </w:p>
        </w:tc>
        <w:tc>
          <w:tcPr>
            <w:tcW w:w="3656" w:type="dxa"/>
            <w:vAlign w:val="center"/>
          </w:tcPr>
          <w:p w14:paraId="050FB6DB"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Ingham Travel</w:t>
            </w:r>
          </w:p>
        </w:tc>
        <w:tc>
          <w:tcPr>
            <w:tcW w:w="3573" w:type="dxa"/>
            <w:vAlign w:val="center"/>
          </w:tcPr>
          <w:p w14:paraId="46E6B218" w14:textId="77777777" w:rsidR="0059608E" w:rsidRPr="00B675D3" w:rsidRDefault="0059608E" w:rsidP="006130D4">
            <w:pPr>
              <w:spacing w:line="360" w:lineRule="auto"/>
              <w:jc w:val="left"/>
              <w:rPr>
                <w:rFonts w:eastAsia="Dotum" w:cs="Arial"/>
                <w:szCs w:val="18"/>
                <w:lang w:val="en-AU"/>
              </w:rPr>
            </w:pPr>
            <w:r w:rsidRPr="006A7F76">
              <w:rPr>
                <w:rFonts w:eastAsia="Dotum" w:cs="Arial"/>
                <w:szCs w:val="18"/>
                <w:lang w:val="en-AU"/>
              </w:rPr>
              <w:t>Centre for Tropical Water &amp; Aquatic Ecosystem Research</w:t>
            </w:r>
            <w:r>
              <w:rPr>
                <w:rFonts w:eastAsia="Dotum" w:cs="Arial"/>
                <w:szCs w:val="18"/>
                <w:lang w:val="en-AU"/>
              </w:rPr>
              <w:t xml:space="preserve"> (TropWater)</w:t>
            </w:r>
          </w:p>
        </w:tc>
      </w:tr>
      <w:tr w:rsidR="0059608E" w:rsidRPr="00BC6277" w14:paraId="52040888" w14:textId="77777777" w:rsidTr="00441B7F">
        <w:trPr>
          <w:trHeight w:val="794"/>
          <w:tblHeader/>
          <w:jc w:val="center"/>
        </w:trPr>
        <w:tc>
          <w:tcPr>
            <w:tcW w:w="2925" w:type="dxa"/>
            <w:vAlign w:val="center"/>
          </w:tcPr>
          <w:p w14:paraId="2D4857F7"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Sarina Bait Supplies</w:t>
            </w:r>
          </w:p>
        </w:tc>
        <w:tc>
          <w:tcPr>
            <w:tcW w:w="3656" w:type="dxa"/>
            <w:vAlign w:val="center"/>
          </w:tcPr>
          <w:p w14:paraId="4B636B88"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Frankland Island Cruise &amp; Dive</w:t>
            </w:r>
          </w:p>
        </w:tc>
        <w:tc>
          <w:tcPr>
            <w:tcW w:w="3573" w:type="dxa"/>
            <w:vAlign w:val="center"/>
          </w:tcPr>
          <w:p w14:paraId="40212137"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North Keppel Island Environmental Education Centre</w:t>
            </w:r>
          </w:p>
        </w:tc>
      </w:tr>
      <w:tr w:rsidR="0059608E" w:rsidRPr="00BC6277" w14:paraId="2E42B380" w14:textId="77777777" w:rsidTr="00441B7F">
        <w:trPr>
          <w:trHeight w:val="794"/>
          <w:tblHeader/>
          <w:jc w:val="center"/>
        </w:trPr>
        <w:tc>
          <w:tcPr>
            <w:tcW w:w="2925" w:type="dxa"/>
            <w:vAlign w:val="center"/>
          </w:tcPr>
          <w:p w14:paraId="7FC8232B"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Jace Services</w:t>
            </w:r>
          </w:p>
        </w:tc>
        <w:tc>
          <w:tcPr>
            <w:tcW w:w="3656" w:type="dxa"/>
            <w:vAlign w:val="center"/>
          </w:tcPr>
          <w:p w14:paraId="3BFA19B0" w14:textId="77777777" w:rsidR="0059608E" w:rsidRPr="00B675D3" w:rsidRDefault="0059608E" w:rsidP="006130D4">
            <w:pPr>
              <w:spacing w:line="360" w:lineRule="auto"/>
              <w:jc w:val="left"/>
              <w:rPr>
                <w:rFonts w:eastAsia="Dotum" w:cs="Arial"/>
                <w:szCs w:val="18"/>
                <w:lang w:val="en-AU"/>
              </w:rPr>
            </w:pPr>
            <w:r>
              <w:rPr>
                <w:rFonts w:eastAsia="Dotum" w:cs="Arial"/>
                <w:szCs w:val="18"/>
                <w:lang w:val="en-AU"/>
              </w:rPr>
              <w:t>Mission Beach Charters</w:t>
            </w:r>
          </w:p>
        </w:tc>
        <w:tc>
          <w:tcPr>
            <w:tcW w:w="3573" w:type="dxa"/>
            <w:vAlign w:val="center"/>
          </w:tcPr>
          <w:p w14:paraId="04B85287" w14:textId="77777777" w:rsidR="0059608E" w:rsidRPr="00B675D3" w:rsidRDefault="0059608E" w:rsidP="006130D4">
            <w:pPr>
              <w:spacing w:line="360" w:lineRule="auto"/>
              <w:jc w:val="left"/>
              <w:rPr>
                <w:rFonts w:eastAsia="Dotum" w:cs="Arial"/>
                <w:szCs w:val="18"/>
                <w:lang w:val="en-AU"/>
              </w:rPr>
            </w:pPr>
            <w:r>
              <w:rPr>
                <w:rFonts w:eastAsia="Dotum" w:cs="Arial"/>
                <w:szCs w:val="18"/>
                <w:lang w:val="en-AU"/>
              </w:rPr>
              <w:t>Cairns Dive Centre (Fitzroy Island)</w:t>
            </w:r>
          </w:p>
        </w:tc>
      </w:tr>
      <w:tr w:rsidR="0059608E" w:rsidRPr="00BC6277" w14:paraId="4C12188F" w14:textId="77777777" w:rsidTr="00441B7F">
        <w:trPr>
          <w:trHeight w:val="794"/>
          <w:tblHeader/>
          <w:jc w:val="center"/>
        </w:trPr>
        <w:tc>
          <w:tcPr>
            <w:tcW w:w="2925" w:type="dxa"/>
            <w:vAlign w:val="center"/>
          </w:tcPr>
          <w:p w14:paraId="4FED00A7"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Reef Fleet Terminal</w:t>
            </w:r>
          </w:p>
        </w:tc>
        <w:tc>
          <w:tcPr>
            <w:tcW w:w="3656" w:type="dxa"/>
            <w:vAlign w:val="center"/>
          </w:tcPr>
          <w:p w14:paraId="523EE7A0"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Orpheus Island Research Station</w:t>
            </w:r>
          </w:p>
        </w:tc>
        <w:tc>
          <w:tcPr>
            <w:tcW w:w="3573" w:type="dxa"/>
            <w:vAlign w:val="center"/>
          </w:tcPr>
          <w:p w14:paraId="5248C09D"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Australian Institute of Marine Science</w:t>
            </w:r>
          </w:p>
        </w:tc>
      </w:tr>
      <w:tr w:rsidR="0059608E" w:rsidRPr="00BC6277" w14:paraId="32A3A35B" w14:textId="77777777" w:rsidTr="00441B7F">
        <w:trPr>
          <w:trHeight w:val="794"/>
          <w:tblHeader/>
          <w:jc w:val="center"/>
        </w:trPr>
        <w:tc>
          <w:tcPr>
            <w:tcW w:w="2925" w:type="dxa"/>
            <w:vAlign w:val="center"/>
          </w:tcPr>
          <w:p w14:paraId="6D44F166"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Quicksilver Connections</w:t>
            </w:r>
          </w:p>
        </w:tc>
        <w:tc>
          <w:tcPr>
            <w:tcW w:w="3656" w:type="dxa"/>
            <w:vAlign w:val="center"/>
          </w:tcPr>
          <w:p w14:paraId="08EDD2E4" w14:textId="77777777" w:rsidR="0059608E" w:rsidRPr="00B675D3" w:rsidRDefault="0059608E" w:rsidP="006130D4">
            <w:pPr>
              <w:spacing w:line="360" w:lineRule="auto"/>
              <w:jc w:val="left"/>
              <w:rPr>
                <w:rFonts w:eastAsia="Dotum" w:cs="Arial"/>
                <w:szCs w:val="18"/>
                <w:lang w:val="en-AU"/>
              </w:rPr>
            </w:pPr>
            <w:r w:rsidRPr="00B675D3">
              <w:rPr>
                <w:rFonts w:eastAsia="Dotum" w:cs="Arial"/>
                <w:szCs w:val="18"/>
                <w:lang w:val="en-AU"/>
              </w:rPr>
              <w:t>Big Cat Green Island</w:t>
            </w:r>
          </w:p>
        </w:tc>
        <w:tc>
          <w:tcPr>
            <w:tcW w:w="3573" w:type="dxa"/>
            <w:vAlign w:val="center"/>
          </w:tcPr>
          <w:p w14:paraId="26C0199F" w14:textId="77777777" w:rsidR="0059608E" w:rsidRPr="00B675D3" w:rsidRDefault="0059608E" w:rsidP="006130D4">
            <w:pPr>
              <w:spacing w:line="360" w:lineRule="auto"/>
              <w:jc w:val="left"/>
              <w:rPr>
                <w:rFonts w:eastAsia="Dotum" w:cs="Arial"/>
                <w:szCs w:val="18"/>
                <w:lang w:val="en-AU"/>
              </w:rPr>
            </w:pPr>
            <w:r>
              <w:rPr>
                <w:rFonts w:eastAsia="Dotum" w:cs="Arial"/>
                <w:szCs w:val="18"/>
                <w:lang w:val="en-AU"/>
              </w:rPr>
              <w:t xml:space="preserve">CSIRO Land and Water </w:t>
            </w:r>
          </w:p>
        </w:tc>
      </w:tr>
    </w:tbl>
    <w:p w14:paraId="4ABEB58C" w14:textId="77777777" w:rsidR="0059608E" w:rsidRPr="00B675D3" w:rsidRDefault="0059608E" w:rsidP="006130D4">
      <w:pPr>
        <w:spacing w:line="360" w:lineRule="auto"/>
        <w:rPr>
          <w:rFonts w:cs="Arial"/>
          <w:lang w:val="en-AU"/>
        </w:rPr>
      </w:pPr>
      <w:r w:rsidRPr="00B675D3">
        <w:rPr>
          <w:rFonts w:eastAsia="Dotum" w:cs="Arial"/>
          <w:b/>
          <w:lang w:val="en-AU"/>
        </w:rPr>
        <w:t xml:space="preserve">In particular Entox thanks GBRMPA Program Manager Katherine Martin and GBRMPA Regional coordinators for the role they have played in managing and facilitating this monitoring program throughout the years: </w:t>
      </w:r>
      <w:r w:rsidRPr="00B675D3">
        <w:rPr>
          <w:rFonts w:cs="Arial"/>
          <w:lang w:val="en-AU"/>
        </w:rPr>
        <w:t>Carolyn Thompson, Cath McLean, Phil Laycock, Warwick Sheldon</w:t>
      </w:r>
    </w:p>
    <w:p w14:paraId="11478D62" w14:textId="77777777" w:rsidR="0059608E" w:rsidRPr="00B675D3" w:rsidRDefault="0059608E" w:rsidP="006130D4">
      <w:pPr>
        <w:spacing w:line="360" w:lineRule="auto"/>
        <w:rPr>
          <w:rFonts w:cs="Arial"/>
          <w:lang w:val="en-AU"/>
        </w:rPr>
      </w:pPr>
    </w:p>
    <w:p w14:paraId="0107B40F" w14:textId="77777777" w:rsidR="0059608E" w:rsidRPr="00B675D3" w:rsidRDefault="0059608E" w:rsidP="006130D4">
      <w:pPr>
        <w:spacing w:line="360" w:lineRule="auto"/>
        <w:rPr>
          <w:rFonts w:eastAsia="Dotum" w:cs="Arial"/>
          <w:b/>
          <w:lang w:val="en-AU"/>
        </w:rPr>
      </w:pPr>
      <w:r w:rsidRPr="00B675D3">
        <w:rPr>
          <w:rFonts w:eastAsia="Dotum" w:cs="Arial"/>
          <w:b/>
          <w:lang w:val="en-AU"/>
        </w:rPr>
        <w:t xml:space="preserve">About the </w:t>
      </w:r>
      <w:r>
        <w:rPr>
          <w:rFonts w:eastAsia="Dotum" w:cs="Arial"/>
          <w:b/>
          <w:lang w:val="en-AU"/>
        </w:rPr>
        <w:t>MMP</w:t>
      </w:r>
      <w:r w:rsidRPr="00B675D3">
        <w:rPr>
          <w:rFonts w:eastAsia="Dotum" w:cs="Arial"/>
          <w:b/>
          <w:lang w:val="en-AU"/>
        </w:rPr>
        <w:t xml:space="preserve"> –</w:t>
      </w:r>
    </w:p>
    <w:p w14:paraId="1F93538E" w14:textId="77777777" w:rsidR="0059608E" w:rsidRDefault="0059608E" w:rsidP="006130D4">
      <w:pPr>
        <w:spacing w:line="360" w:lineRule="auto"/>
        <w:rPr>
          <w:lang w:val="en-AU"/>
        </w:rPr>
      </w:pPr>
      <w:r w:rsidRPr="000C3309">
        <w:rPr>
          <w:rFonts w:cs="Arial"/>
          <w:lang w:val="en-AU"/>
        </w:rPr>
        <w:t>Th</w:t>
      </w:r>
      <w:r>
        <w:rPr>
          <w:rFonts w:cs="Arial"/>
          <w:lang w:val="en-AU"/>
        </w:rPr>
        <w:t>e MMP is a water quality and ecosystem health long-term monitoring program in the Reef lagoon to track the effectiveness of the Reef Plan. This project</w:t>
      </w:r>
      <w:r w:rsidRPr="000C3309">
        <w:rPr>
          <w:rFonts w:cs="Arial"/>
          <w:lang w:val="en-AU"/>
        </w:rPr>
        <w:t xml:space="preserve"> is supported by the Great Barrier Reef Marine Park Authority</w:t>
      </w:r>
      <w:r>
        <w:rPr>
          <w:rFonts w:cs="Arial"/>
          <w:lang w:val="en-AU"/>
        </w:rPr>
        <w:t xml:space="preserve"> (GBRMPA)</w:t>
      </w:r>
      <w:r w:rsidRPr="000C3309">
        <w:rPr>
          <w:rFonts w:cs="Arial"/>
          <w:lang w:val="en-AU"/>
        </w:rPr>
        <w:t xml:space="preserve">, through funding from the Australian Government’s </w:t>
      </w:r>
      <w:r>
        <w:rPr>
          <w:rFonts w:cs="Arial"/>
          <w:lang w:val="en-AU"/>
        </w:rPr>
        <w:t>C</w:t>
      </w:r>
      <w:r w:rsidRPr="000C3309">
        <w:rPr>
          <w:rFonts w:cs="Arial"/>
          <w:lang w:val="en-AU"/>
        </w:rPr>
        <w:t>aring for Our Country.</w:t>
      </w:r>
      <w:r w:rsidRPr="000C3309">
        <w:rPr>
          <w:rFonts w:cs="Arial"/>
          <w:b/>
          <w:sz w:val="20"/>
          <w:szCs w:val="20"/>
          <w:lang w:val="en-AU"/>
        </w:rPr>
        <w:t xml:space="preserve"> </w:t>
      </w:r>
      <w:bookmarkStart w:id="10" w:name="_Toc405835388"/>
      <w:bookmarkStart w:id="11" w:name="_Toc406329885"/>
      <w:bookmarkStart w:id="12" w:name="_Toc406329979"/>
      <w:bookmarkStart w:id="13" w:name="_Toc406770607"/>
      <w:bookmarkStart w:id="14" w:name="_Toc405835389"/>
      <w:bookmarkStart w:id="15" w:name="_Toc406329886"/>
      <w:bookmarkStart w:id="16" w:name="_Toc406329980"/>
      <w:bookmarkStart w:id="17" w:name="_Toc406770608"/>
      <w:bookmarkStart w:id="18" w:name="_Toc405835390"/>
      <w:bookmarkStart w:id="19" w:name="_Toc406329887"/>
      <w:bookmarkStart w:id="20" w:name="_Toc406329981"/>
      <w:bookmarkStart w:id="21" w:name="_Toc406770609"/>
      <w:bookmarkEnd w:id="10"/>
      <w:bookmarkEnd w:id="11"/>
      <w:bookmarkEnd w:id="12"/>
      <w:bookmarkEnd w:id="13"/>
      <w:bookmarkEnd w:id="14"/>
      <w:bookmarkEnd w:id="15"/>
      <w:bookmarkEnd w:id="16"/>
      <w:bookmarkEnd w:id="17"/>
      <w:bookmarkEnd w:id="18"/>
      <w:bookmarkEnd w:id="19"/>
      <w:bookmarkEnd w:id="20"/>
      <w:bookmarkEnd w:id="21"/>
    </w:p>
    <w:p w14:paraId="71F93996" w14:textId="77777777" w:rsidR="0059608E" w:rsidRPr="00D35B6C" w:rsidRDefault="0059608E" w:rsidP="0066689E">
      <w:pPr>
        <w:pStyle w:val="Heading1"/>
      </w:pPr>
      <w:bookmarkStart w:id="22" w:name="_Toc461457750"/>
      <w:bookmarkStart w:id="23" w:name="_Toc462651932"/>
      <w:r w:rsidRPr="00D35B6C">
        <w:lastRenderedPageBreak/>
        <w:t>INTRODUCTION</w:t>
      </w:r>
      <w:bookmarkEnd w:id="22"/>
      <w:bookmarkEnd w:id="23"/>
    </w:p>
    <w:p w14:paraId="01233462" w14:textId="77777777" w:rsidR="0059608E" w:rsidRDefault="0059608E" w:rsidP="006130D4">
      <w:pPr>
        <w:spacing w:line="360" w:lineRule="auto"/>
        <w:rPr>
          <w:lang w:val="en-AU"/>
        </w:rPr>
      </w:pPr>
      <w:r>
        <w:rPr>
          <w:lang w:val="en-AU"/>
        </w:rPr>
        <w:t>The World Heritage Great Barrier Reef Marine Park covers an area of 344,400 km</w:t>
      </w:r>
      <w:r>
        <w:rPr>
          <w:vertAlign w:val="superscript"/>
          <w:lang w:val="en-AU"/>
        </w:rPr>
        <w:t>2</w:t>
      </w:r>
      <w:r>
        <w:rPr>
          <w:lang w:val="en-AU"/>
        </w:rPr>
        <w:t xml:space="preserve"> and spans 2,300 km along the Queensland coast in Eastern Australia. The Reef is the largest living structure on Earth, and supports a rich and divers</w:t>
      </w:r>
      <w:r w:rsidR="00272C48">
        <w:rPr>
          <w:lang w:val="en-AU"/>
        </w:rPr>
        <w:t>e ecosystem of marine organisms</w:t>
      </w:r>
      <w:r>
        <w:rPr>
          <w:lang w:val="en-AU"/>
        </w:rPr>
        <w:t xml:space="preserve"> including many endangered species and is recognised as having outstanding universal value</w:t>
      </w:r>
      <w:r w:rsidR="006130D4">
        <w:rPr>
          <w:lang w:val="en-AU"/>
        </w:rPr>
        <w:t xml:space="preserve"> </w:t>
      </w:r>
      <w:r w:rsidR="006130D4">
        <w:rPr>
          <w:lang w:val="en-AU"/>
        </w:rPr>
        <w:fldChar w:fldCharType="begin"/>
      </w:r>
      <w:r w:rsidR="003211C1">
        <w:rPr>
          <w:lang w:val="en-AU"/>
        </w:rPr>
        <w:instrText xml:space="preserve"> ADDIN EN.CITE &lt;EndNote&gt;&lt;Cite&gt;&lt;Author&gt;GBRMPA&lt;/Author&gt;&lt;Year&gt;2014&lt;/Year&gt;&lt;RecNum&gt;284&lt;/RecNum&gt;&lt;DisplayText&gt;(GBRMPA, 2014)&lt;/DisplayText&gt;&lt;record&gt;&lt;rec-number&gt;284&lt;/rec-number&gt;&lt;foreign-keys&gt;&lt;key app="EN" db-id="0zzrztwe5p59skesdrqpsfeu2s0xt5zd5v9p" timestamp="1466319249"&gt;284&lt;/key&gt;&lt;/foreign-keys&gt;&lt;ref-type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6130D4">
        <w:rPr>
          <w:lang w:val="en-AU"/>
        </w:rPr>
        <w:fldChar w:fldCharType="separate"/>
      </w:r>
      <w:r w:rsidR="006130D4">
        <w:rPr>
          <w:noProof/>
          <w:lang w:val="en-AU"/>
        </w:rPr>
        <w:t>(GBRMPA, 2014)</w:t>
      </w:r>
      <w:r w:rsidR="006130D4">
        <w:rPr>
          <w:lang w:val="en-AU"/>
        </w:rPr>
        <w:fldChar w:fldCharType="end"/>
      </w:r>
      <w:r>
        <w:rPr>
          <w:lang w:val="en-AU"/>
        </w:rPr>
        <w:t xml:space="preserve">. High-level drivers such as climate change, as well as Reef-based activities such as coastal and industrial development, agriculture, </w:t>
      </w:r>
      <w:r w:rsidR="00FD1F73">
        <w:rPr>
          <w:lang w:val="en-AU"/>
        </w:rPr>
        <w:t>aquaculture</w:t>
      </w:r>
      <w:r>
        <w:rPr>
          <w:lang w:val="en-AU"/>
        </w:rPr>
        <w:t xml:space="preserve"> and shipping, </w:t>
      </w:r>
      <w:r w:rsidR="00272C48">
        <w:rPr>
          <w:lang w:val="en-AU"/>
        </w:rPr>
        <w:t xml:space="preserve">which all simultaneously </w:t>
      </w:r>
      <w:r>
        <w:rPr>
          <w:lang w:val="en-AU"/>
        </w:rPr>
        <w:t>occur at local</w:t>
      </w:r>
      <w:r w:rsidR="00272C48">
        <w:rPr>
          <w:lang w:val="en-AU"/>
        </w:rPr>
        <w:t xml:space="preserve"> to</w:t>
      </w:r>
      <w:r>
        <w:rPr>
          <w:lang w:val="en-AU"/>
        </w:rPr>
        <w:t xml:space="preserve"> reef-wide </w:t>
      </w:r>
      <w:r w:rsidR="00272C48">
        <w:rPr>
          <w:lang w:val="en-AU"/>
        </w:rPr>
        <w:t>scales</w:t>
      </w:r>
      <w:r>
        <w:rPr>
          <w:lang w:val="en-AU"/>
        </w:rPr>
        <w:t xml:space="preserve">, pose risks to the values of the Reef </w:t>
      </w:r>
      <w:r w:rsidR="006130D4">
        <w:rPr>
          <w:lang w:val="en-AU"/>
        </w:rPr>
        <w:fldChar w:fldCharType="begin"/>
      </w:r>
      <w:r w:rsidR="00D319F5">
        <w:rPr>
          <w:lang w:val="en-AU"/>
        </w:rPr>
        <w:instrText xml:space="preserve"> ADDIN EN.CITE &lt;EndNote&gt;&lt;Cite&gt;&lt;Author&gt;GBRMPA&lt;/Author&gt;&lt;Year&gt;2014&lt;/Year&gt;&lt;RecNum&gt;284&lt;/RecNum&gt;&lt;DisplayText&gt;(GBRMPA, 2014, GBRMPA, 2013a)&lt;/DisplayText&gt;&lt;record&gt;&lt;rec-number&gt;284&lt;/rec-number&gt;&lt;foreign-keys&gt;&lt;key app="EN" db-id="0zzrztwe5p59skesdrqpsfeu2s0xt5zd5v9p" timestamp="1466319249"&gt;284&lt;/key&gt;&lt;/foreign-keys&gt;&lt;ref-type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Townsville&lt;/pub-location&gt;&lt;urls&gt;&lt;/urls&gt;&lt;/record&gt;&lt;/Cite&gt;&lt;Cite&gt;&lt;Author&gt;GBRMPA&lt;/Author&gt;&lt;Year&gt;2013&lt;/Year&gt;&lt;RecNum&gt;297&lt;/RecNum&gt;&lt;record&gt;&lt;rec-number&gt;297&lt;/rec-number&gt;&lt;foreign-keys&gt;&lt;key app="EN" db-id="0zzrztwe5p59skesdrqpsfeu2s0xt5zd5v9p" timestamp="1466321939"&gt;297&lt;/key&gt;&lt;/foreign-keys&gt;&lt;ref-type name="Report"&gt;27&lt;/ref-type&gt;&lt;contributors&gt;&lt;authors&gt;&lt;author&gt;GBRMPA&lt;/author&gt;&lt;/authors&gt;&lt;/contributors&gt;&lt;titles&gt;&lt;title&gt;Great Barrier Reef Region Strategic Assessment: Strategic assessment report&lt;/title&gt;&lt;/titles&gt;&lt;dates&gt;&lt;year&gt;2013&lt;/year&gt;&lt;/dates&gt;&lt;pub-location&gt;Great Barrier Reef Marine Park Authority, Townsville&lt;/pub-location&gt;&lt;urls&gt;&lt;/urls&gt;&lt;/record&gt;&lt;/Cite&gt;&lt;/EndNote&gt;</w:instrText>
      </w:r>
      <w:r w:rsidR="006130D4">
        <w:rPr>
          <w:lang w:val="en-AU"/>
        </w:rPr>
        <w:fldChar w:fldCharType="separate"/>
      </w:r>
      <w:r w:rsidR="00D319F5">
        <w:rPr>
          <w:noProof/>
          <w:lang w:val="en-AU"/>
        </w:rPr>
        <w:t>(GBRMPA, 2014, GBRMPA, 2013a)</w:t>
      </w:r>
      <w:r w:rsidR="006130D4">
        <w:rPr>
          <w:lang w:val="en-AU"/>
        </w:rPr>
        <w:fldChar w:fldCharType="end"/>
      </w:r>
      <w:r w:rsidR="006130D4">
        <w:rPr>
          <w:lang w:val="en-AU"/>
        </w:rPr>
        <w:t>.</w:t>
      </w:r>
      <w:r>
        <w:rPr>
          <w:lang w:val="en-AU"/>
        </w:rPr>
        <w:t xml:space="preserve"> More than 40 past or present pressures (or impacts) resulting from the drivers and activities on the Reef have been identified, and </w:t>
      </w:r>
      <w:r w:rsidR="0099328C">
        <w:rPr>
          <w:lang w:val="en-AU"/>
        </w:rPr>
        <w:t xml:space="preserve">are </w:t>
      </w:r>
      <w:r>
        <w:rPr>
          <w:lang w:val="en-AU"/>
        </w:rPr>
        <w:t>broadly classified as related to climate change, catchment run-off, degradation of coastal ecosystems and direct use</w:t>
      </w:r>
      <w:r w:rsidR="00FD1F73">
        <w:rPr>
          <w:lang w:val="en-AU"/>
        </w:rPr>
        <w:t xml:space="preserve"> </w:t>
      </w:r>
      <w:r w:rsidR="00FD1F73">
        <w:rPr>
          <w:lang w:val="en-AU"/>
        </w:rPr>
        <w:fldChar w:fldCharType="begin"/>
      </w:r>
      <w:r w:rsidR="00FD1F73">
        <w:rPr>
          <w:lang w:val="en-AU"/>
        </w:rPr>
        <w:instrText xml:space="preserve"> ADDIN EN.CITE &lt;EndNote&gt;&lt;Cite&gt;&lt;Author&gt;GBRMPA&lt;/Author&gt;&lt;Year&gt;2014&lt;/Year&gt;&lt;RecNum&gt;284&lt;/RecNum&gt;&lt;DisplayText&gt;(GBRMPA, 2014)&lt;/DisplayText&gt;&lt;record&gt;&lt;rec-number&gt;284&lt;/rec-number&gt;&lt;foreign-keys&gt;&lt;key app="EN" db-id="0zzrztwe5p59skesdrqpsfeu2s0xt5zd5v9p" timestamp="1466319249"&gt;284&lt;/key&gt;&lt;/foreign-keys&gt;&lt;ref-type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FD1F73">
        <w:rPr>
          <w:lang w:val="en-AU"/>
        </w:rPr>
        <w:fldChar w:fldCharType="separate"/>
      </w:r>
      <w:r w:rsidR="00FD1F73">
        <w:rPr>
          <w:noProof/>
          <w:lang w:val="en-AU"/>
        </w:rPr>
        <w:t>(GBRMPA, 2014)</w:t>
      </w:r>
      <w:r w:rsidR="00FD1F73">
        <w:rPr>
          <w:lang w:val="en-AU"/>
        </w:rPr>
        <w:fldChar w:fldCharType="end"/>
      </w:r>
      <w:r>
        <w:rPr>
          <w:lang w:val="en-AU"/>
        </w:rPr>
        <w:t xml:space="preserve">. Specifically, the delivery of anthropogenic pollutants (sediments, nutrients, pesticides and other chemicals) resulting from activities such as sewerage, aquaculture, urban </w:t>
      </w:r>
      <w:r w:rsidR="00360637">
        <w:rPr>
          <w:lang w:val="en-AU"/>
        </w:rPr>
        <w:t xml:space="preserve">use </w:t>
      </w:r>
      <w:r>
        <w:rPr>
          <w:lang w:val="en-AU"/>
        </w:rPr>
        <w:t xml:space="preserve">and agriculture adjacent to the Reef are </w:t>
      </w:r>
      <w:r w:rsidR="0099328C">
        <w:rPr>
          <w:lang w:val="en-AU"/>
        </w:rPr>
        <w:t xml:space="preserve">deemed to have </w:t>
      </w:r>
      <w:r>
        <w:rPr>
          <w:lang w:val="en-AU"/>
        </w:rPr>
        <w:t xml:space="preserve">key impacts on the Reef’s ecological, economic, heritage and social values. </w:t>
      </w:r>
    </w:p>
    <w:p w14:paraId="3E9D394A" w14:textId="77777777" w:rsidR="0059608E" w:rsidRDefault="0059608E" w:rsidP="006130D4">
      <w:pPr>
        <w:spacing w:line="276" w:lineRule="auto"/>
        <w:rPr>
          <w:lang w:val="en-AU"/>
        </w:rPr>
      </w:pPr>
    </w:p>
    <w:p w14:paraId="30ABB3BC" w14:textId="3E4D1811" w:rsidR="0059608E" w:rsidRDefault="0059608E" w:rsidP="006130D4">
      <w:pPr>
        <w:spacing w:line="360" w:lineRule="auto"/>
        <w:rPr>
          <w:lang w:val="en-AU"/>
        </w:rPr>
      </w:pPr>
      <w:r>
        <w:rPr>
          <w:lang w:val="en-AU"/>
        </w:rPr>
        <w:t>The declining quality of water entering the Reef lagoon as run-off from activit</w:t>
      </w:r>
      <w:r w:rsidR="00FD1F73">
        <w:rPr>
          <w:lang w:val="en-AU"/>
        </w:rPr>
        <w:t>i</w:t>
      </w:r>
      <w:r>
        <w:rPr>
          <w:lang w:val="en-AU"/>
        </w:rPr>
        <w:t xml:space="preserve">es on adjacent catchments has been identified as a key pressure on its long-term health and resilience. In response to this poor water quality, </w:t>
      </w:r>
      <w:r w:rsidRPr="00E707D8">
        <w:rPr>
          <w:lang w:val="en-AU"/>
        </w:rPr>
        <w:t>the 2003</w:t>
      </w:r>
      <w:r>
        <w:rPr>
          <w:lang w:val="en-AU"/>
        </w:rPr>
        <w:t xml:space="preserve"> </w:t>
      </w:r>
      <w:r w:rsidRPr="00E707D8">
        <w:rPr>
          <w:lang w:val="en-AU"/>
        </w:rPr>
        <w:t xml:space="preserve">Reef Water Quality Protection Plan (RWQPP) (updated </w:t>
      </w:r>
      <w:r>
        <w:rPr>
          <w:lang w:val="en-AU"/>
        </w:rPr>
        <w:t xml:space="preserve">as Reef Plan </w:t>
      </w:r>
      <w:r w:rsidRPr="00E707D8">
        <w:rPr>
          <w:lang w:val="en-AU"/>
        </w:rPr>
        <w:t>in 2009 and 2013)</w:t>
      </w:r>
      <w:r w:rsidRPr="00814B46">
        <w:rPr>
          <w:lang w:val="en-AU"/>
        </w:rPr>
        <w:t xml:space="preserve"> </w:t>
      </w:r>
      <w:r w:rsidRPr="00E707D8">
        <w:rPr>
          <w:lang w:val="en-AU"/>
        </w:rPr>
        <w:t>was implemented</w:t>
      </w:r>
      <w:r>
        <w:rPr>
          <w:lang w:val="en-AU"/>
        </w:rPr>
        <w:t xml:space="preserve"> with the goal to ensure that </w:t>
      </w:r>
      <w:r w:rsidRPr="00493780">
        <w:rPr>
          <w:b/>
          <w:i/>
          <w:lang w:val="en-AU"/>
        </w:rPr>
        <w:t xml:space="preserve">by 2020 the quality of water entering the Reef </w:t>
      </w:r>
      <w:r>
        <w:rPr>
          <w:b/>
          <w:i/>
          <w:lang w:val="en-AU"/>
        </w:rPr>
        <w:t>from broadscale land</w:t>
      </w:r>
      <w:r w:rsidR="00E37E7E">
        <w:rPr>
          <w:b/>
          <w:i/>
          <w:lang w:val="en-AU"/>
        </w:rPr>
        <w:t xml:space="preserve"> </w:t>
      </w:r>
      <w:r>
        <w:rPr>
          <w:b/>
          <w:i/>
          <w:lang w:val="en-AU"/>
        </w:rPr>
        <w:t xml:space="preserve">use </w:t>
      </w:r>
      <w:r w:rsidRPr="00493780">
        <w:rPr>
          <w:b/>
          <w:i/>
          <w:lang w:val="en-AU"/>
        </w:rPr>
        <w:t>has no detrimental impact on the health and resilience of the GBR</w:t>
      </w:r>
      <w:r>
        <w:rPr>
          <w:lang w:val="en-AU"/>
        </w:rPr>
        <w:t xml:space="preserve"> </w:t>
      </w:r>
      <w:r w:rsidR="00DA1A1E">
        <w:rPr>
          <w:lang w:val="en-AU"/>
        </w:rPr>
        <w:fldChar w:fldCharType="begin"/>
      </w:r>
      <w:r w:rsidR="00DA1A1E">
        <w:rPr>
          <w:lang w:val="en-AU"/>
        </w:rPr>
        <w:instrText xml:space="preserve"> ADDIN EN.CITE &lt;EndNote&gt;&lt;Cite&gt;&lt;Author&gt;GBRMPA&lt;/Author&gt;&lt;Year&gt;2013&lt;/Year&gt;&lt;RecNum&gt;300&lt;/RecNum&gt;&lt;DisplayText&gt;(GBRMPA, 2013b)&lt;/DisplayText&gt;&lt;record&gt;&lt;rec-number&gt;300&lt;/rec-number&gt;&lt;foreign-keys&gt;&lt;key app="EN" db-id="0zzrztwe5p59skesdrqpsfeu2s0xt5zd5v9p" timestamp="1466324115"&gt;300&lt;/key&gt;&lt;/foreign-keys&gt;&lt;ref-type name="Report"&gt;27&lt;/ref-type&gt;&lt;contributors&gt;&lt;authors&gt;&lt;author&gt;GBRMPA&lt;/author&gt;&lt;/authors&gt;&lt;/contributors&gt;&lt;titles&gt;&lt;title&gt;Reef Water Quality Protection Plan 2013&lt;/title&gt;&lt;/titles&gt;&lt;dates&gt;&lt;year&gt;2013&lt;/year&gt;&lt;/dates&gt;&lt;pub-location&gt;Reef Water Quality Protection Plan Secretariat, July 2013. Great Barrier Reef Marine Park Authority, Townsville.&lt;/pub-location&gt;&lt;urls&gt;&lt;/urls&gt;&lt;/record&gt;&lt;/Cite&gt;&lt;/EndNote&gt;</w:instrText>
      </w:r>
      <w:r w:rsidR="00DA1A1E">
        <w:rPr>
          <w:lang w:val="en-AU"/>
        </w:rPr>
        <w:fldChar w:fldCharType="separate"/>
      </w:r>
      <w:r w:rsidR="00DA1A1E">
        <w:rPr>
          <w:noProof/>
          <w:lang w:val="en-AU"/>
        </w:rPr>
        <w:t>(GBRMPA, 2013b)</w:t>
      </w:r>
      <w:r w:rsidR="00DA1A1E">
        <w:rPr>
          <w:lang w:val="en-AU"/>
        </w:rPr>
        <w:fldChar w:fldCharType="end"/>
      </w:r>
      <w:r w:rsidRPr="00E707D8">
        <w:rPr>
          <w:lang w:val="en-AU"/>
        </w:rPr>
        <w:t>.</w:t>
      </w:r>
      <w:r w:rsidRPr="004117AB">
        <w:rPr>
          <w:lang w:val="en-AU"/>
        </w:rPr>
        <w:t xml:space="preserve"> </w:t>
      </w:r>
      <w:r>
        <w:rPr>
          <w:lang w:val="en-AU"/>
        </w:rPr>
        <w:t>A range of land</w:t>
      </w:r>
      <w:r w:rsidR="00E37E7E">
        <w:rPr>
          <w:lang w:val="en-AU"/>
        </w:rPr>
        <w:t xml:space="preserve"> </w:t>
      </w:r>
      <w:r>
        <w:rPr>
          <w:lang w:val="en-AU"/>
        </w:rPr>
        <w:t xml:space="preserve">uses occur within the Reef catchments with approximately 76 % of the land used for agricultural activities (including </w:t>
      </w:r>
      <w:r>
        <w:rPr>
          <w:rFonts w:cs="Arial"/>
          <w:lang w:val="en-AU"/>
        </w:rPr>
        <w:t xml:space="preserve">sugar cane, beef grazing, horticulture, cropping, pastures and cotton) </w:t>
      </w:r>
      <w:r w:rsidR="00862D10">
        <w:rPr>
          <w:rFonts w:cs="Arial"/>
          <w:lang w:val="en-AU"/>
        </w:rPr>
        <w:fldChar w:fldCharType="begin"/>
      </w:r>
      <w:r w:rsidR="00862D10">
        <w:rPr>
          <w:rFonts w:cs="Arial"/>
          <w:lang w:val="en-AU"/>
        </w:rPr>
        <w:instrText xml:space="preserve"> ADDIN EN.CITE &lt;EndNote&gt;&lt;Cite&gt;&lt;Author&gt;Smith&lt;/Author&gt;&lt;Year&gt;2012&lt;/Year&gt;&lt;RecNum&gt;323&lt;/RecNum&gt;&lt;DisplayText&gt;(Smith et al., 2012)&lt;/DisplayText&gt;&lt;record&gt;&lt;rec-number&gt;323&lt;/rec-number&gt;&lt;foreign-keys&gt;&lt;key app="EN" db-id="0zzrztwe5p59skesdrqpsfeu2s0xt5zd5v9p" timestamp="1466572075"&gt;323&lt;/key&gt;&lt;/foreign-keys&gt;&lt;ref-type name="Journal Article"&gt;17&lt;/ref-type&gt;&lt;contributors&gt;&lt;authors&gt;&lt;author&gt;Smith, Rachael&lt;/author&gt;&lt;author&gt;Middlebrook, Rachael&lt;/author&gt;&lt;author&gt;Turner, Ryan&lt;/author&gt;&lt;author&gt;Huggins, Rae&lt;/author&gt;&lt;author&gt;Vardy, Suzanne&lt;/author&gt;&lt;author&gt;Warne, Michael&lt;/author&gt;&lt;/authors&gt;&lt;/contributors&gt;&lt;titles&gt;&lt;title&gt;Large-scale pesticide monitoring across Great Barrier Reef catchments–paddock to reef integrated monitoring, modelling and reporting program&lt;/title&gt;&lt;secondary-title&gt;Marine pollution bulletin&lt;/secondary-title&gt;&lt;/titles&gt;&lt;periodical&gt;&lt;full-title&gt;Marine pollution bulletin&lt;/full-title&gt;&lt;/periodical&gt;&lt;pages&gt;117-127&lt;/pages&gt;&lt;volume&gt;65&lt;/volume&gt;&lt;number&gt;4&lt;/number&gt;&lt;dates&gt;&lt;year&gt;2012&lt;/year&gt;&lt;/dates&gt;&lt;isbn&gt;0025-326X&lt;/isbn&gt;&lt;urls&gt;&lt;/urls&gt;&lt;/record&gt;&lt;/Cite&gt;&lt;/EndNote&gt;</w:instrText>
      </w:r>
      <w:r w:rsidR="00862D10">
        <w:rPr>
          <w:rFonts w:cs="Arial"/>
          <w:lang w:val="en-AU"/>
        </w:rPr>
        <w:fldChar w:fldCharType="separate"/>
      </w:r>
      <w:r w:rsidR="00862D10">
        <w:rPr>
          <w:rFonts w:cs="Arial"/>
          <w:noProof/>
          <w:lang w:val="en-AU"/>
        </w:rPr>
        <w:t>(Smith et al., 2012)</w:t>
      </w:r>
      <w:r w:rsidR="00862D10">
        <w:rPr>
          <w:rFonts w:cs="Arial"/>
          <w:lang w:val="en-AU"/>
        </w:rPr>
        <w:fldChar w:fldCharType="end"/>
      </w:r>
      <w:r>
        <w:rPr>
          <w:rFonts w:cs="Arial"/>
          <w:lang w:val="en-AU"/>
        </w:rPr>
        <w:t xml:space="preserve">. </w:t>
      </w:r>
      <w:r>
        <w:rPr>
          <w:lang w:val="en-AU"/>
        </w:rPr>
        <w:t xml:space="preserve">Agricultural chemicals used in these adjacent catchments are introduced into the inshore waters of the Reef in river run-off primarily during the wet season, and often reside at elevated concentrations in the marine environment for extended periods of time </w:t>
      </w:r>
      <w:r w:rsidR="00862D10">
        <w:rPr>
          <w:lang w:val="en-AU"/>
        </w:rPr>
        <w:fldChar w:fldCharType="begin"/>
      </w:r>
      <w:r w:rsidR="00D319F5">
        <w:rPr>
          <w:lang w:val="en-AU"/>
        </w:rPr>
        <w:instrText xml:space="preserve"> ADDIN EN.CITE &lt;EndNote&gt;&lt;Cite&gt;&lt;Author&gt;Devlin&lt;/Author&gt;&lt;Year&gt;2009&lt;/Year&gt;&lt;RecNum&gt;288&lt;/RecNum&gt;&lt;DisplayText&gt;(Devlin and Schaffelke, 2009)&lt;/DisplayText&gt;&lt;record&gt;&lt;rec-number&gt;288&lt;/rec-number&gt;&lt;foreign-keys&gt;&lt;key app="EN" db-id="0zzrztwe5p59skesdrqpsfeu2s0xt5zd5v9p" timestamp="1466319952"&gt;288&lt;/key&gt;&lt;/foreign-keys&gt;&lt;ref-type name="Journal Article"&gt;17&lt;/ref-type&gt;&lt;contributors&gt;&lt;authors&gt;&lt;author&gt;Devlin, M&lt;/author&gt;&lt;author&gt;Schaffelke, B.&lt;/author&gt;&lt;/authors&gt;&lt;/contributors&gt;&lt;titles&gt;&lt;title&gt;Spatial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Research&lt;/full-title&gt;&lt;/periodical&gt;&lt;pages&gt;1109-1122&lt;/pages&gt;&lt;volume&gt;60&lt;/volume&gt;&lt;dates&gt;&lt;year&gt;2009&lt;/year&gt;&lt;/dates&gt;&lt;urls&gt;&lt;/urls&gt;&lt;/record&gt;&lt;/Cite&gt;&lt;/EndNote&gt;</w:instrText>
      </w:r>
      <w:r w:rsidR="00862D10">
        <w:rPr>
          <w:lang w:val="en-AU"/>
        </w:rPr>
        <w:fldChar w:fldCharType="separate"/>
      </w:r>
      <w:r w:rsidR="00D319F5">
        <w:rPr>
          <w:noProof/>
          <w:lang w:val="en-AU"/>
        </w:rPr>
        <w:t>(Devlin and Schaffelke, 2009)</w:t>
      </w:r>
      <w:r w:rsidR="00862D10">
        <w:rPr>
          <w:lang w:val="en-AU"/>
        </w:rPr>
        <w:fldChar w:fldCharType="end"/>
      </w:r>
      <w:r>
        <w:rPr>
          <w:lang w:val="en-AU"/>
        </w:rPr>
        <w:t xml:space="preserve">. Modelling of herbicides loads in 2013, suggests that at least 12,114 kg are now introduced into the Reef annually </w:t>
      </w:r>
      <w:r w:rsidR="001A2E6B">
        <w:rPr>
          <w:lang w:val="en-AU"/>
        </w:rPr>
        <w:fldChar w:fldCharType="begin"/>
      </w:r>
      <w:r w:rsidR="001A2E6B">
        <w:rPr>
          <w:lang w:val="en-AU"/>
        </w:rPr>
        <w:instrText xml:space="preserve"> ADDIN EN.CITE &lt;EndNote&gt;&lt;Cite&gt;&lt;Author&gt;Waters&lt;/Author&gt;&lt;Year&gt;2014&lt;/Year&gt;&lt;RecNum&gt;324&lt;/RecNum&gt;&lt;DisplayText&gt;(Waters et al., 2014)&lt;/DisplayText&gt;&lt;record&gt;&lt;rec-number&gt;324&lt;/rec-number&gt;&lt;foreign-keys&gt;&lt;key app="EN" db-id="0zzrztwe5p59skesdrqpsfeu2s0xt5zd5v9p" timestamp="1466572240"&gt;324&lt;/key&gt;&lt;/foreign-keys&gt;&lt;ref-type name="Report"&gt;27&lt;/ref-type&gt;&lt;contributors&gt;&lt;authors&gt;&lt;author&gt;Waters, D.K.&lt;/author&gt;&lt;author&gt;Carroll, C.&lt;/author&gt;&lt;author&gt;Ellis, R.&lt;/author&gt;&lt;author&gt;Hateley, L.&lt;/author&gt;&lt;author&gt;McCloskey, J.&lt;/author&gt;&lt;author&gt;Packett, R.&lt;/author&gt;&lt;author&gt;Dougall, C.&lt;/author&gt;&lt;author&gt;Fentie, B.&lt;/author&gt;&lt;/authors&gt;&lt;/contributors&gt;&lt;titles&gt;&lt;title&gt;Modelling reductions of pollutant loads due to improved management practices in the Great Barrier Reef catchments: Whole GBR, Volume 1&lt;/title&gt;&lt;/titles&gt;&lt;dates&gt;&lt;year&gt;2014&lt;/year&gt;&lt;/dates&gt;&lt;pub-location&gt;Department of Natural Resources and Mines, Brisbane&lt;/pub-location&gt;&lt;urls&gt;&lt;/urls&gt;&lt;/record&gt;&lt;/Cite&gt;&lt;/EndNote&gt;</w:instrText>
      </w:r>
      <w:r w:rsidR="001A2E6B">
        <w:rPr>
          <w:lang w:val="en-AU"/>
        </w:rPr>
        <w:fldChar w:fldCharType="separate"/>
      </w:r>
      <w:r w:rsidR="001A2E6B">
        <w:rPr>
          <w:noProof/>
          <w:lang w:val="en-AU"/>
        </w:rPr>
        <w:t>(Waters et al., 2014)</w:t>
      </w:r>
      <w:r w:rsidR="001A2E6B">
        <w:rPr>
          <w:lang w:val="en-AU"/>
        </w:rPr>
        <w:fldChar w:fldCharType="end"/>
      </w:r>
      <w:r>
        <w:rPr>
          <w:lang w:val="en-AU"/>
        </w:rPr>
        <w:t xml:space="preserve">. The detection of pesticides in the rivers, streams and </w:t>
      </w:r>
      <w:r w:rsidR="00325C57">
        <w:rPr>
          <w:lang w:val="en-AU"/>
        </w:rPr>
        <w:t>estuaries</w:t>
      </w:r>
      <w:r>
        <w:rPr>
          <w:lang w:val="en-AU"/>
        </w:rPr>
        <w:t xml:space="preserve"> that drain into the </w:t>
      </w:r>
      <w:r w:rsidR="00D82C82">
        <w:rPr>
          <w:lang w:val="en-AU"/>
        </w:rPr>
        <w:t xml:space="preserve">Reef </w:t>
      </w:r>
      <w:r>
        <w:rPr>
          <w:lang w:val="en-AU"/>
        </w:rPr>
        <w:t xml:space="preserve">marine environment has been widespread and in some cases elevated above guideline levels in catchments </w:t>
      </w:r>
      <w:r w:rsidR="00D82C82">
        <w:rPr>
          <w:lang w:val="en-AU"/>
        </w:rPr>
        <w:t>adjacent to</w:t>
      </w:r>
      <w:r>
        <w:rPr>
          <w:lang w:val="en-AU"/>
        </w:rPr>
        <w:t xml:space="preserve"> intensive agricultural activity </w:t>
      </w:r>
      <w:r w:rsidR="0072558F">
        <w:rPr>
          <w:lang w:val="en-AU"/>
        </w:rPr>
        <w:fldChar w:fldCharType="begin"/>
      </w:r>
      <w:r w:rsidR="00D319F5">
        <w:rPr>
          <w:lang w:val="en-AU"/>
        </w:rPr>
        <w:instrText xml:space="preserve"> ADDIN EN.CITE &lt;EndNote&gt;&lt;Cite&gt;&lt;Author&gt;O’Brien&lt;/Author&gt;&lt;Year&gt;2016&lt;/Year&gt;&lt;RecNum&gt;325&lt;/RecNum&gt;&lt;DisplayText&gt;(O’Brien et al., 2016, DSITI, 2015)&lt;/DisplayText&gt;&lt;record&gt;&lt;rec-number&gt;325&lt;/rec-number&gt;&lt;foreign-keys&gt;&lt;key app="EN" db-id="0zzrztwe5p59skesdrqpsfeu2s0xt5zd5v9p" timestamp="1466572695"&gt;325&lt;/key&gt;&lt;/foreign-keys&gt;&lt;ref-type name="Journal Article"&gt;17&lt;/ref-type&gt;&lt;contributors&gt;&lt;authors&gt;&lt;author&gt;O’Brien, Dominique&lt;/author&gt;&lt;author&gt;Lewis, Stephen&lt;/author&gt;&lt;author&gt;Davis, Aaron&lt;/author&gt;&lt;author&gt;Gallen, Christie&lt;/author&gt;&lt;author&gt;Smith, Rachael&lt;/author&gt;&lt;author&gt;Turner, Ryan&lt;/author&gt;&lt;author&gt;Warne, Michael&lt;/author&gt;&lt;author&gt;Turner, Scott&lt;/author&gt;&lt;author&gt;Caswell, Stewart&lt;/author&gt;&lt;author&gt;Mueller, Jochen F&lt;/author&gt;&lt;/authors&gt;&lt;/contributors&gt;&lt;titles&gt;&lt;title&gt;Spatial and temporal variability in pesticide exposure downstream of a heavily irrigated cropping area: application of different monitoring techniques&lt;/title&gt;&lt;secondary-title&gt;Journal of agricultural and food chemistry&lt;/secondary-title&gt;&lt;/titles&gt;&lt;periodical&gt;&lt;full-title&gt;Journal of Agricultural and Food Chemistry&lt;/full-title&gt;&lt;/periodical&gt;&lt;pages&gt;3975-3989&lt;/pages&gt;&lt;volume&gt;64&lt;/volume&gt;&lt;number&gt;20&lt;/number&gt;&lt;dates&gt;&lt;year&gt;2016&lt;/year&gt;&lt;/dates&gt;&lt;isbn&gt;0021-8561&lt;/isbn&gt;&lt;urls&gt;&lt;/urls&gt;&lt;/record&gt;&lt;/Cite&gt;&lt;Cite&gt;&lt;Author&gt;DSITI&lt;/Author&gt;&lt;Year&gt;2015&lt;/Year&gt;&lt;RecNum&gt;326&lt;/RecNum&gt;&lt;record&gt;&lt;rec-number&gt;326&lt;/rec-number&gt;&lt;foreign-keys&gt;&lt;key app="EN" db-id="0zzrztwe5p59skesdrqpsfeu2s0xt5zd5v9p" timestamp="1466572898"&gt;326&lt;/key&gt;&lt;/foreign-keys&gt;&lt;ref-type name="Report"&gt;27&lt;/ref-type&gt;&lt;contributors&gt;&lt;authors&gt;&lt;author&gt;DSITI&lt;/author&gt;&lt;/authors&gt;&lt;/contributors&gt;&lt;titles&gt;&lt;title&gt;Notification of Reported Exceedances of Pesticide Water Quality Guidelines in 2015–16 No.7&lt;/title&gt;&lt;/titles&gt;&lt;dates&gt;&lt;year&gt;2015&lt;/year&gt;&lt;/dates&gt;&lt;pub-location&gt;Deparment of Science, Information Technology and Innovation, Brisbane&lt;/pub-location&gt;&lt;urls&gt;&lt;/urls&gt;&lt;/record&gt;&lt;/Cite&gt;&lt;/EndNote&gt;</w:instrText>
      </w:r>
      <w:r w:rsidR="0072558F">
        <w:rPr>
          <w:lang w:val="en-AU"/>
        </w:rPr>
        <w:fldChar w:fldCharType="separate"/>
      </w:r>
      <w:r w:rsidR="00D319F5">
        <w:rPr>
          <w:noProof/>
          <w:lang w:val="en-AU"/>
        </w:rPr>
        <w:t>(O’Brien et al., 2016, DSITI, 2015)</w:t>
      </w:r>
      <w:r w:rsidR="0072558F">
        <w:rPr>
          <w:lang w:val="en-AU"/>
        </w:rPr>
        <w:fldChar w:fldCharType="end"/>
      </w:r>
      <w:r>
        <w:rPr>
          <w:lang w:val="en-AU"/>
        </w:rPr>
        <w:t xml:space="preserve">. Overall concentrations of pesticides in the marine environment </w:t>
      </w:r>
      <w:r w:rsidR="00CE0587">
        <w:rPr>
          <w:lang w:val="en-AU"/>
        </w:rPr>
        <w:t xml:space="preserve">compared to rivers </w:t>
      </w:r>
      <w:r>
        <w:rPr>
          <w:lang w:val="en-AU"/>
        </w:rPr>
        <w:t>are generally low</w:t>
      </w:r>
      <w:r w:rsidR="00B62C31">
        <w:rPr>
          <w:lang w:val="en-AU"/>
        </w:rPr>
        <w:t xml:space="preserve"> </w:t>
      </w:r>
      <w:r w:rsidR="00B62C31">
        <w:rPr>
          <w:lang w:val="en-AU"/>
        </w:rPr>
        <w:fldChar w:fldCharType="begin"/>
      </w:r>
      <w:r w:rsidR="00B62C31">
        <w:rPr>
          <w:lang w:val="en-AU"/>
        </w:rPr>
        <w:instrText xml:space="preserve"> ADDIN EN.CITE &lt;EndNote&gt;&lt;Cite&gt;&lt;Author&gt;Devlin&lt;/Author&gt;&lt;Year&gt;2015&lt;/Year&gt;&lt;RecNum&gt;341&lt;/RecNum&gt;&lt;DisplayText&gt;(Devlin et al., 2015)&lt;/DisplayText&gt;&lt;record&gt;&lt;rec-number&gt;341&lt;/rec-number&gt;&lt;foreign-keys&gt;&lt;key app="EN" db-id="0zzrztwe5p59skesdrqpsfeu2s0xt5zd5v9p" timestamp="1466642838"&gt;341&lt;/key&gt;&lt;/foreign-keys&gt;&lt;ref-type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B62C31">
        <w:rPr>
          <w:lang w:val="en-AU"/>
        </w:rPr>
        <w:fldChar w:fldCharType="separate"/>
      </w:r>
      <w:r w:rsidR="00B62C31">
        <w:rPr>
          <w:noProof/>
          <w:lang w:val="en-AU"/>
        </w:rPr>
        <w:t>(Devlin et al., 2015)</w:t>
      </w:r>
      <w:r w:rsidR="00B62C31">
        <w:rPr>
          <w:lang w:val="en-AU"/>
        </w:rPr>
        <w:fldChar w:fldCharType="end"/>
      </w:r>
      <w:r>
        <w:rPr>
          <w:lang w:val="en-AU"/>
        </w:rPr>
        <w:t xml:space="preserve">, although the chronic effects of low level pesticide exposure to corals and seagrass </w:t>
      </w:r>
      <w:r w:rsidR="004B3227">
        <w:rPr>
          <w:lang w:val="en-AU"/>
        </w:rPr>
        <w:t xml:space="preserve">in combination with other local and global stressors </w:t>
      </w:r>
      <w:r>
        <w:rPr>
          <w:lang w:val="en-AU"/>
        </w:rPr>
        <w:t xml:space="preserve">are still not well understood </w:t>
      </w:r>
      <w:r w:rsidR="00256759">
        <w:rPr>
          <w:lang w:val="en-AU"/>
        </w:rPr>
        <w:t>on the Reef</w:t>
      </w:r>
      <w:r>
        <w:rPr>
          <w:lang w:val="en-AU"/>
        </w:rPr>
        <w:t xml:space="preserve">. </w:t>
      </w:r>
      <w:r w:rsidRPr="003579BB">
        <w:rPr>
          <w:lang w:val="en-AU"/>
        </w:rPr>
        <w:t xml:space="preserve">Under </w:t>
      </w:r>
      <w:r>
        <w:rPr>
          <w:lang w:val="en-AU"/>
        </w:rPr>
        <w:t>Reef Plan</w:t>
      </w:r>
      <w:r w:rsidRPr="003579BB">
        <w:rPr>
          <w:lang w:val="en-AU"/>
        </w:rPr>
        <w:t xml:space="preserve">, governments are working with farmers and graziers to halt and reverse the decline in the quality of water </w:t>
      </w:r>
      <w:r>
        <w:rPr>
          <w:lang w:val="en-AU"/>
        </w:rPr>
        <w:t xml:space="preserve">entering </w:t>
      </w:r>
      <w:r w:rsidRPr="003579BB">
        <w:rPr>
          <w:lang w:val="en-AU"/>
        </w:rPr>
        <w:t xml:space="preserve">the </w:t>
      </w:r>
      <w:r>
        <w:rPr>
          <w:lang w:val="en-AU"/>
        </w:rPr>
        <w:t xml:space="preserve">Reef, </w:t>
      </w:r>
      <w:r w:rsidRPr="003579BB">
        <w:rPr>
          <w:lang w:val="en-AU"/>
        </w:rPr>
        <w:t xml:space="preserve">by </w:t>
      </w:r>
      <w:r>
        <w:rPr>
          <w:lang w:val="en-AU"/>
        </w:rPr>
        <w:t xml:space="preserve">setting specific </w:t>
      </w:r>
      <w:r w:rsidRPr="003579BB">
        <w:rPr>
          <w:lang w:val="en-AU"/>
        </w:rPr>
        <w:t xml:space="preserve">land </w:t>
      </w:r>
      <w:r>
        <w:rPr>
          <w:lang w:val="en-AU"/>
        </w:rPr>
        <w:t xml:space="preserve">and catchment </w:t>
      </w:r>
      <w:r w:rsidRPr="003579BB">
        <w:rPr>
          <w:lang w:val="en-AU"/>
        </w:rPr>
        <w:t xml:space="preserve">management </w:t>
      </w:r>
      <w:r>
        <w:rPr>
          <w:lang w:val="en-AU"/>
        </w:rPr>
        <w:t>targets as well as</w:t>
      </w:r>
      <w:r w:rsidRPr="00E707D8">
        <w:rPr>
          <w:lang w:val="en-AU"/>
        </w:rPr>
        <w:t xml:space="preserve"> water quality targets </w:t>
      </w:r>
      <w:r>
        <w:rPr>
          <w:lang w:val="en-AU"/>
        </w:rPr>
        <w:t>by 2018</w:t>
      </w:r>
      <w:r w:rsidR="00C36509">
        <w:rPr>
          <w:lang w:val="en-AU"/>
        </w:rPr>
        <w:t>,</w:t>
      </w:r>
      <w:r>
        <w:rPr>
          <w:lang w:val="en-AU"/>
        </w:rPr>
        <w:t xml:space="preserve"> including</w:t>
      </w:r>
      <w:r w:rsidRPr="00E707D8">
        <w:rPr>
          <w:lang w:val="en-AU"/>
        </w:rPr>
        <w:t xml:space="preserve"> a minimum reduction in end-of-catchment pesticide</w:t>
      </w:r>
      <w:r>
        <w:rPr>
          <w:lang w:val="en-AU"/>
        </w:rPr>
        <w:t xml:space="preserve"> (herbicide)</w:t>
      </w:r>
      <w:r w:rsidRPr="00E707D8">
        <w:rPr>
          <w:lang w:val="en-AU"/>
        </w:rPr>
        <w:t xml:space="preserve"> loads of 60 % </w:t>
      </w:r>
      <w:r w:rsidR="00D82C82">
        <w:rPr>
          <w:lang w:val="en-AU"/>
        </w:rPr>
        <w:fldChar w:fldCharType="begin"/>
      </w:r>
      <w:r w:rsidR="00D82C82">
        <w:rPr>
          <w:lang w:val="en-AU"/>
        </w:rPr>
        <w:instrText xml:space="preserve"> ADDIN EN.CITE &lt;EndNote&gt;&lt;Cite&gt;&lt;Author&gt;GBRMPA&lt;/Author&gt;&lt;Year&gt;2013&lt;/Year&gt;&lt;RecNum&gt;300&lt;/RecNum&gt;&lt;DisplayText&gt;(GBRMPA, 2013b)&lt;/DisplayText&gt;&lt;record&gt;&lt;rec-number&gt;300&lt;/rec-number&gt;&lt;foreign-keys&gt;&lt;key app="EN" db-id="0zzrztwe5p59skesdrqpsfeu2s0xt5zd5v9p" timestamp="1466324115"&gt;300&lt;/key&gt;&lt;/foreign-keys&gt;&lt;ref-type name="Report"&gt;27&lt;/ref-type&gt;&lt;contributors&gt;&lt;authors&gt;&lt;author&gt;GBRMPA&lt;/author&gt;&lt;/authors&gt;&lt;/contributors&gt;&lt;titles&gt;&lt;title&gt;Reef Water Quality Protection Plan 2013&lt;/title&gt;&lt;/titles&gt;&lt;dates&gt;&lt;year&gt;2013&lt;/year&gt;&lt;/dates&gt;&lt;pub-location&gt;Reef Water Quality Protection Plan Secretariat, July 2013. Great Barrier Reef Marine Park Authority, Townsville.&lt;/pub-location&gt;&lt;urls&gt;&lt;/urls&gt;&lt;/record&gt;&lt;/Cite&gt;&lt;/EndNote&gt;</w:instrText>
      </w:r>
      <w:r w:rsidR="00D82C82">
        <w:rPr>
          <w:lang w:val="en-AU"/>
        </w:rPr>
        <w:fldChar w:fldCharType="separate"/>
      </w:r>
      <w:r w:rsidR="00D82C82">
        <w:rPr>
          <w:noProof/>
          <w:lang w:val="en-AU"/>
        </w:rPr>
        <w:t>(GBRMPA, 2013b)</w:t>
      </w:r>
      <w:r w:rsidR="00D82C82">
        <w:rPr>
          <w:lang w:val="en-AU"/>
        </w:rPr>
        <w:fldChar w:fldCharType="end"/>
      </w:r>
      <w:r w:rsidRPr="00E707D8">
        <w:rPr>
          <w:lang w:val="en-AU"/>
        </w:rPr>
        <w:t>.</w:t>
      </w:r>
    </w:p>
    <w:p w14:paraId="461B0F29" w14:textId="77777777" w:rsidR="0059608E" w:rsidRDefault="0059608E" w:rsidP="006130D4">
      <w:pPr>
        <w:spacing w:line="360" w:lineRule="auto"/>
        <w:rPr>
          <w:lang w:val="en-AU"/>
        </w:rPr>
      </w:pPr>
    </w:p>
    <w:p w14:paraId="172165E6" w14:textId="06377ACB" w:rsidR="0059608E" w:rsidRDefault="0059608E" w:rsidP="006130D4">
      <w:pPr>
        <w:spacing w:line="360" w:lineRule="auto"/>
        <w:rPr>
          <w:lang w:val="en-AU"/>
        </w:rPr>
      </w:pPr>
      <w:r>
        <w:rPr>
          <w:lang w:val="en-AU"/>
        </w:rPr>
        <w:lastRenderedPageBreak/>
        <w:t>The MMP</w:t>
      </w:r>
      <w:r w:rsidRPr="003A34F4">
        <w:t xml:space="preserve"> </w:t>
      </w:r>
      <w:r w:rsidRPr="003A34F4">
        <w:rPr>
          <w:lang w:val="en-AU"/>
        </w:rPr>
        <w:t xml:space="preserve">covers the </w:t>
      </w:r>
      <w:r>
        <w:rPr>
          <w:lang w:val="en-AU"/>
        </w:rPr>
        <w:t>Reef</w:t>
      </w:r>
      <w:r w:rsidRPr="003A34F4">
        <w:rPr>
          <w:lang w:val="en-AU"/>
        </w:rPr>
        <w:t xml:space="preserve"> inshore environment and </w:t>
      </w:r>
      <w:r>
        <w:rPr>
          <w:lang w:val="en-AU"/>
        </w:rPr>
        <w:t xml:space="preserve">is a collaborative effort </w:t>
      </w:r>
      <w:r w:rsidR="00C36509">
        <w:rPr>
          <w:lang w:val="en-AU"/>
        </w:rPr>
        <w:t xml:space="preserve">between the Australian Government and </w:t>
      </w:r>
      <w:r>
        <w:rPr>
          <w:lang w:val="en-AU"/>
        </w:rPr>
        <w:t xml:space="preserve">several researchers to assess the </w:t>
      </w:r>
      <w:r w:rsidRPr="003A34F4">
        <w:rPr>
          <w:lang w:val="en-AU"/>
        </w:rPr>
        <w:t>long-term changes</w:t>
      </w:r>
      <w:r>
        <w:rPr>
          <w:lang w:val="en-AU"/>
        </w:rPr>
        <w:t xml:space="preserve"> (trends)</w:t>
      </w:r>
      <w:r w:rsidRPr="003A34F4">
        <w:rPr>
          <w:lang w:val="en-AU"/>
        </w:rPr>
        <w:t xml:space="preserve"> in the condition of inshore water quality, </w:t>
      </w:r>
      <w:r>
        <w:rPr>
          <w:lang w:val="en-AU"/>
        </w:rPr>
        <w:t xml:space="preserve">with the </w:t>
      </w:r>
      <w:r w:rsidRPr="00302DC5">
        <w:rPr>
          <w:lang w:val="en-AU"/>
        </w:rPr>
        <w:t>aim to link this to changes in the health</w:t>
      </w:r>
      <w:r>
        <w:rPr>
          <w:lang w:val="en-AU"/>
        </w:rPr>
        <w:t xml:space="preserve"> </w:t>
      </w:r>
      <w:r w:rsidRPr="00302DC5">
        <w:rPr>
          <w:lang w:val="en-AU"/>
        </w:rPr>
        <w:t>of key inshore environments (coral reefs and seagrass).</w:t>
      </w:r>
      <w:r w:rsidRPr="003A34F4">
        <w:rPr>
          <w:lang w:val="en-AU"/>
        </w:rPr>
        <w:t xml:space="preserve"> </w:t>
      </w:r>
      <w:r>
        <w:rPr>
          <w:lang w:val="en-AU"/>
        </w:rPr>
        <w:t xml:space="preserve"> I</w:t>
      </w:r>
      <w:r w:rsidRPr="003579BB">
        <w:rPr>
          <w:lang w:val="en-AU"/>
        </w:rPr>
        <w:t>nformation from the M</w:t>
      </w:r>
      <w:r>
        <w:rPr>
          <w:lang w:val="en-AU"/>
        </w:rPr>
        <w:t>M</w:t>
      </w:r>
      <w:r w:rsidRPr="003579BB">
        <w:rPr>
          <w:lang w:val="en-AU"/>
        </w:rPr>
        <w:t>P</w:t>
      </w:r>
      <w:r>
        <w:rPr>
          <w:lang w:val="en-AU"/>
        </w:rPr>
        <w:t xml:space="preserve"> i</w:t>
      </w:r>
      <w:r w:rsidRPr="003579BB">
        <w:rPr>
          <w:lang w:val="en-AU"/>
        </w:rPr>
        <w:t>s combined with data collected at the paddock and catchment level t</w:t>
      </w:r>
      <w:r>
        <w:rPr>
          <w:lang w:val="en-AU"/>
        </w:rPr>
        <w:t>o produce an annual report card</w:t>
      </w:r>
      <w:r w:rsidRPr="00870E17">
        <w:t xml:space="preserve"> </w:t>
      </w:r>
      <w:r>
        <w:rPr>
          <w:lang w:val="en-AU"/>
        </w:rPr>
        <w:t>(</w:t>
      </w:r>
      <w:r w:rsidRPr="00870E17">
        <w:rPr>
          <w:lang w:val="en-AU"/>
        </w:rPr>
        <w:t>produced through the Paddock to Reef Program</w:t>
      </w:r>
      <w:r>
        <w:rPr>
          <w:lang w:val="en-AU"/>
        </w:rPr>
        <w:t>) that</w:t>
      </w:r>
      <w:r w:rsidRPr="003579BB">
        <w:rPr>
          <w:lang w:val="en-AU"/>
        </w:rPr>
        <w:t xml:space="preserve"> summarises the health of the Reef and its catchments, </w:t>
      </w:r>
      <w:r>
        <w:rPr>
          <w:lang w:val="en-AU"/>
        </w:rPr>
        <w:t xml:space="preserve">reports </w:t>
      </w:r>
      <w:r w:rsidRPr="003579BB">
        <w:rPr>
          <w:lang w:val="en-AU"/>
        </w:rPr>
        <w:t>actions being taken to reduce the loads of pollutants, and assesses progress towards Reef Plan’s long-term goa</w:t>
      </w:r>
      <w:r>
        <w:rPr>
          <w:lang w:val="en-AU"/>
        </w:rPr>
        <w:t xml:space="preserve">l by </w:t>
      </w:r>
      <w:r w:rsidRPr="003579BB">
        <w:rPr>
          <w:lang w:val="en-AU"/>
        </w:rPr>
        <w:t>2020</w:t>
      </w:r>
      <w:r>
        <w:rPr>
          <w:lang w:val="en-AU"/>
        </w:rPr>
        <w:t>.</w:t>
      </w:r>
    </w:p>
    <w:p w14:paraId="774EDF66" w14:textId="77777777" w:rsidR="0059608E" w:rsidRDefault="0059608E" w:rsidP="006130D4">
      <w:pPr>
        <w:spacing w:line="360" w:lineRule="auto"/>
        <w:rPr>
          <w:lang w:val="en-AU"/>
        </w:rPr>
      </w:pPr>
    </w:p>
    <w:p w14:paraId="27DD4AC3" w14:textId="77777777" w:rsidR="0059608E" w:rsidRDefault="0059608E" w:rsidP="006130D4">
      <w:pPr>
        <w:spacing w:line="360" w:lineRule="auto"/>
        <w:rPr>
          <w:lang w:val="en-AU"/>
        </w:rPr>
      </w:pPr>
      <w:r>
        <w:rPr>
          <w:lang w:val="en-AU"/>
        </w:rPr>
        <w:t>The objectives of the</w:t>
      </w:r>
      <w:r w:rsidRPr="00CA13BA">
        <w:rPr>
          <w:lang w:val="en-AU"/>
        </w:rPr>
        <w:t xml:space="preserve"> </w:t>
      </w:r>
      <w:r>
        <w:rPr>
          <w:lang w:val="en-AU"/>
        </w:rPr>
        <w:t>pesticide monitoring component of the MMP are to</w:t>
      </w:r>
    </w:p>
    <w:p w14:paraId="6F89D44F" w14:textId="77777777" w:rsidR="0059608E" w:rsidRPr="00287D44" w:rsidRDefault="0059608E" w:rsidP="0059608E">
      <w:pPr>
        <w:pStyle w:val="ListParagraph"/>
        <w:numPr>
          <w:ilvl w:val="0"/>
          <w:numId w:val="46"/>
        </w:numPr>
        <w:spacing w:line="360" w:lineRule="auto"/>
        <w:rPr>
          <w:lang w:val="en-AU"/>
        </w:rPr>
      </w:pPr>
      <w:r w:rsidRPr="00287D44">
        <w:rPr>
          <w:lang w:val="en-AU"/>
        </w:rPr>
        <w:t xml:space="preserve">Monitor and assess trends in inshore concentrations of pesticides against the Water Quality Guidelines for the </w:t>
      </w:r>
      <w:r>
        <w:rPr>
          <w:lang w:val="en-AU"/>
        </w:rPr>
        <w:t>Marine Park and</w:t>
      </w:r>
    </w:p>
    <w:p w14:paraId="15A2C0C1" w14:textId="77777777" w:rsidR="0059608E" w:rsidRPr="00287D44" w:rsidRDefault="0059608E" w:rsidP="0059608E">
      <w:pPr>
        <w:pStyle w:val="ListParagraph"/>
        <w:numPr>
          <w:ilvl w:val="0"/>
          <w:numId w:val="46"/>
        </w:numPr>
        <w:spacing w:line="360" w:lineRule="auto"/>
        <w:rPr>
          <w:lang w:val="en-AU"/>
        </w:rPr>
      </w:pPr>
      <w:r w:rsidRPr="00287D44">
        <w:rPr>
          <w:lang w:val="en-AU"/>
        </w:rPr>
        <w:t>Link inshore concentrations of pesticides and their end-of-catchment loads.</w:t>
      </w:r>
    </w:p>
    <w:p w14:paraId="1FC96EE0" w14:textId="77777777" w:rsidR="0059608E" w:rsidRDefault="0059608E" w:rsidP="006130D4">
      <w:pPr>
        <w:pStyle w:val="ListParagraph"/>
        <w:spacing w:line="360" w:lineRule="auto"/>
        <w:rPr>
          <w:lang w:val="en-AU"/>
        </w:rPr>
      </w:pPr>
    </w:p>
    <w:p w14:paraId="0DAF5B26" w14:textId="1767632C" w:rsidR="0059608E" w:rsidRPr="00091FD4" w:rsidRDefault="0059608E" w:rsidP="006130D4">
      <w:pPr>
        <w:spacing w:line="360" w:lineRule="auto"/>
        <w:rPr>
          <w:lang w:val="en-AU"/>
        </w:rPr>
      </w:pPr>
      <w:r>
        <w:rPr>
          <w:lang w:val="en-AU"/>
        </w:rPr>
        <w:t xml:space="preserve">Monitoring activities occur at sites across four </w:t>
      </w:r>
      <w:r w:rsidRPr="005555DE">
        <w:rPr>
          <w:lang w:val="en-AU"/>
        </w:rPr>
        <w:t>Natural Resource Management (NRM) regions – the Wet Tropics, Burdekin, Mackay Whitsunday and Fitzroy.</w:t>
      </w:r>
      <w:r>
        <w:rPr>
          <w:lang w:val="en-AU"/>
        </w:rPr>
        <w:t xml:space="preserve"> Long-term spatial and temporal trends in pesticide concentrations are assessed through the use of passive samplers deployed at fixed sites which provide a time-weighted estimate of pesticide concentration</w:t>
      </w:r>
      <w:r w:rsidR="00210DB6">
        <w:rPr>
          <w:lang w:val="en-AU"/>
        </w:rPr>
        <w:t>s</w:t>
      </w:r>
      <w:r>
        <w:rPr>
          <w:lang w:val="en-AU"/>
        </w:rPr>
        <w:t xml:space="preserve"> over a given deployment period. In 2014-2015, passive samplers were deployed at fifteen sites, ten of which had largely continuous </w:t>
      </w:r>
      <w:r w:rsidRPr="00A34576">
        <w:rPr>
          <w:lang w:val="en-AU"/>
        </w:rPr>
        <w:t xml:space="preserve">monitoring </w:t>
      </w:r>
      <w:r>
        <w:rPr>
          <w:lang w:val="en-AU"/>
        </w:rPr>
        <w:t>occurring</w:t>
      </w:r>
      <w:r w:rsidRPr="00A34576">
        <w:rPr>
          <w:lang w:val="en-AU"/>
        </w:rPr>
        <w:t xml:space="preserve"> for between </w:t>
      </w:r>
      <w:r>
        <w:rPr>
          <w:lang w:val="en-AU"/>
        </w:rPr>
        <w:t>six</w:t>
      </w:r>
      <w:r w:rsidRPr="00A34576">
        <w:rPr>
          <w:lang w:val="en-AU"/>
        </w:rPr>
        <w:t xml:space="preserve"> to </w:t>
      </w:r>
      <w:r>
        <w:rPr>
          <w:lang w:val="en-AU"/>
        </w:rPr>
        <w:t>ten</w:t>
      </w:r>
      <w:r w:rsidRPr="00A34576">
        <w:rPr>
          <w:lang w:val="en-AU"/>
        </w:rPr>
        <w:t xml:space="preserve"> years. </w:t>
      </w:r>
      <w:r>
        <w:rPr>
          <w:lang w:val="en-AU"/>
        </w:rPr>
        <w:t xml:space="preserve">Five new fixed sites were established during this current monitoring year to provide pesticide concentration information in areas where seagrass sampling and Paddock to Reef monitoring activities were also being conducted to build linkages between land-based activities, the condition of marine water quality and impacts on ecosystem health. Grab (or snap-shot) sampling in addition to passive sampling conducted during periods of freshwater river discharge during the wet season, was undertaken develop and validate models describing the movement of water and transport of land-based pollutants throughout the inshore marine environment. In 2014-2015, transects extending from two rivers in the Wet Tropics region were targeted for monitoring activities. </w:t>
      </w:r>
    </w:p>
    <w:p w14:paraId="166FC862" w14:textId="77777777" w:rsidR="00420835" w:rsidRDefault="00420835" w:rsidP="006130D4">
      <w:pPr>
        <w:spacing w:line="276" w:lineRule="auto"/>
        <w:rPr>
          <w:lang w:val="en-AU"/>
        </w:rPr>
      </w:pPr>
      <w:r>
        <w:rPr>
          <w:lang w:val="en-AU"/>
        </w:rPr>
        <w:br w:type="page"/>
      </w:r>
    </w:p>
    <w:p w14:paraId="460EFAEA" w14:textId="77777777" w:rsidR="0059608E" w:rsidRPr="00747FFD" w:rsidRDefault="0059608E" w:rsidP="0066689E">
      <w:pPr>
        <w:pStyle w:val="Heading1"/>
      </w:pPr>
      <w:bookmarkStart w:id="24" w:name="_Toc461457751"/>
      <w:bookmarkStart w:id="25" w:name="_Toc462651933"/>
      <w:bookmarkStart w:id="26" w:name="_Toc201489873"/>
      <w:r w:rsidRPr="00747FFD">
        <w:lastRenderedPageBreak/>
        <w:t>METHODOLOGY</w:t>
      </w:r>
      <w:bookmarkEnd w:id="24"/>
      <w:bookmarkEnd w:id="25"/>
    </w:p>
    <w:p w14:paraId="47BCB940" w14:textId="77777777" w:rsidR="0059608E" w:rsidRDefault="0059608E" w:rsidP="006130D4">
      <w:pPr>
        <w:spacing w:line="360" w:lineRule="auto"/>
        <w:rPr>
          <w:lang w:val="en-AU"/>
        </w:rPr>
      </w:pPr>
      <w:r>
        <w:rPr>
          <w:lang w:val="en-AU"/>
        </w:rPr>
        <w:t>Water quality monitoring at fixed sites was conducted using passive sampling techniques.</w:t>
      </w:r>
      <w:r w:rsidRPr="00C11BBA">
        <w:rPr>
          <w:lang w:val="en-AU"/>
        </w:rPr>
        <w:t xml:space="preserve"> These samplers accumulate chemicals </w:t>
      </w:r>
      <w:r>
        <w:rPr>
          <w:lang w:val="en-AU"/>
        </w:rPr>
        <w:t xml:space="preserve">into a sorbing material </w:t>
      </w:r>
      <w:r w:rsidRPr="00C11BBA">
        <w:rPr>
          <w:lang w:val="en-AU"/>
        </w:rPr>
        <w:t xml:space="preserve">from water via passive diffusion. The passive sampling techniques </w:t>
      </w:r>
      <w:r>
        <w:rPr>
          <w:lang w:val="en-AU"/>
        </w:rPr>
        <w:t xml:space="preserve">which are utilized in this component of the </w:t>
      </w:r>
      <w:r w:rsidRPr="00C11BBA">
        <w:rPr>
          <w:lang w:val="en-AU"/>
        </w:rPr>
        <w:t>MMP include:</w:t>
      </w:r>
    </w:p>
    <w:p w14:paraId="2E1BA8B7" w14:textId="77777777" w:rsidR="0059608E" w:rsidRPr="00C11BBA" w:rsidRDefault="0059608E" w:rsidP="006130D4">
      <w:pPr>
        <w:spacing w:line="360" w:lineRule="auto"/>
        <w:rPr>
          <w:lang w:val="en-AU"/>
        </w:rPr>
      </w:pPr>
    </w:p>
    <w:p w14:paraId="76242D7F" w14:textId="77777777" w:rsidR="0059608E" w:rsidRDefault="0059608E" w:rsidP="0059608E">
      <w:pPr>
        <w:pStyle w:val="ListParagraph"/>
        <w:numPr>
          <w:ilvl w:val="0"/>
          <w:numId w:val="11"/>
        </w:numPr>
        <w:spacing w:line="360" w:lineRule="auto"/>
        <w:ind w:left="851" w:hanging="284"/>
        <w:rPr>
          <w:lang w:val="en-AU"/>
        </w:rPr>
      </w:pPr>
      <w:r w:rsidRPr="00C11BBA">
        <w:rPr>
          <w:lang w:val="en-AU"/>
        </w:rPr>
        <w:t>SDB-RPS Empore</w:t>
      </w:r>
      <w:r w:rsidRPr="00C11BBA">
        <w:rPr>
          <w:vertAlign w:val="superscript"/>
          <w:lang w:val="en-AU"/>
        </w:rPr>
        <w:t>TM</w:t>
      </w:r>
      <w:r w:rsidRPr="00C11BBA">
        <w:rPr>
          <w:lang w:val="en-AU"/>
        </w:rPr>
        <w:t xml:space="preserve"> Disk (ED) </w:t>
      </w:r>
      <w:r>
        <w:rPr>
          <w:lang w:val="en-AU"/>
        </w:rPr>
        <w:t xml:space="preserve">polar </w:t>
      </w:r>
      <w:r w:rsidRPr="00C11BBA">
        <w:rPr>
          <w:lang w:val="en-AU"/>
        </w:rPr>
        <w:t xml:space="preserve">passive samplers for relatively hydrophilic organic chemicals with relatively low octanol-water partition coefficients </w:t>
      </w:r>
      <w:r>
        <w:rPr>
          <w:lang w:val="en-AU"/>
        </w:rPr>
        <w:t>(logK</w:t>
      </w:r>
      <w:r w:rsidRPr="00F057D7">
        <w:rPr>
          <w:vertAlign w:val="subscript"/>
          <w:lang w:val="en-AU"/>
        </w:rPr>
        <w:t>OW</w:t>
      </w:r>
      <w:r w:rsidRPr="00C11BBA">
        <w:rPr>
          <w:lang w:val="en-AU"/>
        </w:rPr>
        <w:t>) such as the PSII herbicides (</w:t>
      </w:r>
      <w:r>
        <w:rPr>
          <w:lang w:val="en-AU"/>
        </w:rPr>
        <w:t>e.g.</w:t>
      </w:r>
      <w:r w:rsidRPr="00C11BBA">
        <w:rPr>
          <w:lang w:val="en-AU"/>
        </w:rPr>
        <w:t xml:space="preserve"> diuron).</w:t>
      </w:r>
    </w:p>
    <w:p w14:paraId="64F26A1B" w14:textId="77777777" w:rsidR="0059608E" w:rsidRPr="00C11BBA" w:rsidRDefault="0059608E" w:rsidP="006130D4">
      <w:pPr>
        <w:pStyle w:val="ListParagraph"/>
        <w:spacing w:line="360" w:lineRule="auto"/>
        <w:ind w:left="851"/>
        <w:rPr>
          <w:lang w:val="en-AU"/>
        </w:rPr>
      </w:pPr>
    </w:p>
    <w:p w14:paraId="42DD6925" w14:textId="77777777" w:rsidR="0059608E" w:rsidRDefault="0059608E" w:rsidP="0059608E">
      <w:pPr>
        <w:pStyle w:val="ListParagraph"/>
        <w:numPr>
          <w:ilvl w:val="0"/>
          <w:numId w:val="11"/>
        </w:numPr>
        <w:spacing w:line="360" w:lineRule="auto"/>
        <w:ind w:left="851" w:hanging="284"/>
        <w:rPr>
          <w:lang w:val="en-AU"/>
        </w:rPr>
      </w:pPr>
      <w:r w:rsidRPr="00C11BBA">
        <w:rPr>
          <w:lang w:val="en-AU"/>
        </w:rPr>
        <w:t xml:space="preserve">Polydimethylsiloxane (PDMS) </w:t>
      </w:r>
      <w:r>
        <w:rPr>
          <w:lang w:val="en-AU"/>
        </w:rPr>
        <w:t xml:space="preserve">non-polar </w:t>
      </w:r>
      <w:r w:rsidRPr="00C11BBA">
        <w:rPr>
          <w:lang w:val="en-AU"/>
        </w:rPr>
        <w:t>passive samplers for organic chemicals which are relatively more hydrophob</w:t>
      </w:r>
      <w:r>
        <w:rPr>
          <w:lang w:val="en-AU"/>
        </w:rPr>
        <w:t>ic (higher log K</w:t>
      </w:r>
      <w:r w:rsidRPr="00F057D7">
        <w:rPr>
          <w:vertAlign w:val="subscript"/>
          <w:lang w:val="en-AU"/>
        </w:rPr>
        <w:t>OW</w:t>
      </w:r>
      <w:r w:rsidRPr="00C11BBA">
        <w:rPr>
          <w:lang w:val="en-AU"/>
        </w:rPr>
        <w:t xml:space="preserve">) such as chlorpyrifos. </w:t>
      </w:r>
    </w:p>
    <w:p w14:paraId="43179A64" w14:textId="77777777" w:rsidR="0059608E" w:rsidRDefault="0059608E" w:rsidP="006130D4">
      <w:pPr>
        <w:pStyle w:val="ListParagraph"/>
        <w:spacing w:line="360" w:lineRule="auto"/>
        <w:ind w:left="0"/>
        <w:rPr>
          <w:lang w:val="en-AU"/>
        </w:rPr>
      </w:pPr>
      <w:r>
        <w:rPr>
          <w:lang w:val="en-AU"/>
        </w:rPr>
        <w:t xml:space="preserve">Terrestrial run-off assessments </w:t>
      </w:r>
      <w:r w:rsidR="00816B9A">
        <w:rPr>
          <w:lang w:val="en-AU"/>
        </w:rPr>
        <w:t xml:space="preserve">are </w:t>
      </w:r>
      <w:r>
        <w:rPr>
          <w:lang w:val="en-AU"/>
        </w:rPr>
        <w:t xml:space="preserve">conducted during the wet season use passive sampling as well as grab sampling techniques. Full details regarding these methodologies have been described </w:t>
      </w:r>
      <w:r w:rsidRPr="00C11BBA">
        <w:rPr>
          <w:lang w:val="en-AU"/>
        </w:rPr>
        <w:t xml:space="preserve">in </w:t>
      </w:r>
      <w:r w:rsidRPr="005F48EA">
        <w:rPr>
          <w:lang w:val="en-AU"/>
        </w:rPr>
        <w:t xml:space="preserve">the </w:t>
      </w:r>
      <w:bookmarkStart w:id="27" w:name="OLE_LINK13"/>
      <w:r w:rsidRPr="003F4EDD">
        <w:rPr>
          <w:i/>
          <w:lang w:val="en-AU"/>
        </w:rPr>
        <w:t>Ma</w:t>
      </w:r>
      <w:r w:rsidRPr="00214F05">
        <w:rPr>
          <w:i/>
          <w:lang w:val="en-AU"/>
        </w:rPr>
        <w:t>rine monitoring program quality assurance and quality control manual 201</w:t>
      </w:r>
      <w:r>
        <w:rPr>
          <w:i/>
          <w:lang w:val="en-AU"/>
        </w:rPr>
        <w:t>4</w:t>
      </w:r>
      <w:r w:rsidRPr="00214F05">
        <w:rPr>
          <w:i/>
          <w:lang w:val="en-AU"/>
        </w:rPr>
        <w:t>/201</w:t>
      </w:r>
      <w:r>
        <w:rPr>
          <w:i/>
          <w:lang w:val="en-AU"/>
        </w:rPr>
        <w:t xml:space="preserve">5 </w:t>
      </w:r>
      <w:r>
        <w:rPr>
          <w:noProof/>
          <w:lang w:val="en-AU"/>
        </w:rPr>
        <w:t>(GBRMPA, 2011)</w:t>
      </w:r>
      <w:bookmarkEnd w:id="27"/>
      <w:r>
        <w:rPr>
          <w:lang w:val="en-AU"/>
        </w:rPr>
        <w:t xml:space="preserve"> </w:t>
      </w:r>
      <w:r w:rsidRPr="005F48EA">
        <w:rPr>
          <w:lang w:val="en-AU"/>
        </w:rPr>
        <w:t xml:space="preserve">and in previous reports </w:t>
      </w:r>
      <w:r w:rsidR="00282F1C">
        <w:rPr>
          <w:lang w:val="en-AU"/>
        </w:rPr>
        <w:fldChar w:fldCharType="begin">
          <w:fldData xml:space="preserve">PEVuZE5vdGU+PENpdGU+PEF1dGhvcj5LZW5uZWR5PC9BdXRob3I+PFllYXI+MjAxMjwvWWVhcj48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</w:fldData>
        </w:fldChar>
      </w:r>
      <w:r w:rsidR="00D319F5">
        <w:rPr>
          <w:lang w:val="en-AU"/>
        </w:rPr>
        <w:instrText xml:space="preserve"> ADDIN EN.CITE </w:instrText>
      </w:r>
      <w:r w:rsidR="00D319F5">
        <w:rPr>
          <w:lang w:val="en-AU"/>
        </w:rPr>
        <w:fldChar w:fldCharType="begin">
          <w:fldData xml:space="preserve">PEVuZE5vdGU+PENpdGU+PEF1dGhvcj5LZW5uZWR5PC9BdXRob3I+PFllYXI+MjAxMjwvWWVhcj48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</w:fldData>
        </w:fldChar>
      </w:r>
      <w:r w:rsidR="00D319F5">
        <w:rPr>
          <w:lang w:val="en-AU"/>
        </w:rPr>
        <w:instrText xml:space="preserve"> ADDIN EN.CITE.DATA </w:instrText>
      </w:r>
      <w:r w:rsidR="00D319F5">
        <w:rPr>
          <w:lang w:val="en-AU"/>
        </w:rPr>
      </w:r>
      <w:r w:rsidR="00D319F5">
        <w:rPr>
          <w:lang w:val="en-AU"/>
        </w:rPr>
        <w:fldChar w:fldCharType="end"/>
      </w:r>
      <w:r w:rsidR="00282F1C">
        <w:rPr>
          <w:lang w:val="en-AU"/>
        </w:rPr>
      </w:r>
      <w:r w:rsidR="00282F1C">
        <w:rPr>
          <w:lang w:val="en-AU"/>
        </w:rPr>
        <w:fldChar w:fldCharType="separate"/>
      </w:r>
      <w:r w:rsidR="00D319F5">
        <w:rPr>
          <w:noProof/>
          <w:lang w:val="en-AU"/>
        </w:rPr>
        <w:t>(Kennedy et al., 2012, Gallen et al., 2013, Gallen et al., 2014)</w:t>
      </w:r>
      <w:r w:rsidR="00282F1C">
        <w:rPr>
          <w:lang w:val="en-AU"/>
        </w:rPr>
        <w:fldChar w:fldCharType="end"/>
      </w:r>
      <w:r w:rsidR="00D319F5">
        <w:rPr>
          <w:noProof/>
          <w:lang w:val="en-AU"/>
        </w:rPr>
        <w:t>.</w:t>
      </w:r>
      <w:r w:rsidRPr="00C11BBA">
        <w:rPr>
          <w:lang w:val="en-AU"/>
        </w:rPr>
        <w:t xml:space="preserve"> </w:t>
      </w:r>
    </w:p>
    <w:p w14:paraId="7B8AC205" w14:textId="77777777" w:rsidR="0059608E" w:rsidRDefault="0059608E" w:rsidP="006130D4">
      <w:pPr>
        <w:pStyle w:val="ListParagraph"/>
        <w:spacing w:line="360" w:lineRule="auto"/>
        <w:ind w:left="0"/>
        <w:rPr>
          <w:lang w:val="en-AU"/>
        </w:rPr>
      </w:pPr>
    </w:p>
    <w:p w14:paraId="154235E7" w14:textId="3C1473BA" w:rsidR="0059608E" w:rsidRDefault="0059608E" w:rsidP="006130D4">
      <w:pPr>
        <w:spacing w:line="360" w:lineRule="auto"/>
        <w:rPr>
          <w:lang w:val="en-AU"/>
        </w:rPr>
      </w:pPr>
      <w:r w:rsidRPr="00B14AD9">
        <w:rPr>
          <w:rFonts w:cs="Arial"/>
          <w:lang w:val="en-AU"/>
        </w:rPr>
        <w:t xml:space="preserve">The participation of volunteers from various community groups, agencies and tourist operations is a key feature of the </w:t>
      </w:r>
      <w:r>
        <w:rPr>
          <w:rFonts w:cs="Arial"/>
          <w:lang w:val="en-AU"/>
        </w:rPr>
        <w:t>fixed site</w:t>
      </w:r>
      <w:r w:rsidRPr="00B14AD9">
        <w:rPr>
          <w:rFonts w:cs="Arial"/>
          <w:lang w:val="en-AU"/>
        </w:rPr>
        <w:t xml:space="preserve"> pesticide monitoring program and integral to the success of maintaining the program in often remote locations. These volunteers assist by receiving, deploying, retrieving and returning the passive samplers to Entox for subsequent extraction and analysis.</w:t>
      </w:r>
      <w:r>
        <w:rPr>
          <w:rFonts w:cs="Arial"/>
          <w:lang w:val="en-AU"/>
        </w:rPr>
        <w:t xml:space="preserve"> </w:t>
      </w:r>
      <w:r w:rsidR="0060513C">
        <w:rPr>
          <w:lang w:val="en-AU"/>
        </w:rPr>
        <w:t xml:space="preserve">Passive samplers collected as part of the terrestrial run-off assessments are serviced by </w:t>
      </w:r>
      <w:r w:rsidR="00C36509">
        <w:rPr>
          <w:lang w:val="en-AU"/>
        </w:rPr>
        <w:t>the</w:t>
      </w:r>
      <w:r w:rsidR="0060513C">
        <w:rPr>
          <w:lang w:val="en-AU"/>
        </w:rPr>
        <w:t xml:space="preserve"> team from James Cook University. </w:t>
      </w:r>
      <w:r w:rsidRPr="00B14AD9">
        <w:rPr>
          <w:rFonts w:cs="Arial"/>
          <w:lang w:val="en-AU"/>
        </w:rPr>
        <w:t>This active participation of volunteers within the program is made possible by training from GBRMPA and/or Entox staff in Standard Operating Procedures</w:t>
      </w:r>
      <w:r>
        <w:rPr>
          <w:rFonts w:cs="Arial"/>
          <w:lang w:val="en-AU"/>
        </w:rPr>
        <w:t xml:space="preserve"> (SOPs)</w:t>
      </w:r>
      <w:r w:rsidRPr="00B14AD9">
        <w:rPr>
          <w:rFonts w:cs="Arial"/>
          <w:lang w:val="en-AU"/>
        </w:rPr>
        <w:t xml:space="preserve"> to ensure a high level of continuous sampling and high quality usable data is obtained from these deployments.</w:t>
      </w:r>
      <w:r>
        <w:rPr>
          <w:lang w:val="en-AU"/>
        </w:rPr>
        <w:t xml:space="preserve"> </w:t>
      </w:r>
      <w:r w:rsidR="003818D1">
        <w:rPr>
          <w:lang w:val="en-AU"/>
        </w:rPr>
        <w:t xml:space="preserve">Passive samplers that show evidence of inappropriate storage during transportation </w:t>
      </w:r>
      <w:r w:rsidR="00FA16EA">
        <w:rPr>
          <w:lang w:val="en-AU"/>
        </w:rPr>
        <w:t xml:space="preserve">that may lead to contamination (such as transport lids not attached or EDs returned dry) </w:t>
      </w:r>
      <w:r w:rsidR="0060513C">
        <w:rPr>
          <w:lang w:val="en-AU"/>
        </w:rPr>
        <w:t xml:space="preserve">or damage during deployment </w:t>
      </w:r>
      <w:r w:rsidR="00FA16EA">
        <w:rPr>
          <w:lang w:val="en-AU"/>
        </w:rPr>
        <w:t xml:space="preserve">(mud underneath membrane or </w:t>
      </w:r>
      <w:r w:rsidR="00F656B9">
        <w:rPr>
          <w:lang w:val="en-AU"/>
        </w:rPr>
        <w:t xml:space="preserve">severe </w:t>
      </w:r>
      <w:r w:rsidR="00B863B1">
        <w:rPr>
          <w:lang w:val="en-AU"/>
        </w:rPr>
        <w:t xml:space="preserve">biofilm that impedes water flow) </w:t>
      </w:r>
      <w:r w:rsidR="005E2835">
        <w:rPr>
          <w:lang w:val="en-AU"/>
        </w:rPr>
        <w:t>are excluded from analysis</w:t>
      </w:r>
      <w:r w:rsidR="003818D1">
        <w:rPr>
          <w:lang w:val="en-AU"/>
        </w:rPr>
        <w:t xml:space="preserve">. </w:t>
      </w:r>
    </w:p>
    <w:p w14:paraId="281A8A9A" w14:textId="77777777" w:rsidR="0059608E" w:rsidRDefault="0059608E" w:rsidP="0059608E">
      <w:pPr>
        <w:pStyle w:val="Heading2"/>
        <w:numPr>
          <w:ilvl w:val="1"/>
          <w:numId w:val="2"/>
        </w:numPr>
        <w:spacing w:line="360" w:lineRule="auto"/>
        <w:ind w:left="567"/>
        <w:rPr>
          <w:lang w:val="en-AU"/>
        </w:rPr>
      </w:pPr>
      <w:bookmarkStart w:id="28" w:name="_Toc461457752"/>
      <w:bookmarkStart w:id="29" w:name="_Toc462651934"/>
      <w:r>
        <w:rPr>
          <w:lang w:val="en-AU"/>
        </w:rPr>
        <w:t>Sampling sites</w:t>
      </w:r>
      <w:bookmarkEnd w:id="28"/>
      <w:bookmarkEnd w:id="29"/>
    </w:p>
    <w:p w14:paraId="1D440BD1" w14:textId="77777777" w:rsidR="0059608E" w:rsidRDefault="0059608E" w:rsidP="0059608E">
      <w:pPr>
        <w:pStyle w:val="Heading3"/>
        <w:numPr>
          <w:ilvl w:val="2"/>
          <w:numId w:val="2"/>
        </w:numPr>
      </w:pPr>
      <w:bookmarkStart w:id="30" w:name="_Toc461457753"/>
      <w:bookmarkStart w:id="31" w:name="_Toc462651935"/>
      <w:r>
        <w:t>Fixed site monitoring (passive samplers)</w:t>
      </w:r>
      <w:bookmarkEnd w:id="30"/>
      <w:bookmarkEnd w:id="31"/>
    </w:p>
    <w:p w14:paraId="56860A8B" w14:textId="77777777" w:rsidR="0059608E" w:rsidRDefault="0059608E" w:rsidP="006130D4">
      <w:pPr>
        <w:spacing w:line="360" w:lineRule="auto"/>
        <w:rPr>
          <w:rFonts w:cs="Arial"/>
          <w:lang w:val="en-AU"/>
        </w:rPr>
      </w:pPr>
      <w:r w:rsidRPr="0062446E">
        <w:rPr>
          <w:rFonts w:cs="Arial"/>
          <w:lang w:val="en-AU"/>
        </w:rPr>
        <w:t xml:space="preserve">Passive samplers were deployed at </w:t>
      </w:r>
      <w:r>
        <w:rPr>
          <w:rFonts w:cs="Arial"/>
          <w:lang w:val="en-AU"/>
        </w:rPr>
        <w:t>fifteen</w:t>
      </w:r>
      <w:r w:rsidRPr="0062446E">
        <w:rPr>
          <w:rFonts w:cs="Arial"/>
          <w:lang w:val="en-AU"/>
        </w:rPr>
        <w:t xml:space="preserve"> inshore </w:t>
      </w:r>
      <w:r>
        <w:rPr>
          <w:rFonts w:cs="Arial"/>
          <w:lang w:val="en-AU"/>
        </w:rPr>
        <w:t>Reef</w:t>
      </w:r>
      <w:r w:rsidRPr="0062446E">
        <w:rPr>
          <w:rFonts w:cs="Arial"/>
          <w:lang w:val="en-AU"/>
        </w:rPr>
        <w:t xml:space="preserve"> sites in 20</w:t>
      </w:r>
      <w:r>
        <w:rPr>
          <w:rFonts w:cs="Arial"/>
          <w:lang w:val="en-AU"/>
        </w:rPr>
        <w:t>14</w:t>
      </w:r>
      <w:r w:rsidR="00ED0FB7">
        <w:rPr>
          <w:rFonts w:cs="Arial"/>
          <w:lang w:val="en-AU"/>
        </w:rPr>
        <w:t>-</w:t>
      </w:r>
      <w:r>
        <w:rPr>
          <w:rFonts w:cs="Arial"/>
          <w:lang w:val="en-AU"/>
        </w:rPr>
        <w:t>2015, with</w:t>
      </w:r>
      <w:r w:rsidRPr="0062446E">
        <w:rPr>
          <w:rFonts w:cs="Arial"/>
          <w:lang w:val="en-AU"/>
        </w:rPr>
        <w:t xml:space="preserve"> </w:t>
      </w:r>
      <w:r>
        <w:rPr>
          <w:rFonts w:cs="Arial"/>
          <w:lang w:val="en-AU"/>
        </w:rPr>
        <w:t xml:space="preserve">five sites located in the Wet Tropics region, four sites in the Burdekin region, five sites in the Mackay Whitsundays region and one site in the Fitzroy region (Figure 2). </w:t>
      </w:r>
    </w:p>
    <w:p w14:paraId="6F4F6A7C" w14:textId="77777777" w:rsidR="0059608E" w:rsidRDefault="0059608E" w:rsidP="006130D4">
      <w:pPr>
        <w:spacing w:line="276" w:lineRule="auto"/>
        <w:jc w:val="center"/>
        <w:rPr>
          <w:rFonts w:cs="Arial"/>
          <w:lang w:val="en-AU"/>
        </w:rPr>
      </w:pPr>
      <w:r>
        <w:rPr>
          <w:rFonts w:cs="Arial"/>
          <w:noProof/>
          <w:lang w:val="en-AU" w:eastAsia="en-AU" w:bidi="ar-SA"/>
        </w:rPr>
        <w:lastRenderedPageBreak/>
        <w:drawing>
          <wp:inline distT="0" distB="0" distL="0" distR="0" wp14:anchorId="7ED2C704" wp14:editId="7729F104">
            <wp:extent cx="6052281" cy="8728603"/>
            <wp:effectExtent l="0" t="0" r="5715" b="0"/>
            <wp:docPr id="75" name="Picture 75" descr="Figure 2 Locations of current inshore Reef fixed monitoring sites where time-integrated sampling of pesticides occurred in 2014-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56360" cy="8734486"/>
                    </a:xfrm>
                    <a:prstGeom prst="rect">
                      <a:avLst/>
                    </a:prstGeom>
                    <a:noFill/>
                  </pic:spPr>
                </pic:pic>
              </a:graphicData>
            </a:graphic>
          </wp:inline>
        </w:drawing>
      </w:r>
    </w:p>
    <w:p w14:paraId="54B4F7C7" w14:textId="77777777" w:rsidR="0059608E" w:rsidRDefault="0059608E" w:rsidP="006130D4">
      <w:pPr>
        <w:pStyle w:val="Caption"/>
        <w:spacing w:line="276" w:lineRule="auto"/>
        <w:jc w:val="center"/>
      </w:pPr>
      <w:bookmarkStart w:id="32" w:name="_Toc462399462"/>
      <w:r>
        <w:t xml:space="preserve">Figure </w:t>
      </w:r>
      <w:r w:rsidRPr="005E3657">
        <w:rPr>
          <w:bCs w:val="0"/>
        </w:rPr>
        <w:fldChar w:fldCharType="begin"/>
      </w:r>
      <w:r w:rsidRPr="005E3657">
        <w:rPr>
          <w:bCs w:val="0"/>
        </w:rPr>
        <w:instrText xml:space="preserve"> SEQ Figure \* ARABIC </w:instrText>
      </w:r>
      <w:r w:rsidRPr="005E3657">
        <w:rPr>
          <w:bCs w:val="0"/>
        </w:rPr>
        <w:fldChar w:fldCharType="separate"/>
      </w:r>
      <w:r w:rsidR="00E51A34">
        <w:rPr>
          <w:bCs w:val="0"/>
          <w:noProof/>
        </w:rPr>
        <w:t>2</w:t>
      </w:r>
      <w:r w:rsidRPr="005E3657">
        <w:rPr>
          <w:bCs w:val="0"/>
          <w:noProof/>
        </w:rPr>
        <w:fldChar w:fldCharType="end"/>
      </w:r>
      <w:r w:rsidRPr="00E409FB">
        <w:t xml:space="preserve"> Locations of current inshore </w:t>
      </w:r>
      <w:r>
        <w:t>Reef</w:t>
      </w:r>
      <w:r w:rsidRPr="00E409FB">
        <w:t xml:space="preserve"> </w:t>
      </w:r>
      <w:r>
        <w:t>fixed</w:t>
      </w:r>
      <w:r w:rsidRPr="00E409FB">
        <w:t xml:space="preserve"> monitoring sites where time-integrated sampling of pesticides occurred in 201</w:t>
      </w:r>
      <w:r>
        <w:t>4</w:t>
      </w:r>
      <w:r w:rsidRPr="00E409FB">
        <w:t>-201</w:t>
      </w:r>
      <w:r>
        <w:t>5</w:t>
      </w:r>
      <w:bookmarkEnd w:id="32"/>
    </w:p>
    <w:p w14:paraId="3D927A50" w14:textId="77777777" w:rsidR="0059608E" w:rsidRPr="004B6CDC" w:rsidRDefault="0059608E" w:rsidP="006130D4">
      <w:pPr>
        <w:pStyle w:val="Caption"/>
        <w:spacing w:line="276" w:lineRule="auto"/>
        <w:jc w:val="center"/>
        <w:rPr>
          <w:b w:val="0"/>
          <w:bCs w:val="0"/>
        </w:rPr>
      </w:pPr>
      <w:r>
        <w:rPr>
          <w:lang w:val="en-AU"/>
        </w:rPr>
        <w:t xml:space="preserve"> </w:t>
      </w:r>
      <w:r>
        <w:rPr>
          <w:b w:val="0"/>
          <w:lang w:val="en-AU"/>
        </w:rPr>
        <w:t xml:space="preserve">Grey dots indicate towns. </w:t>
      </w:r>
      <w:r w:rsidRPr="004B6CDC">
        <w:rPr>
          <w:b w:val="0"/>
          <w:lang w:val="en-AU"/>
        </w:rPr>
        <w:t>(Source – Dieter Tracy, James Cook University</w:t>
      </w:r>
      <w:r w:rsidRPr="004B6CDC">
        <w:rPr>
          <w:b w:val="0"/>
          <w:bCs w:val="0"/>
        </w:rPr>
        <w:t>)</w:t>
      </w:r>
    </w:p>
    <w:p w14:paraId="376B33EB" w14:textId="77777777" w:rsidR="0059608E" w:rsidRDefault="0059608E" w:rsidP="006130D4">
      <w:pPr>
        <w:spacing w:line="360" w:lineRule="auto"/>
        <w:rPr>
          <w:rFonts w:cs="Arial"/>
          <w:lang w:val="en-AU"/>
        </w:rPr>
      </w:pPr>
      <w:r>
        <w:rPr>
          <w:rFonts w:cs="Arial"/>
          <w:lang w:val="en-AU"/>
        </w:rPr>
        <w:lastRenderedPageBreak/>
        <w:t xml:space="preserve">Sites are located within the extent of flood plumes from rivers that drain a variety of land-uses on the adjacent catchment areas, and discharge into the Reef lagoon (Table </w:t>
      </w:r>
      <w:r w:rsidR="007077DE">
        <w:rPr>
          <w:rFonts w:cs="Arial"/>
          <w:lang w:val="en-AU"/>
        </w:rPr>
        <w:t>3</w:t>
      </w:r>
      <w:r>
        <w:rPr>
          <w:rFonts w:cs="Arial"/>
          <w:lang w:val="en-AU"/>
        </w:rPr>
        <w:t xml:space="preserve">). </w:t>
      </w:r>
    </w:p>
    <w:p w14:paraId="26B38495" w14:textId="77777777" w:rsidR="0059608E" w:rsidRDefault="0059608E" w:rsidP="00EC64C3">
      <w:pPr>
        <w:spacing w:line="360" w:lineRule="auto"/>
        <w:jc w:val="center"/>
        <w:rPr>
          <w:rFonts w:cs="Arial"/>
          <w:lang w:val="en-AU"/>
        </w:rPr>
      </w:pPr>
    </w:p>
    <w:p w14:paraId="4FF2032C" w14:textId="77777777" w:rsidR="00E01DC5" w:rsidRDefault="00E01DC5" w:rsidP="00EC64C3">
      <w:pPr>
        <w:pStyle w:val="Caption"/>
        <w:keepNext/>
        <w:jc w:val="center"/>
      </w:pPr>
      <w:bookmarkStart w:id="33" w:name="_Toc462652122"/>
      <w:r>
        <w:t xml:space="preserve">Table </w:t>
      </w:r>
      <w:r>
        <w:fldChar w:fldCharType="begin"/>
      </w:r>
      <w:r>
        <w:instrText xml:space="preserve"> SEQ Table \* ARABIC </w:instrText>
      </w:r>
      <w:r>
        <w:fldChar w:fldCharType="separate"/>
      </w:r>
      <w:r w:rsidR="00E51A34">
        <w:rPr>
          <w:noProof/>
        </w:rPr>
        <w:t>1</w:t>
      </w:r>
      <w:r>
        <w:fldChar w:fldCharType="end"/>
      </w:r>
      <w:r>
        <w:t xml:space="preserve"> </w:t>
      </w:r>
      <w:r w:rsidR="001E64BD">
        <w:t>Location of fixed passive sampling sites and closest influencing river</w:t>
      </w:r>
      <w:bookmarkEnd w:id="33"/>
    </w:p>
    <w:tbl>
      <w:tblPr>
        <w:tblStyle w:val="TableGrid"/>
        <w:tblW w:w="0" w:type="auto"/>
        <w:jc w:val="center"/>
        <w:tblLook w:val="04A0" w:firstRow="1" w:lastRow="0" w:firstColumn="1" w:lastColumn="0" w:noHBand="0" w:noVBand="1"/>
        <w:tblDescription w:val="Table 1 Location of fixed passive sampling sites and closest influencing river"/>
      </w:tblPr>
      <w:tblGrid>
        <w:gridCol w:w="1788"/>
        <w:gridCol w:w="1984"/>
        <w:gridCol w:w="2552"/>
        <w:gridCol w:w="2615"/>
      </w:tblGrid>
      <w:tr w:rsidR="0059608E" w14:paraId="03DA340F" w14:textId="77777777" w:rsidTr="00441B7F">
        <w:trPr>
          <w:trHeight w:val="377"/>
          <w:tblHeader/>
          <w:jc w:val="center"/>
        </w:trPr>
        <w:tc>
          <w:tcPr>
            <w:tcW w:w="1788" w:type="dxa"/>
            <w:vAlign w:val="center"/>
          </w:tcPr>
          <w:p w14:paraId="12708DEC" w14:textId="77777777" w:rsidR="0059608E" w:rsidRPr="00527B6E" w:rsidRDefault="0059608E" w:rsidP="006130D4">
            <w:pPr>
              <w:spacing w:line="360" w:lineRule="auto"/>
              <w:jc w:val="left"/>
              <w:rPr>
                <w:rFonts w:cs="Arial"/>
                <w:b/>
                <w:lang w:val="en-AU"/>
              </w:rPr>
            </w:pPr>
            <w:r w:rsidRPr="00527B6E">
              <w:rPr>
                <w:rFonts w:cs="Arial"/>
                <w:b/>
                <w:lang w:val="en-AU"/>
              </w:rPr>
              <w:t>NRM region</w:t>
            </w:r>
          </w:p>
        </w:tc>
        <w:tc>
          <w:tcPr>
            <w:tcW w:w="1984" w:type="dxa"/>
            <w:vAlign w:val="center"/>
          </w:tcPr>
          <w:p w14:paraId="03014F89" w14:textId="77777777" w:rsidR="0059608E" w:rsidRPr="00527B6E" w:rsidRDefault="0059608E" w:rsidP="006130D4">
            <w:pPr>
              <w:spacing w:line="360" w:lineRule="auto"/>
              <w:jc w:val="left"/>
              <w:rPr>
                <w:rFonts w:cs="Arial"/>
                <w:b/>
                <w:lang w:val="en-AU"/>
              </w:rPr>
            </w:pPr>
            <w:r w:rsidRPr="00527B6E">
              <w:rPr>
                <w:rFonts w:cs="Arial"/>
                <w:b/>
                <w:lang w:val="en-AU"/>
              </w:rPr>
              <w:t>Basin</w:t>
            </w:r>
          </w:p>
        </w:tc>
        <w:tc>
          <w:tcPr>
            <w:tcW w:w="2552" w:type="dxa"/>
            <w:vAlign w:val="center"/>
          </w:tcPr>
          <w:p w14:paraId="6454E21B" w14:textId="408733CC" w:rsidR="0059608E" w:rsidRPr="00527B6E" w:rsidRDefault="00C36509" w:rsidP="006130D4">
            <w:pPr>
              <w:spacing w:line="360" w:lineRule="auto"/>
              <w:jc w:val="left"/>
              <w:rPr>
                <w:rFonts w:cs="Arial"/>
                <w:b/>
                <w:lang w:val="en-AU"/>
              </w:rPr>
            </w:pPr>
            <w:r>
              <w:rPr>
                <w:rFonts w:cs="Arial"/>
                <w:b/>
                <w:lang w:val="en-AU"/>
              </w:rPr>
              <w:t xml:space="preserve">Major </w:t>
            </w:r>
            <w:r w:rsidR="0059608E" w:rsidRPr="00527B6E">
              <w:rPr>
                <w:rFonts w:cs="Arial"/>
                <w:b/>
                <w:lang w:val="en-AU"/>
              </w:rPr>
              <w:t>River/ Creek</w:t>
            </w:r>
          </w:p>
        </w:tc>
        <w:tc>
          <w:tcPr>
            <w:tcW w:w="2615" w:type="dxa"/>
            <w:vAlign w:val="center"/>
          </w:tcPr>
          <w:p w14:paraId="27730D83" w14:textId="77777777" w:rsidR="0059608E" w:rsidRPr="00527B6E" w:rsidRDefault="0059608E" w:rsidP="006130D4">
            <w:pPr>
              <w:spacing w:line="360" w:lineRule="auto"/>
              <w:jc w:val="left"/>
              <w:rPr>
                <w:rFonts w:cs="Arial"/>
                <w:b/>
                <w:lang w:val="en-AU"/>
              </w:rPr>
            </w:pPr>
            <w:r w:rsidRPr="00527B6E">
              <w:rPr>
                <w:rFonts w:cs="Arial"/>
                <w:b/>
                <w:lang w:val="en-AU"/>
              </w:rPr>
              <w:t>Fixed site</w:t>
            </w:r>
            <w:r>
              <w:rPr>
                <w:rFonts w:cs="Arial"/>
                <w:b/>
                <w:lang w:val="en-AU"/>
              </w:rPr>
              <w:t xml:space="preserve"> name</w:t>
            </w:r>
          </w:p>
        </w:tc>
      </w:tr>
      <w:tr w:rsidR="0059608E" w14:paraId="53A3F84F" w14:textId="77777777" w:rsidTr="006130D4">
        <w:trPr>
          <w:trHeight w:val="377"/>
          <w:jc w:val="center"/>
        </w:trPr>
        <w:tc>
          <w:tcPr>
            <w:tcW w:w="1788" w:type="dxa"/>
            <w:vAlign w:val="center"/>
          </w:tcPr>
          <w:p w14:paraId="650BD247" w14:textId="77777777" w:rsidR="0059608E" w:rsidRDefault="0059608E" w:rsidP="006130D4">
            <w:pPr>
              <w:spacing w:line="360" w:lineRule="auto"/>
              <w:jc w:val="left"/>
              <w:rPr>
                <w:rFonts w:cs="Arial"/>
                <w:lang w:val="en-AU"/>
              </w:rPr>
            </w:pPr>
            <w:r>
              <w:rPr>
                <w:rFonts w:cs="Arial"/>
                <w:lang w:val="en-AU"/>
              </w:rPr>
              <w:t>Wet Tropics</w:t>
            </w:r>
          </w:p>
        </w:tc>
        <w:tc>
          <w:tcPr>
            <w:tcW w:w="1984" w:type="dxa"/>
            <w:vAlign w:val="center"/>
          </w:tcPr>
          <w:p w14:paraId="118EDBCA" w14:textId="77777777" w:rsidR="0059608E" w:rsidRDefault="0059608E" w:rsidP="006130D4">
            <w:pPr>
              <w:spacing w:line="360" w:lineRule="auto"/>
              <w:jc w:val="left"/>
              <w:rPr>
                <w:rFonts w:cs="Arial"/>
                <w:lang w:val="en-AU"/>
              </w:rPr>
            </w:pPr>
            <w:r>
              <w:rPr>
                <w:color w:val="000000"/>
              </w:rPr>
              <w:t>Mossman</w:t>
            </w:r>
          </w:p>
        </w:tc>
        <w:tc>
          <w:tcPr>
            <w:tcW w:w="2552" w:type="dxa"/>
            <w:vAlign w:val="center"/>
          </w:tcPr>
          <w:p w14:paraId="3092A0BC" w14:textId="77777777" w:rsidR="0059608E" w:rsidRDefault="0059608E" w:rsidP="006130D4">
            <w:pPr>
              <w:spacing w:line="360" w:lineRule="auto"/>
              <w:jc w:val="left"/>
              <w:rPr>
                <w:rFonts w:cs="Arial"/>
                <w:lang w:val="en-AU"/>
              </w:rPr>
            </w:pPr>
            <w:r>
              <w:rPr>
                <w:color w:val="000000"/>
              </w:rPr>
              <w:t>Mossman River</w:t>
            </w:r>
          </w:p>
        </w:tc>
        <w:tc>
          <w:tcPr>
            <w:tcW w:w="2615" w:type="dxa"/>
            <w:vAlign w:val="center"/>
          </w:tcPr>
          <w:p w14:paraId="042D29A9" w14:textId="77777777" w:rsidR="0059608E" w:rsidRDefault="0059608E" w:rsidP="006130D4">
            <w:pPr>
              <w:spacing w:line="360" w:lineRule="auto"/>
              <w:jc w:val="left"/>
              <w:rPr>
                <w:rFonts w:cs="Arial"/>
                <w:lang w:val="en-AU"/>
              </w:rPr>
            </w:pPr>
            <w:r>
              <w:rPr>
                <w:rFonts w:cs="Arial"/>
                <w:lang w:val="en-AU"/>
              </w:rPr>
              <w:t>Low Isles</w:t>
            </w:r>
          </w:p>
        </w:tc>
      </w:tr>
      <w:tr w:rsidR="0059608E" w14:paraId="103678ED" w14:textId="77777777" w:rsidTr="006130D4">
        <w:trPr>
          <w:trHeight w:val="377"/>
          <w:jc w:val="center"/>
        </w:trPr>
        <w:tc>
          <w:tcPr>
            <w:tcW w:w="1788" w:type="dxa"/>
            <w:vAlign w:val="center"/>
          </w:tcPr>
          <w:p w14:paraId="5479C637" w14:textId="77777777" w:rsidR="0059608E" w:rsidRDefault="0059608E" w:rsidP="006130D4">
            <w:pPr>
              <w:spacing w:line="360" w:lineRule="auto"/>
              <w:jc w:val="left"/>
              <w:rPr>
                <w:rFonts w:cs="Arial"/>
                <w:lang w:val="en-AU"/>
              </w:rPr>
            </w:pPr>
          </w:p>
        </w:tc>
        <w:tc>
          <w:tcPr>
            <w:tcW w:w="1984" w:type="dxa"/>
            <w:vAlign w:val="center"/>
          </w:tcPr>
          <w:p w14:paraId="5EB60BD0" w14:textId="77777777" w:rsidR="0059608E" w:rsidRDefault="0059608E" w:rsidP="006130D4">
            <w:pPr>
              <w:spacing w:line="360" w:lineRule="auto"/>
              <w:jc w:val="left"/>
              <w:rPr>
                <w:rFonts w:cs="Arial"/>
                <w:lang w:val="en-AU"/>
              </w:rPr>
            </w:pPr>
            <w:r>
              <w:rPr>
                <w:color w:val="000000"/>
              </w:rPr>
              <w:t>Barron</w:t>
            </w:r>
          </w:p>
        </w:tc>
        <w:tc>
          <w:tcPr>
            <w:tcW w:w="2552" w:type="dxa"/>
            <w:vAlign w:val="center"/>
          </w:tcPr>
          <w:p w14:paraId="08F0109E" w14:textId="77777777" w:rsidR="0059608E" w:rsidRDefault="0059608E" w:rsidP="006130D4">
            <w:pPr>
              <w:spacing w:line="360" w:lineRule="auto"/>
              <w:jc w:val="left"/>
              <w:rPr>
                <w:rFonts w:cs="Arial"/>
                <w:lang w:val="en-AU"/>
              </w:rPr>
            </w:pPr>
            <w:r>
              <w:rPr>
                <w:color w:val="000000"/>
              </w:rPr>
              <w:t>Barron River</w:t>
            </w:r>
          </w:p>
        </w:tc>
        <w:tc>
          <w:tcPr>
            <w:tcW w:w="2615" w:type="dxa"/>
            <w:vAlign w:val="center"/>
          </w:tcPr>
          <w:p w14:paraId="7CBA4002" w14:textId="77777777" w:rsidR="0059608E" w:rsidRDefault="0059608E" w:rsidP="006130D4">
            <w:pPr>
              <w:spacing w:line="360" w:lineRule="auto"/>
              <w:jc w:val="left"/>
              <w:rPr>
                <w:rFonts w:cs="Arial"/>
                <w:lang w:val="en-AU"/>
              </w:rPr>
            </w:pPr>
            <w:r>
              <w:rPr>
                <w:rFonts w:cs="Arial"/>
                <w:lang w:val="en-AU"/>
              </w:rPr>
              <w:t>Green Island</w:t>
            </w:r>
          </w:p>
        </w:tc>
      </w:tr>
      <w:tr w:rsidR="0059608E" w14:paraId="24776D53" w14:textId="77777777" w:rsidTr="006130D4">
        <w:trPr>
          <w:trHeight w:val="377"/>
          <w:jc w:val="center"/>
        </w:trPr>
        <w:tc>
          <w:tcPr>
            <w:tcW w:w="1788" w:type="dxa"/>
            <w:vAlign w:val="center"/>
          </w:tcPr>
          <w:p w14:paraId="14C9DAAA" w14:textId="77777777" w:rsidR="0059608E" w:rsidRDefault="0059608E" w:rsidP="006130D4">
            <w:pPr>
              <w:spacing w:line="360" w:lineRule="auto"/>
              <w:jc w:val="left"/>
              <w:rPr>
                <w:rFonts w:cs="Arial"/>
                <w:lang w:val="en-AU"/>
              </w:rPr>
            </w:pPr>
          </w:p>
        </w:tc>
        <w:tc>
          <w:tcPr>
            <w:tcW w:w="1984" w:type="dxa"/>
            <w:vAlign w:val="center"/>
          </w:tcPr>
          <w:p w14:paraId="1ED678F0" w14:textId="77777777" w:rsidR="0059608E" w:rsidRDefault="0059608E" w:rsidP="006130D4">
            <w:pPr>
              <w:spacing w:line="360" w:lineRule="auto"/>
              <w:jc w:val="left"/>
              <w:rPr>
                <w:rFonts w:cs="Arial"/>
                <w:lang w:val="en-AU"/>
              </w:rPr>
            </w:pPr>
            <w:r>
              <w:rPr>
                <w:color w:val="000000"/>
              </w:rPr>
              <w:t>Mulgrave-Russell</w:t>
            </w:r>
          </w:p>
        </w:tc>
        <w:tc>
          <w:tcPr>
            <w:tcW w:w="2552" w:type="dxa"/>
            <w:vAlign w:val="center"/>
          </w:tcPr>
          <w:p w14:paraId="24EA461D" w14:textId="77777777" w:rsidR="0059608E" w:rsidRDefault="0059608E" w:rsidP="006130D4">
            <w:pPr>
              <w:spacing w:line="360" w:lineRule="auto"/>
              <w:jc w:val="left"/>
              <w:rPr>
                <w:rFonts w:cs="Arial"/>
                <w:lang w:val="en-AU"/>
              </w:rPr>
            </w:pPr>
            <w:r>
              <w:rPr>
                <w:color w:val="000000"/>
              </w:rPr>
              <w:t>Mulgrave River/  Russell River</w:t>
            </w:r>
          </w:p>
        </w:tc>
        <w:tc>
          <w:tcPr>
            <w:tcW w:w="2615" w:type="dxa"/>
            <w:vAlign w:val="center"/>
          </w:tcPr>
          <w:p w14:paraId="4A907F7B" w14:textId="77777777" w:rsidR="0059608E" w:rsidRDefault="0059608E" w:rsidP="006130D4">
            <w:pPr>
              <w:spacing w:line="360" w:lineRule="auto"/>
              <w:jc w:val="left"/>
              <w:rPr>
                <w:rFonts w:cs="Arial"/>
                <w:lang w:val="en-AU"/>
              </w:rPr>
            </w:pPr>
            <w:r>
              <w:rPr>
                <w:rFonts w:cs="Arial"/>
                <w:lang w:val="en-AU"/>
              </w:rPr>
              <w:t>Fitzroy Island</w:t>
            </w:r>
          </w:p>
        </w:tc>
      </w:tr>
      <w:tr w:rsidR="0059608E" w14:paraId="378B2DD1" w14:textId="77777777" w:rsidTr="006130D4">
        <w:trPr>
          <w:trHeight w:val="377"/>
          <w:jc w:val="center"/>
        </w:trPr>
        <w:tc>
          <w:tcPr>
            <w:tcW w:w="1788" w:type="dxa"/>
            <w:vAlign w:val="center"/>
          </w:tcPr>
          <w:p w14:paraId="14A9C240" w14:textId="77777777" w:rsidR="0059608E" w:rsidRDefault="0059608E" w:rsidP="006130D4">
            <w:pPr>
              <w:spacing w:line="360" w:lineRule="auto"/>
              <w:jc w:val="left"/>
              <w:rPr>
                <w:rFonts w:cs="Arial"/>
                <w:lang w:val="en-AU"/>
              </w:rPr>
            </w:pPr>
          </w:p>
        </w:tc>
        <w:tc>
          <w:tcPr>
            <w:tcW w:w="1984" w:type="dxa"/>
            <w:vAlign w:val="center"/>
          </w:tcPr>
          <w:p w14:paraId="4F8DD476" w14:textId="77777777" w:rsidR="0059608E" w:rsidRDefault="0059608E" w:rsidP="006130D4">
            <w:pPr>
              <w:spacing w:line="360" w:lineRule="auto"/>
              <w:jc w:val="left"/>
              <w:rPr>
                <w:rFonts w:cs="Arial"/>
                <w:lang w:val="en-AU"/>
              </w:rPr>
            </w:pPr>
            <w:r>
              <w:rPr>
                <w:color w:val="000000"/>
              </w:rPr>
              <w:t>Mulgrave-Russell</w:t>
            </w:r>
          </w:p>
        </w:tc>
        <w:tc>
          <w:tcPr>
            <w:tcW w:w="2552" w:type="dxa"/>
            <w:vAlign w:val="center"/>
          </w:tcPr>
          <w:p w14:paraId="0F1C8A16" w14:textId="77777777" w:rsidR="0059608E" w:rsidRDefault="0059608E" w:rsidP="006130D4">
            <w:pPr>
              <w:spacing w:line="360" w:lineRule="auto"/>
              <w:jc w:val="left"/>
              <w:rPr>
                <w:rFonts w:cs="Arial"/>
                <w:lang w:val="en-AU"/>
              </w:rPr>
            </w:pPr>
            <w:r>
              <w:rPr>
                <w:color w:val="000000"/>
              </w:rPr>
              <w:t>Mulgrave River/  Russell River</w:t>
            </w:r>
          </w:p>
        </w:tc>
        <w:tc>
          <w:tcPr>
            <w:tcW w:w="2615" w:type="dxa"/>
            <w:vAlign w:val="center"/>
          </w:tcPr>
          <w:p w14:paraId="54EA31F4" w14:textId="77777777" w:rsidR="0059608E" w:rsidRDefault="0059608E" w:rsidP="006130D4">
            <w:pPr>
              <w:spacing w:line="360" w:lineRule="auto"/>
              <w:jc w:val="left"/>
              <w:rPr>
                <w:rFonts w:cs="Arial"/>
                <w:lang w:val="en-AU"/>
              </w:rPr>
            </w:pPr>
            <w:r>
              <w:rPr>
                <w:rFonts w:cs="Arial"/>
                <w:lang w:val="en-AU"/>
              </w:rPr>
              <w:t>Normanby Island</w:t>
            </w:r>
          </w:p>
        </w:tc>
      </w:tr>
      <w:tr w:rsidR="0059608E" w14:paraId="7B11CED0" w14:textId="77777777" w:rsidTr="006130D4">
        <w:trPr>
          <w:trHeight w:val="377"/>
          <w:jc w:val="center"/>
        </w:trPr>
        <w:tc>
          <w:tcPr>
            <w:tcW w:w="1788" w:type="dxa"/>
            <w:vAlign w:val="center"/>
          </w:tcPr>
          <w:p w14:paraId="71696C09" w14:textId="77777777" w:rsidR="0059608E" w:rsidRDefault="0059608E" w:rsidP="006130D4">
            <w:pPr>
              <w:spacing w:line="360" w:lineRule="auto"/>
              <w:jc w:val="left"/>
              <w:rPr>
                <w:rFonts w:cs="Arial"/>
                <w:lang w:val="en-AU"/>
              </w:rPr>
            </w:pPr>
          </w:p>
        </w:tc>
        <w:tc>
          <w:tcPr>
            <w:tcW w:w="1984" w:type="dxa"/>
            <w:vAlign w:val="center"/>
          </w:tcPr>
          <w:p w14:paraId="74628F8D" w14:textId="77777777" w:rsidR="0059608E" w:rsidRDefault="0059608E" w:rsidP="006130D4">
            <w:pPr>
              <w:spacing w:line="360" w:lineRule="auto"/>
              <w:jc w:val="left"/>
              <w:rPr>
                <w:rFonts w:cs="Arial"/>
                <w:lang w:val="en-AU"/>
              </w:rPr>
            </w:pPr>
            <w:r>
              <w:rPr>
                <w:color w:val="000000"/>
              </w:rPr>
              <w:t>Tully</w:t>
            </w:r>
          </w:p>
        </w:tc>
        <w:tc>
          <w:tcPr>
            <w:tcW w:w="2552" w:type="dxa"/>
            <w:vAlign w:val="center"/>
          </w:tcPr>
          <w:p w14:paraId="0429FED9" w14:textId="77777777" w:rsidR="0059608E" w:rsidRDefault="0059608E" w:rsidP="006130D4">
            <w:pPr>
              <w:spacing w:line="360" w:lineRule="auto"/>
              <w:jc w:val="left"/>
              <w:rPr>
                <w:rFonts w:cs="Arial"/>
                <w:lang w:val="en-AU"/>
              </w:rPr>
            </w:pPr>
            <w:r>
              <w:rPr>
                <w:color w:val="000000"/>
              </w:rPr>
              <w:t>Tully River</w:t>
            </w:r>
          </w:p>
        </w:tc>
        <w:tc>
          <w:tcPr>
            <w:tcW w:w="2615" w:type="dxa"/>
            <w:vAlign w:val="center"/>
          </w:tcPr>
          <w:p w14:paraId="5A229097" w14:textId="77777777" w:rsidR="0059608E" w:rsidRDefault="0059608E" w:rsidP="006130D4">
            <w:pPr>
              <w:spacing w:line="360" w:lineRule="auto"/>
              <w:jc w:val="left"/>
              <w:rPr>
                <w:rFonts w:cs="Arial"/>
                <w:lang w:val="en-AU"/>
              </w:rPr>
            </w:pPr>
            <w:r>
              <w:rPr>
                <w:rFonts w:cs="Arial"/>
                <w:lang w:val="en-AU"/>
              </w:rPr>
              <w:t>Dunk Island north</w:t>
            </w:r>
          </w:p>
        </w:tc>
      </w:tr>
      <w:tr w:rsidR="0059608E" w14:paraId="54394D9C" w14:textId="77777777" w:rsidTr="006130D4">
        <w:trPr>
          <w:trHeight w:val="377"/>
          <w:jc w:val="center"/>
        </w:trPr>
        <w:tc>
          <w:tcPr>
            <w:tcW w:w="1788" w:type="dxa"/>
            <w:vAlign w:val="center"/>
          </w:tcPr>
          <w:p w14:paraId="7537F938" w14:textId="77777777" w:rsidR="0059608E" w:rsidRDefault="0059608E" w:rsidP="006130D4">
            <w:pPr>
              <w:spacing w:line="360" w:lineRule="auto"/>
              <w:jc w:val="left"/>
              <w:rPr>
                <w:rFonts w:cs="Arial"/>
                <w:lang w:val="en-AU"/>
              </w:rPr>
            </w:pPr>
            <w:r>
              <w:rPr>
                <w:rFonts w:cs="Arial"/>
                <w:lang w:val="en-AU"/>
              </w:rPr>
              <w:t>Burdekin</w:t>
            </w:r>
          </w:p>
        </w:tc>
        <w:tc>
          <w:tcPr>
            <w:tcW w:w="1984" w:type="dxa"/>
            <w:vAlign w:val="center"/>
          </w:tcPr>
          <w:p w14:paraId="7F60DCB1" w14:textId="77777777" w:rsidR="0059608E" w:rsidRDefault="0059608E" w:rsidP="006130D4">
            <w:pPr>
              <w:spacing w:line="360" w:lineRule="auto"/>
              <w:jc w:val="left"/>
              <w:rPr>
                <w:rFonts w:cs="Arial"/>
                <w:lang w:val="en-AU"/>
              </w:rPr>
            </w:pPr>
            <w:r>
              <w:rPr>
                <w:rFonts w:cs="Arial"/>
                <w:lang w:val="en-AU"/>
              </w:rPr>
              <w:t>Herbert</w:t>
            </w:r>
          </w:p>
        </w:tc>
        <w:tc>
          <w:tcPr>
            <w:tcW w:w="2552" w:type="dxa"/>
            <w:vAlign w:val="center"/>
          </w:tcPr>
          <w:p w14:paraId="41FF5C2D" w14:textId="77777777" w:rsidR="0059608E" w:rsidRDefault="0059608E" w:rsidP="006130D4">
            <w:pPr>
              <w:spacing w:line="360" w:lineRule="auto"/>
              <w:jc w:val="left"/>
              <w:rPr>
                <w:rFonts w:cs="Arial"/>
                <w:lang w:val="en-AU"/>
              </w:rPr>
            </w:pPr>
            <w:r>
              <w:rPr>
                <w:rFonts w:cs="Arial"/>
                <w:lang w:val="en-AU"/>
              </w:rPr>
              <w:t>Herbert River</w:t>
            </w:r>
          </w:p>
        </w:tc>
        <w:tc>
          <w:tcPr>
            <w:tcW w:w="2615" w:type="dxa"/>
            <w:vAlign w:val="center"/>
          </w:tcPr>
          <w:p w14:paraId="7C7FF725" w14:textId="77777777" w:rsidR="0059608E" w:rsidRDefault="0059608E" w:rsidP="006130D4">
            <w:pPr>
              <w:spacing w:line="360" w:lineRule="auto"/>
              <w:jc w:val="left"/>
              <w:rPr>
                <w:rFonts w:cs="Arial"/>
                <w:lang w:val="en-AU"/>
              </w:rPr>
            </w:pPr>
            <w:r>
              <w:rPr>
                <w:rFonts w:cs="Arial"/>
                <w:lang w:val="en-AU"/>
              </w:rPr>
              <w:t>Lucinda</w:t>
            </w:r>
          </w:p>
        </w:tc>
      </w:tr>
      <w:tr w:rsidR="0059608E" w14:paraId="1C8FD60F" w14:textId="77777777" w:rsidTr="006130D4">
        <w:trPr>
          <w:trHeight w:val="377"/>
          <w:jc w:val="center"/>
        </w:trPr>
        <w:tc>
          <w:tcPr>
            <w:tcW w:w="1788" w:type="dxa"/>
            <w:vAlign w:val="center"/>
          </w:tcPr>
          <w:p w14:paraId="35634D96" w14:textId="77777777" w:rsidR="0059608E" w:rsidRDefault="0059608E" w:rsidP="006130D4">
            <w:pPr>
              <w:spacing w:line="360" w:lineRule="auto"/>
              <w:jc w:val="left"/>
              <w:rPr>
                <w:rFonts w:cs="Arial"/>
                <w:lang w:val="en-AU"/>
              </w:rPr>
            </w:pPr>
          </w:p>
        </w:tc>
        <w:tc>
          <w:tcPr>
            <w:tcW w:w="1984" w:type="dxa"/>
            <w:vAlign w:val="center"/>
          </w:tcPr>
          <w:p w14:paraId="3DA44D42" w14:textId="77777777" w:rsidR="0059608E" w:rsidRDefault="0059608E" w:rsidP="006130D4">
            <w:pPr>
              <w:spacing w:line="360" w:lineRule="auto"/>
              <w:jc w:val="left"/>
              <w:rPr>
                <w:rFonts w:cs="Arial"/>
                <w:lang w:val="en-AU"/>
              </w:rPr>
            </w:pPr>
            <w:r>
              <w:rPr>
                <w:rFonts w:cs="Arial"/>
                <w:lang w:val="en-AU"/>
              </w:rPr>
              <w:t>Herbert</w:t>
            </w:r>
          </w:p>
        </w:tc>
        <w:tc>
          <w:tcPr>
            <w:tcW w:w="2552" w:type="dxa"/>
            <w:vAlign w:val="center"/>
          </w:tcPr>
          <w:p w14:paraId="6334A7AE" w14:textId="77777777" w:rsidR="0059608E" w:rsidRDefault="0059608E" w:rsidP="006130D4">
            <w:pPr>
              <w:spacing w:line="360" w:lineRule="auto"/>
              <w:jc w:val="left"/>
              <w:rPr>
                <w:rFonts w:cs="Arial"/>
                <w:lang w:val="en-AU"/>
              </w:rPr>
            </w:pPr>
            <w:r>
              <w:rPr>
                <w:rFonts w:cs="Arial"/>
                <w:lang w:val="en-AU"/>
              </w:rPr>
              <w:t>Herbert River</w:t>
            </w:r>
          </w:p>
        </w:tc>
        <w:tc>
          <w:tcPr>
            <w:tcW w:w="2615" w:type="dxa"/>
            <w:vAlign w:val="center"/>
          </w:tcPr>
          <w:p w14:paraId="76119BB8" w14:textId="77777777" w:rsidR="0059608E" w:rsidRDefault="0059608E" w:rsidP="006130D4">
            <w:pPr>
              <w:spacing w:line="360" w:lineRule="auto"/>
              <w:jc w:val="left"/>
              <w:rPr>
                <w:rFonts w:cs="Arial"/>
                <w:lang w:val="en-AU"/>
              </w:rPr>
            </w:pPr>
            <w:r>
              <w:rPr>
                <w:rFonts w:cs="Arial"/>
                <w:lang w:val="en-AU"/>
              </w:rPr>
              <w:t>Orpheus Island</w:t>
            </w:r>
          </w:p>
        </w:tc>
      </w:tr>
      <w:tr w:rsidR="0059608E" w14:paraId="6F72F052" w14:textId="77777777" w:rsidTr="006130D4">
        <w:trPr>
          <w:trHeight w:val="377"/>
          <w:jc w:val="center"/>
        </w:trPr>
        <w:tc>
          <w:tcPr>
            <w:tcW w:w="1788" w:type="dxa"/>
            <w:vAlign w:val="center"/>
          </w:tcPr>
          <w:p w14:paraId="5513CCCC" w14:textId="77777777" w:rsidR="0059608E" w:rsidRDefault="0059608E" w:rsidP="006130D4">
            <w:pPr>
              <w:spacing w:line="360" w:lineRule="auto"/>
              <w:jc w:val="left"/>
              <w:rPr>
                <w:rFonts w:cs="Arial"/>
                <w:lang w:val="en-AU"/>
              </w:rPr>
            </w:pPr>
          </w:p>
        </w:tc>
        <w:tc>
          <w:tcPr>
            <w:tcW w:w="1984" w:type="dxa"/>
            <w:vAlign w:val="center"/>
          </w:tcPr>
          <w:p w14:paraId="73A495A8" w14:textId="77777777" w:rsidR="0059608E" w:rsidRDefault="0059608E" w:rsidP="006130D4">
            <w:pPr>
              <w:spacing w:line="360" w:lineRule="auto"/>
              <w:jc w:val="left"/>
              <w:rPr>
                <w:rFonts w:cs="Arial"/>
                <w:lang w:val="en-AU"/>
              </w:rPr>
            </w:pPr>
            <w:r>
              <w:rPr>
                <w:rFonts w:cs="Arial"/>
                <w:lang w:val="en-AU"/>
              </w:rPr>
              <w:t>Haughton</w:t>
            </w:r>
          </w:p>
        </w:tc>
        <w:tc>
          <w:tcPr>
            <w:tcW w:w="2552" w:type="dxa"/>
            <w:vAlign w:val="center"/>
          </w:tcPr>
          <w:p w14:paraId="0C0E4F49" w14:textId="77777777" w:rsidR="0059608E" w:rsidRDefault="0059608E" w:rsidP="006130D4">
            <w:pPr>
              <w:spacing w:line="360" w:lineRule="auto"/>
              <w:jc w:val="left"/>
              <w:rPr>
                <w:rFonts w:cs="Arial"/>
                <w:lang w:val="en-AU"/>
              </w:rPr>
            </w:pPr>
            <w:r>
              <w:rPr>
                <w:rFonts w:cs="Arial"/>
                <w:lang w:val="en-AU"/>
              </w:rPr>
              <w:t>Haughton River</w:t>
            </w:r>
          </w:p>
        </w:tc>
        <w:tc>
          <w:tcPr>
            <w:tcW w:w="2615" w:type="dxa"/>
            <w:vAlign w:val="center"/>
          </w:tcPr>
          <w:p w14:paraId="1C0463BC" w14:textId="77777777" w:rsidR="0059608E" w:rsidRDefault="0059608E" w:rsidP="006130D4">
            <w:pPr>
              <w:spacing w:line="360" w:lineRule="auto"/>
              <w:jc w:val="left"/>
              <w:rPr>
                <w:rFonts w:cs="Arial"/>
                <w:lang w:val="en-AU"/>
              </w:rPr>
            </w:pPr>
            <w:r>
              <w:rPr>
                <w:rFonts w:cs="Arial"/>
                <w:lang w:val="en-AU"/>
              </w:rPr>
              <w:t>Cape Cleveland</w:t>
            </w:r>
          </w:p>
        </w:tc>
      </w:tr>
      <w:tr w:rsidR="0059608E" w14:paraId="147DA1B0" w14:textId="77777777" w:rsidTr="006130D4">
        <w:trPr>
          <w:trHeight w:val="377"/>
          <w:jc w:val="center"/>
        </w:trPr>
        <w:tc>
          <w:tcPr>
            <w:tcW w:w="1788" w:type="dxa"/>
            <w:vAlign w:val="center"/>
          </w:tcPr>
          <w:p w14:paraId="277A6F81" w14:textId="77777777" w:rsidR="0059608E" w:rsidRDefault="0059608E" w:rsidP="006130D4">
            <w:pPr>
              <w:spacing w:line="360" w:lineRule="auto"/>
              <w:jc w:val="left"/>
              <w:rPr>
                <w:rFonts w:cs="Arial"/>
                <w:lang w:val="en-AU"/>
              </w:rPr>
            </w:pPr>
          </w:p>
        </w:tc>
        <w:tc>
          <w:tcPr>
            <w:tcW w:w="1984" w:type="dxa"/>
            <w:vAlign w:val="center"/>
          </w:tcPr>
          <w:p w14:paraId="1F146921" w14:textId="77777777" w:rsidR="0059608E" w:rsidRDefault="0059608E" w:rsidP="006130D4">
            <w:pPr>
              <w:spacing w:line="360" w:lineRule="auto"/>
              <w:jc w:val="left"/>
              <w:rPr>
                <w:rFonts w:cs="Arial"/>
                <w:lang w:val="en-AU"/>
              </w:rPr>
            </w:pPr>
            <w:r>
              <w:rPr>
                <w:rFonts w:cs="Arial"/>
                <w:lang w:val="en-AU"/>
              </w:rPr>
              <w:t>Burdekin</w:t>
            </w:r>
          </w:p>
        </w:tc>
        <w:tc>
          <w:tcPr>
            <w:tcW w:w="2552" w:type="dxa"/>
            <w:vAlign w:val="center"/>
          </w:tcPr>
          <w:p w14:paraId="6D11D27B" w14:textId="77777777" w:rsidR="0059608E" w:rsidRDefault="0059608E" w:rsidP="006130D4">
            <w:pPr>
              <w:spacing w:line="360" w:lineRule="auto"/>
              <w:jc w:val="left"/>
              <w:rPr>
                <w:rFonts w:cs="Arial"/>
                <w:lang w:val="en-AU"/>
              </w:rPr>
            </w:pPr>
            <w:r>
              <w:rPr>
                <w:rFonts w:cs="Arial"/>
                <w:lang w:val="en-AU"/>
              </w:rPr>
              <w:t>Barratta Creek</w:t>
            </w:r>
          </w:p>
        </w:tc>
        <w:tc>
          <w:tcPr>
            <w:tcW w:w="2615" w:type="dxa"/>
            <w:vAlign w:val="center"/>
          </w:tcPr>
          <w:p w14:paraId="5FC49B10" w14:textId="77777777" w:rsidR="0059608E" w:rsidRDefault="0059608E" w:rsidP="006130D4">
            <w:pPr>
              <w:spacing w:line="360" w:lineRule="auto"/>
              <w:jc w:val="left"/>
              <w:rPr>
                <w:rFonts w:cs="Arial"/>
                <w:lang w:val="en-AU"/>
              </w:rPr>
            </w:pPr>
            <w:r>
              <w:rPr>
                <w:rFonts w:cs="Arial"/>
                <w:lang w:val="en-AU"/>
              </w:rPr>
              <w:t>Barratta Creek mouth</w:t>
            </w:r>
          </w:p>
        </w:tc>
      </w:tr>
      <w:tr w:rsidR="0059608E" w14:paraId="3C540BD9" w14:textId="77777777" w:rsidTr="006130D4">
        <w:trPr>
          <w:trHeight w:val="377"/>
          <w:jc w:val="center"/>
        </w:trPr>
        <w:tc>
          <w:tcPr>
            <w:tcW w:w="1788" w:type="dxa"/>
            <w:vAlign w:val="center"/>
          </w:tcPr>
          <w:p w14:paraId="32B08D7E" w14:textId="77777777" w:rsidR="0059608E" w:rsidRDefault="0059608E" w:rsidP="006130D4">
            <w:pPr>
              <w:spacing w:line="360" w:lineRule="auto"/>
              <w:jc w:val="left"/>
              <w:rPr>
                <w:rFonts w:cs="Arial"/>
                <w:lang w:val="en-AU"/>
              </w:rPr>
            </w:pPr>
            <w:r>
              <w:rPr>
                <w:rFonts w:cs="Arial"/>
                <w:lang w:val="en-AU"/>
              </w:rPr>
              <w:t>Mackay Whitsunday</w:t>
            </w:r>
          </w:p>
        </w:tc>
        <w:tc>
          <w:tcPr>
            <w:tcW w:w="1984" w:type="dxa"/>
            <w:vAlign w:val="center"/>
          </w:tcPr>
          <w:p w14:paraId="3A30E939" w14:textId="77777777" w:rsidR="0059608E" w:rsidRDefault="0059608E" w:rsidP="006130D4">
            <w:pPr>
              <w:spacing w:line="360" w:lineRule="auto"/>
              <w:jc w:val="left"/>
              <w:rPr>
                <w:rFonts w:cs="Arial"/>
                <w:lang w:val="en-AU"/>
              </w:rPr>
            </w:pPr>
            <w:r>
              <w:rPr>
                <w:rFonts w:cs="Arial"/>
                <w:lang w:val="en-AU"/>
              </w:rPr>
              <w:t>Proserpine/ O’Connell</w:t>
            </w:r>
          </w:p>
        </w:tc>
        <w:tc>
          <w:tcPr>
            <w:tcW w:w="2552" w:type="dxa"/>
            <w:vAlign w:val="center"/>
          </w:tcPr>
          <w:p w14:paraId="0170105E" w14:textId="77777777" w:rsidR="0059608E" w:rsidRDefault="0059608E" w:rsidP="006130D4">
            <w:pPr>
              <w:spacing w:line="360" w:lineRule="auto"/>
              <w:jc w:val="left"/>
              <w:rPr>
                <w:rFonts w:cs="Arial"/>
                <w:lang w:val="en-AU"/>
              </w:rPr>
            </w:pPr>
            <w:r>
              <w:rPr>
                <w:rFonts w:cs="Arial"/>
                <w:lang w:val="en-AU"/>
              </w:rPr>
              <w:t>Proserpine River/ O’Connell River</w:t>
            </w:r>
          </w:p>
        </w:tc>
        <w:tc>
          <w:tcPr>
            <w:tcW w:w="2615" w:type="dxa"/>
            <w:vAlign w:val="center"/>
          </w:tcPr>
          <w:p w14:paraId="4330A5C3" w14:textId="77777777" w:rsidR="0059608E" w:rsidRDefault="0059608E" w:rsidP="006130D4">
            <w:pPr>
              <w:spacing w:line="360" w:lineRule="auto"/>
              <w:jc w:val="left"/>
              <w:rPr>
                <w:rFonts w:cs="Arial"/>
                <w:lang w:val="en-AU"/>
              </w:rPr>
            </w:pPr>
            <w:r>
              <w:rPr>
                <w:rFonts w:cs="Arial"/>
                <w:lang w:val="en-AU"/>
              </w:rPr>
              <w:t>Repulse Bay</w:t>
            </w:r>
          </w:p>
        </w:tc>
      </w:tr>
      <w:tr w:rsidR="0059608E" w14:paraId="500CC33D" w14:textId="77777777" w:rsidTr="006130D4">
        <w:trPr>
          <w:trHeight w:val="377"/>
          <w:jc w:val="center"/>
        </w:trPr>
        <w:tc>
          <w:tcPr>
            <w:tcW w:w="1788" w:type="dxa"/>
            <w:vAlign w:val="center"/>
          </w:tcPr>
          <w:p w14:paraId="7F57593F" w14:textId="77777777" w:rsidR="0059608E" w:rsidRDefault="0059608E" w:rsidP="006130D4">
            <w:pPr>
              <w:spacing w:line="360" w:lineRule="auto"/>
              <w:jc w:val="left"/>
              <w:rPr>
                <w:rFonts w:cs="Arial"/>
                <w:lang w:val="en-AU"/>
              </w:rPr>
            </w:pPr>
          </w:p>
        </w:tc>
        <w:tc>
          <w:tcPr>
            <w:tcW w:w="1984" w:type="dxa"/>
            <w:vAlign w:val="center"/>
          </w:tcPr>
          <w:p w14:paraId="5507C8C9" w14:textId="77777777" w:rsidR="0059608E" w:rsidRDefault="0059608E" w:rsidP="006130D4">
            <w:pPr>
              <w:spacing w:line="360" w:lineRule="auto"/>
              <w:jc w:val="left"/>
              <w:rPr>
                <w:rFonts w:cs="Arial"/>
                <w:lang w:val="en-AU"/>
              </w:rPr>
            </w:pPr>
            <w:r>
              <w:rPr>
                <w:rFonts w:cs="Arial"/>
                <w:lang w:val="en-AU"/>
              </w:rPr>
              <w:t>Proserpine/ O’Connell</w:t>
            </w:r>
          </w:p>
        </w:tc>
        <w:tc>
          <w:tcPr>
            <w:tcW w:w="2552" w:type="dxa"/>
            <w:vAlign w:val="center"/>
          </w:tcPr>
          <w:p w14:paraId="26AEAD73" w14:textId="77777777" w:rsidR="0059608E" w:rsidRDefault="0059608E" w:rsidP="006130D4">
            <w:pPr>
              <w:spacing w:line="360" w:lineRule="auto"/>
              <w:jc w:val="left"/>
              <w:rPr>
                <w:rFonts w:cs="Arial"/>
                <w:lang w:val="en-AU"/>
              </w:rPr>
            </w:pPr>
            <w:r>
              <w:rPr>
                <w:rFonts w:cs="Arial"/>
                <w:lang w:val="en-AU"/>
              </w:rPr>
              <w:t>Proserpine River/ O’Connell River</w:t>
            </w:r>
          </w:p>
        </w:tc>
        <w:tc>
          <w:tcPr>
            <w:tcW w:w="2615" w:type="dxa"/>
            <w:vAlign w:val="center"/>
          </w:tcPr>
          <w:p w14:paraId="1640D3DF" w14:textId="77777777" w:rsidR="0059608E" w:rsidRDefault="0059608E" w:rsidP="006130D4">
            <w:pPr>
              <w:spacing w:line="360" w:lineRule="auto"/>
              <w:jc w:val="left"/>
              <w:rPr>
                <w:rFonts w:cs="Arial"/>
                <w:lang w:val="en-AU"/>
              </w:rPr>
            </w:pPr>
            <w:r>
              <w:rPr>
                <w:rFonts w:cs="Arial"/>
                <w:lang w:val="en-AU"/>
              </w:rPr>
              <w:t>Outer Whitsundays</w:t>
            </w:r>
          </w:p>
        </w:tc>
      </w:tr>
      <w:tr w:rsidR="0059608E" w14:paraId="56367E46" w14:textId="77777777" w:rsidTr="006130D4">
        <w:trPr>
          <w:trHeight w:val="377"/>
          <w:jc w:val="center"/>
        </w:trPr>
        <w:tc>
          <w:tcPr>
            <w:tcW w:w="1788" w:type="dxa"/>
            <w:vAlign w:val="center"/>
          </w:tcPr>
          <w:p w14:paraId="14AAE1F7" w14:textId="77777777" w:rsidR="0059608E" w:rsidRDefault="0059608E" w:rsidP="006130D4">
            <w:pPr>
              <w:spacing w:line="360" w:lineRule="auto"/>
              <w:jc w:val="left"/>
              <w:rPr>
                <w:rFonts w:cs="Arial"/>
                <w:lang w:val="en-AU"/>
              </w:rPr>
            </w:pPr>
          </w:p>
        </w:tc>
        <w:tc>
          <w:tcPr>
            <w:tcW w:w="1984" w:type="dxa"/>
            <w:vAlign w:val="center"/>
          </w:tcPr>
          <w:p w14:paraId="7AAB7C4C" w14:textId="77777777" w:rsidR="0059608E" w:rsidRDefault="0059608E" w:rsidP="006130D4">
            <w:pPr>
              <w:spacing w:line="360" w:lineRule="auto"/>
              <w:jc w:val="left"/>
              <w:rPr>
                <w:rFonts w:cs="Arial"/>
                <w:lang w:val="en-AU"/>
              </w:rPr>
            </w:pPr>
            <w:r>
              <w:rPr>
                <w:rFonts w:cs="Arial"/>
                <w:lang w:val="en-AU"/>
              </w:rPr>
              <w:t>Pioneer/ Plane</w:t>
            </w:r>
          </w:p>
        </w:tc>
        <w:tc>
          <w:tcPr>
            <w:tcW w:w="2552" w:type="dxa"/>
            <w:vAlign w:val="center"/>
          </w:tcPr>
          <w:p w14:paraId="1FCC58F6" w14:textId="77777777" w:rsidR="0059608E" w:rsidRDefault="0059608E" w:rsidP="006130D4">
            <w:pPr>
              <w:spacing w:line="360" w:lineRule="auto"/>
              <w:jc w:val="left"/>
              <w:rPr>
                <w:rFonts w:cs="Arial"/>
                <w:lang w:val="en-AU"/>
              </w:rPr>
            </w:pPr>
            <w:r>
              <w:rPr>
                <w:rFonts w:cs="Arial"/>
                <w:lang w:val="en-AU"/>
              </w:rPr>
              <w:t>Pioneer River/ Sandy Creek</w:t>
            </w:r>
          </w:p>
        </w:tc>
        <w:tc>
          <w:tcPr>
            <w:tcW w:w="2615" w:type="dxa"/>
            <w:vAlign w:val="center"/>
          </w:tcPr>
          <w:p w14:paraId="7D7D97D3" w14:textId="77777777" w:rsidR="0059608E" w:rsidRDefault="0059608E" w:rsidP="006130D4">
            <w:pPr>
              <w:spacing w:line="360" w:lineRule="auto"/>
              <w:jc w:val="left"/>
              <w:rPr>
                <w:rFonts w:cs="Arial"/>
                <w:lang w:val="en-AU"/>
              </w:rPr>
            </w:pPr>
            <w:r>
              <w:rPr>
                <w:rFonts w:cs="Arial"/>
                <w:lang w:val="en-AU"/>
              </w:rPr>
              <w:t>Round/ Flat Top</w:t>
            </w:r>
          </w:p>
        </w:tc>
      </w:tr>
      <w:tr w:rsidR="0059608E" w14:paraId="59F4B2F8" w14:textId="77777777" w:rsidTr="006130D4">
        <w:trPr>
          <w:trHeight w:val="377"/>
          <w:jc w:val="center"/>
        </w:trPr>
        <w:tc>
          <w:tcPr>
            <w:tcW w:w="1788" w:type="dxa"/>
            <w:vAlign w:val="center"/>
          </w:tcPr>
          <w:p w14:paraId="039730C1" w14:textId="77777777" w:rsidR="0059608E" w:rsidRDefault="0059608E" w:rsidP="006130D4">
            <w:pPr>
              <w:spacing w:line="360" w:lineRule="auto"/>
              <w:jc w:val="left"/>
              <w:rPr>
                <w:rFonts w:cs="Arial"/>
                <w:lang w:val="en-AU"/>
              </w:rPr>
            </w:pPr>
          </w:p>
        </w:tc>
        <w:tc>
          <w:tcPr>
            <w:tcW w:w="1984" w:type="dxa"/>
            <w:vAlign w:val="center"/>
          </w:tcPr>
          <w:p w14:paraId="5A36101D" w14:textId="77777777" w:rsidR="0059608E" w:rsidRDefault="0059608E" w:rsidP="006130D4">
            <w:pPr>
              <w:spacing w:line="360" w:lineRule="auto"/>
              <w:jc w:val="left"/>
              <w:rPr>
                <w:rFonts w:cs="Arial"/>
                <w:lang w:val="en-AU"/>
              </w:rPr>
            </w:pPr>
            <w:r>
              <w:rPr>
                <w:rFonts w:cs="Arial"/>
                <w:lang w:val="en-AU"/>
              </w:rPr>
              <w:t>Plane</w:t>
            </w:r>
          </w:p>
        </w:tc>
        <w:tc>
          <w:tcPr>
            <w:tcW w:w="2552" w:type="dxa"/>
            <w:vAlign w:val="center"/>
          </w:tcPr>
          <w:p w14:paraId="6715049F" w14:textId="77777777" w:rsidR="0059608E" w:rsidRDefault="0059608E" w:rsidP="006130D4">
            <w:pPr>
              <w:spacing w:line="360" w:lineRule="auto"/>
              <w:jc w:val="left"/>
              <w:rPr>
                <w:rFonts w:cs="Arial"/>
                <w:lang w:val="en-AU"/>
              </w:rPr>
            </w:pPr>
            <w:r>
              <w:rPr>
                <w:rFonts w:cs="Arial"/>
                <w:lang w:val="en-AU"/>
              </w:rPr>
              <w:t>Sandy Creek</w:t>
            </w:r>
          </w:p>
        </w:tc>
        <w:tc>
          <w:tcPr>
            <w:tcW w:w="2615" w:type="dxa"/>
            <w:vAlign w:val="center"/>
          </w:tcPr>
          <w:p w14:paraId="2C5F2AAB" w14:textId="77777777" w:rsidR="0059608E" w:rsidRDefault="0059608E" w:rsidP="006130D4">
            <w:pPr>
              <w:spacing w:line="360" w:lineRule="auto"/>
              <w:jc w:val="left"/>
              <w:rPr>
                <w:rFonts w:cs="Arial"/>
                <w:lang w:val="en-AU"/>
              </w:rPr>
            </w:pPr>
            <w:r>
              <w:rPr>
                <w:rFonts w:cs="Arial"/>
                <w:lang w:val="en-AU"/>
              </w:rPr>
              <w:t>Sandy Creek</w:t>
            </w:r>
          </w:p>
        </w:tc>
      </w:tr>
      <w:tr w:rsidR="0059608E" w14:paraId="263B42FA" w14:textId="77777777" w:rsidTr="006130D4">
        <w:trPr>
          <w:trHeight w:val="377"/>
          <w:jc w:val="center"/>
        </w:trPr>
        <w:tc>
          <w:tcPr>
            <w:tcW w:w="1788" w:type="dxa"/>
            <w:vAlign w:val="center"/>
          </w:tcPr>
          <w:p w14:paraId="1B82AD90" w14:textId="77777777" w:rsidR="0059608E" w:rsidRDefault="0059608E" w:rsidP="006130D4">
            <w:pPr>
              <w:spacing w:line="360" w:lineRule="auto"/>
              <w:jc w:val="left"/>
              <w:rPr>
                <w:rFonts w:cs="Arial"/>
                <w:lang w:val="en-AU"/>
              </w:rPr>
            </w:pPr>
          </w:p>
        </w:tc>
        <w:tc>
          <w:tcPr>
            <w:tcW w:w="1984" w:type="dxa"/>
            <w:vAlign w:val="center"/>
          </w:tcPr>
          <w:p w14:paraId="7F491C24" w14:textId="77777777" w:rsidR="0059608E" w:rsidRDefault="0059608E" w:rsidP="006130D4">
            <w:pPr>
              <w:spacing w:line="360" w:lineRule="auto"/>
              <w:jc w:val="left"/>
              <w:rPr>
                <w:rFonts w:cs="Arial"/>
                <w:lang w:val="en-AU"/>
              </w:rPr>
            </w:pPr>
            <w:r>
              <w:rPr>
                <w:rFonts w:cs="Arial"/>
                <w:lang w:val="en-AU"/>
              </w:rPr>
              <w:t>Plane</w:t>
            </w:r>
          </w:p>
        </w:tc>
        <w:tc>
          <w:tcPr>
            <w:tcW w:w="2552" w:type="dxa"/>
            <w:vAlign w:val="center"/>
          </w:tcPr>
          <w:p w14:paraId="32C97F13" w14:textId="77777777" w:rsidR="0059608E" w:rsidRDefault="0059608E" w:rsidP="006130D4">
            <w:pPr>
              <w:spacing w:line="360" w:lineRule="auto"/>
              <w:jc w:val="left"/>
              <w:rPr>
                <w:rFonts w:cs="Arial"/>
                <w:lang w:val="en-AU"/>
              </w:rPr>
            </w:pPr>
            <w:r>
              <w:rPr>
                <w:rFonts w:cs="Arial"/>
                <w:lang w:val="en-AU"/>
              </w:rPr>
              <w:t>Plane Creek</w:t>
            </w:r>
          </w:p>
        </w:tc>
        <w:tc>
          <w:tcPr>
            <w:tcW w:w="2615" w:type="dxa"/>
            <w:vAlign w:val="center"/>
          </w:tcPr>
          <w:p w14:paraId="771CC840" w14:textId="77777777" w:rsidR="0059608E" w:rsidRDefault="0059608E" w:rsidP="006130D4">
            <w:pPr>
              <w:spacing w:line="360" w:lineRule="auto"/>
              <w:jc w:val="left"/>
              <w:rPr>
                <w:rFonts w:cs="Arial"/>
                <w:lang w:val="en-AU"/>
              </w:rPr>
            </w:pPr>
            <w:r>
              <w:rPr>
                <w:rFonts w:cs="Arial"/>
                <w:lang w:val="en-AU"/>
              </w:rPr>
              <w:t>Sarina Inlet</w:t>
            </w:r>
          </w:p>
        </w:tc>
      </w:tr>
      <w:tr w:rsidR="0059608E" w14:paraId="31B1BA9C" w14:textId="77777777" w:rsidTr="006130D4">
        <w:trPr>
          <w:trHeight w:val="377"/>
          <w:jc w:val="center"/>
        </w:trPr>
        <w:tc>
          <w:tcPr>
            <w:tcW w:w="1788" w:type="dxa"/>
            <w:vAlign w:val="center"/>
          </w:tcPr>
          <w:p w14:paraId="4A8530E2" w14:textId="77777777" w:rsidR="0059608E" w:rsidRDefault="0059608E" w:rsidP="006130D4">
            <w:pPr>
              <w:spacing w:line="360" w:lineRule="auto"/>
              <w:jc w:val="left"/>
              <w:rPr>
                <w:rFonts w:cs="Arial"/>
                <w:lang w:val="en-AU"/>
              </w:rPr>
            </w:pPr>
            <w:r>
              <w:rPr>
                <w:rFonts w:cs="Arial"/>
                <w:lang w:val="en-AU"/>
              </w:rPr>
              <w:t>Fitzroy</w:t>
            </w:r>
          </w:p>
        </w:tc>
        <w:tc>
          <w:tcPr>
            <w:tcW w:w="1984" w:type="dxa"/>
            <w:vAlign w:val="center"/>
          </w:tcPr>
          <w:p w14:paraId="72B1338D" w14:textId="77777777" w:rsidR="0059608E" w:rsidRDefault="0059608E" w:rsidP="006130D4">
            <w:pPr>
              <w:spacing w:line="360" w:lineRule="auto"/>
              <w:jc w:val="left"/>
              <w:rPr>
                <w:rFonts w:cs="Arial"/>
                <w:lang w:val="en-AU"/>
              </w:rPr>
            </w:pPr>
            <w:r>
              <w:rPr>
                <w:rFonts w:cs="Arial"/>
                <w:lang w:val="en-AU"/>
              </w:rPr>
              <w:t>Fitzroy</w:t>
            </w:r>
          </w:p>
        </w:tc>
        <w:tc>
          <w:tcPr>
            <w:tcW w:w="2552" w:type="dxa"/>
            <w:vAlign w:val="center"/>
          </w:tcPr>
          <w:p w14:paraId="1313A62E" w14:textId="77777777" w:rsidR="0059608E" w:rsidRDefault="0059608E" w:rsidP="006130D4">
            <w:pPr>
              <w:spacing w:line="360" w:lineRule="auto"/>
              <w:jc w:val="left"/>
              <w:rPr>
                <w:rFonts w:cs="Arial"/>
                <w:lang w:val="en-AU"/>
              </w:rPr>
            </w:pPr>
            <w:r>
              <w:rPr>
                <w:rFonts w:cs="Arial"/>
                <w:lang w:val="en-AU"/>
              </w:rPr>
              <w:t>Fitzroy River</w:t>
            </w:r>
          </w:p>
        </w:tc>
        <w:tc>
          <w:tcPr>
            <w:tcW w:w="2615" w:type="dxa"/>
            <w:vAlign w:val="center"/>
          </w:tcPr>
          <w:p w14:paraId="73DAF339" w14:textId="77777777" w:rsidR="0059608E" w:rsidRDefault="0059608E" w:rsidP="006130D4">
            <w:pPr>
              <w:spacing w:line="360" w:lineRule="auto"/>
              <w:jc w:val="left"/>
              <w:rPr>
                <w:rFonts w:cs="Arial"/>
                <w:lang w:val="en-AU"/>
              </w:rPr>
            </w:pPr>
            <w:r>
              <w:rPr>
                <w:rFonts w:cs="Arial"/>
                <w:lang w:val="en-AU"/>
              </w:rPr>
              <w:t>North Keppel Island</w:t>
            </w:r>
          </w:p>
        </w:tc>
      </w:tr>
    </w:tbl>
    <w:p w14:paraId="0A50B18A" w14:textId="77777777" w:rsidR="0059608E" w:rsidRDefault="0059608E" w:rsidP="006130D4">
      <w:pPr>
        <w:spacing w:line="360" w:lineRule="auto"/>
        <w:rPr>
          <w:rFonts w:cs="Arial"/>
          <w:lang w:val="en-AU"/>
        </w:rPr>
      </w:pPr>
    </w:p>
    <w:p w14:paraId="54B7BDD1" w14:textId="77777777" w:rsidR="0059608E" w:rsidRDefault="0059608E" w:rsidP="006130D4">
      <w:pPr>
        <w:spacing w:line="360" w:lineRule="auto"/>
        <w:rPr>
          <w:lang w:val="en-AU" w:eastAsia="en-AU"/>
        </w:rPr>
      </w:pPr>
      <w:r>
        <w:rPr>
          <w:lang w:val="en-AU" w:eastAsia="en-AU"/>
        </w:rPr>
        <w:t xml:space="preserve">The Wet Tropics region encompasses eight catchment areas, covering approximately 2.2 million hectares </w:t>
      </w:r>
      <w:r w:rsidR="005E28AA">
        <w:rPr>
          <w:lang w:val="en-AU" w:eastAsia="en-AU"/>
        </w:rPr>
        <w:fldChar w:fldCharType="begin"/>
      </w:r>
      <w:r w:rsidR="005E28AA">
        <w:rPr>
          <w:lang w:val="en-AU" w:eastAsia="en-AU"/>
        </w:rPr>
        <w:instrText xml:space="preserve"> ADDIN EN.CITE &lt;EndNote&gt;&lt;Cite&gt;&lt;Author&gt;ABS&lt;/Author&gt;&lt;Year&gt;2010&lt;/Year&gt;&lt;RecNum&gt;327&lt;/RecNum&gt;&lt;DisplayText&gt;(ABS, 2010)&lt;/DisplayText&gt;&lt;record&gt;&lt;rec-number&gt;327&lt;/rec-number&gt;&lt;foreign-keys&gt;&lt;key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5E28AA">
        <w:rPr>
          <w:lang w:val="en-AU" w:eastAsia="en-AU"/>
        </w:rPr>
        <w:fldChar w:fldCharType="separate"/>
      </w:r>
      <w:r w:rsidR="005E28AA">
        <w:rPr>
          <w:noProof/>
          <w:lang w:val="en-AU" w:eastAsia="en-AU"/>
        </w:rPr>
        <w:t>(ABS, 2010)</w:t>
      </w:r>
      <w:r w:rsidR="005E28AA">
        <w:rPr>
          <w:lang w:val="en-AU" w:eastAsia="en-AU"/>
        </w:rPr>
        <w:fldChar w:fldCharType="end"/>
      </w:r>
      <w:r w:rsidR="005E28AA">
        <w:rPr>
          <w:lang w:val="en-AU" w:eastAsia="en-AU"/>
        </w:rPr>
        <w:t>.</w:t>
      </w:r>
      <w:r>
        <w:rPr>
          <w:lang w:val="en-AU" w:eastAsia="en-AU"/>
        </w:rPr>
        <w:t xml:space="preserve"> Approximately 44 % of land is set aside as conservation and natural environment areas, however beef cattle grazing (30 % of total land use) and sugar cane (7% of total land use) are the primary agricultural activities </w:t>
      </w:r>
      <w:r w:rsidR="00F920E8">
        <w:rPr>
          <w:lang w:val="en-AU" w:eastAsia="en-AU"/>
        </w:rPr>
        <w:fldChar w:fldCharType="begin"/>
      </w:r>
      <w:r w:rsidR="0078173C">
        <w:rPr>
          <w:lang w:val="en-AU" w:eastAsia="en-AU"/>
        </w:rPr>
        <w:instrText xml:space="preserve"> ADDIN EN.CITE &lt;EndNote&gt;&lt;Cite&gt;&lt;Author&gt;DSITIA&lt;/Author&gt;&lt;Year&gt;2012&lt;/Year&gt;&lt;RecNum&gt;328&lt;/RecNum&gt;&lt;DisplayText&gt;(DSITIA, 2012b)&lt;/DisplayText&gt;&lt;record&gt;&lt;rec-number&gt;328&lt;/rec-number&gt;&lt;foreign-keys&gt;&lt;key app="EN" db-id="0zzrztwe5p59skesdrqpsfeu2s0xt5zd5v9p" timestamp="1466577332"&gt;328&lt;/key&gt;&lt;/foreign-keys&gt;&lt;ref-type name="Report"&gt;27&lt;/ref-type&gt;&lt;contributors&gt;&lt;authors&gt;&lt;author&gt;DSITIA&lt;/author&gt;&lt;/authors&gt;&lt;/contributors&gt;&lt;titles&gt;&lt;title&gt;Land use summary 1999–2009 for the Wet Tropics NRM region&lt;/title&gt;&lt;/titles&gt;&lt;dates&gt;&lt;year&gt;2012&lt;/year&gt;&lt;/dates&gt;&lt;pub-location&gt;Queensland Department of Science, Information Technology, Innovation and the Arts, Brisbane.&lt;/pub-location&gt;&lt;urls&gt;&lt;/urls&gt;&lt;/record&gt;&lt;/Cite&gt;&lt;/EndNote&gt;</w:instrText>
      </w:r>
      <w:r w:rsidR="00F920E8">
        <w:rPr>
          <w:lang w:val="en-AU" w:eastAsia="en-AU"/>
        </w:rPr>
        <w:fldChar w:fldCharType="separate"/>
      </w:r>
      <w:r w:rsidR="0078173C">
        <w:rPr>
          <w:noProof/>
          <w:lang w:val="en-AU" w:eastAsia="en-AU"/>
        </w:rPr>
        <w:t>(DSITIA, 2012b)</w:t>
      </w:r>
      <w:r w:rsidR="00F920E8">
        <w:rPr>
          <w:lang w:val="en-AU" w:eastAsia="en-AU"/>
        </w:rPr>
        <w:fldChar w:fldCharType="end"/>
      </w:r>
      <w:r>
        <w:rPr>
          <w:lang w:val="en-AU" w:eastAsia="en-AU"/>
        </w:rPr>
        <w:t xml:space="preserve">. Fixed sampling sites in the Wet Tropics region in 2014-2015 were at Low Isles, Green Island, Fitzroy Island, Normanby Island, Dunk Island and Lucinda (Figure </w:t>
      </w:r>
      <w:r w:rsidR="007077DE">
        <w:rPr>
          <w:lang w:val="en-AU" w:eastAsia="en-AU"/>
        </w:rPr>
        <w:t>2</w:t>
      </w:r>
      <w:r>
        <w:rPr>
          <w:lang w:val="en-AU" w:eastAsia="en-AU"/>
        </w:rPr>
        <w:t>). Low Isles and Fitzroy Island have been monitored since 2005, Dunk Island since 2008 (once in 2007), Green Island since 2009 and Lucinda was established this monitoring year.</w:t>
      </w:r>
    </w:p>
    <w:p w14:paraId="27F9EE18" w14:textId="77777777" w:rsidR="0059608E" w:rsidRDefault="0059608E" w:rsidP="006130D4">
      <w:pPr>
        <w:spacing w:line="360" w:lineRule="auto"/>
        <w:rPr>
          <w:rFonts w:cs="Arial"/>
          <w:lang w:val="en-AU"/>
        </w:rPr>
      </w:pPr>
    </w:p>
    <w:p w14:paraId="3A2FC92A" w14:textId="77777777" w:rsidR="009C33B1" w:rsidRDefault="0059608E" w:rsidP="006130D4">
      <w:pPr>
        <w:spacing w:line="360" w:lineRule="auto"/>
        <w:rPr>
          <w:rFonts w:cs="Arial"/>
          <w:lang w:val="en-AU"/>
        </w:rPr>
      </w:pPr>
      <w:r>
        <w:rPr>
          <w:lang w:val="en-AU" w:eastAsia="en-AU"/>
        </w:rPr>
        <w:t xml:space="preserve">The Burdekin region spans five catchments and covers 14 million hectares, of which 90 % is used for agricultural purposes, with grazing primarily inland and some sugar cane and horticulture along the coast </w:t>
      </w:r>
      <w:r w:rsidR="00F920E8">
        <w:rPr>
          <w:lang w:val="en-AU" w:eastAsia="en-AU"/>
        </w:rPr>
        <w:fldChar w:fldCharType="begin"/>
      </w:r>
      <w:r w:rsidR="0078173C">
        <w:rPr>
          <w:lang w:val="en-AU" w:eastAsia="en-AU"/>
        </w:rPr>
        <w:instrText xml:space="preserve"> ADDIN EN.CITE &lt;EndNote&gt;&lt;Cite&gt;&lt;Author&gt;DSITIA&lt;/Author&gt;&lt;Year&gt;2012&lt;/Year&gt;&lt;RecNum&gt;293&lt;/RecNum&gt;&lt;DisplayText&gt;(DSITIA, 2012c, ABS, 2010)&lt;/DisplayText&gt;&lt;record&gt;&lt;rec-number&gt;293&lt;/rec-number&gt;&lt;foreign-keys&gt;&lt;key app="EN" db-id="0zzrztwe5p59skesdrqpsfeu2s0xt5zd5v9p" timestamp="1466321055"&gt;293&lt;/key&gt;&lt;/foreign-keys&gt;&lt;ref-type name="Report"&gt;27&lt;/ref-type&gt;&lt;contributors&gt;&lt;authors&gt;&lt;author&gt;DSITIA&lt;/author&gt;&lt;/authors&gt;&lt;/contributors&gt;&lt;titles&gt;&lt;title&gt;Land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Brisbane.&lt;/pub-location&gt;&lt;urls&gt;&lt;/urls&gt;&lt;/record&gt;&lt;/Cite&gt;&lt;Cite&gt;&lt;Author&gt;ABS&lt;/Author&gt;&lt;Year&gt;2010&lt;/Year&gt;&lt;RecNum&gt;327&lt;/RecNum&gt;&lt;record&gt;&lt;rec-number&gt;327&lt;/rec-number&gt;&lt;foreign-keys&gt;&lt;key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F920E8">
        <w:rPr>
          <w:lang w:val="en-AU" w:eastAsia="en-AU"/>
        </w:rPr>
        <w:fldChar w:fldCharType="separate"/>
      </w:r>
      <w:r w:rsidR="0078173C">
        <w:rPr>
          <w:noProof/>
          <w:lang w:val="en-AU" w:eastAsia="en-AU"/>
        </w:rPr>
        <w:t>(DSITIA, 2012c, ABS, 2010)</w:t>
      </w:r>
      <w:r w:rsidR="00F920E8">
        <w:rPr>
          <w:lang w:val="en-AU" w:eastAsia="en-AU"/>
        </w:rPr>
        <w:fldChar w:fldCharType="end"/>
      </w:r>
      <w:r w:rsidR="00F920E8">
        <w:rPr>
          <w:lang w:val="en-AU" w:eastAsia="en-AU"/>
        </w:rPr>
        <w:t>.</w:t>
      </w:r>
      <w:r>
        <w:rPr>
          <w:lang w:val="en-AU" w:eastAsia="en-AU"/>
        </w:rPr>
        <w:t xml:space="preserve"> Sampling sites in the Burdekin region in 2014-2015 were Orpheus Island, Barratta Creek mouth and Cape Cleveland (Figure </w:t>
      </w:r>
      <w:r w:rsidR="007C2E61">
        <w:rPr>
          <w:lang w:val="en-AU" w:eastAsia="en-AU"/>
        </w:rPr>
        <w:t>2</w:t>
      </w:r>
      <w:r>
        <w:rPr>
          <w:lang w:val="en-AU" w:eastAsia="en-AU"/>
        </w:rPr>
        <w:t xml:space="preserve">). Orpheus Island has been monitored since 2005, </w:t>
      </w:r>
      <w:r>
        <w:rPr>
          <w:lang w:val="en-AU" w:eastAsia="en-AU"/>
        </w:rPr>
        <w:lastRenderedPageBreak/>
        <w:t>Cape Cleveland has been monitored since 2007, and the Barratta Creek mouth site was established this year</w:t>
      </w:r>
      <w:r w:rsidRPr="0090433A">
        <w:rPr>
          <w:lang w:val="en-AU" w:eastAsia="en-AU"/>
        </w:rPr>
        <w:t>.</w:t>
      </w:r>
      <w:r w:rsidRPr="003B0DF7">
        <w:rPr>
          <w:rFonts w:cs="Arial"/>
          <w:lang w:val="en-AU"/>
        </w:rPr>
        <w:t xml:space="preserve"> </w:t>
      </w:r>
    </w:p>
    <w:p w14:paraId="56451DCF" w14:textId="77777777" w:rsidR="009C33B1" w:rsidRDefault="009C33B1" w:rsidP="006130D4">
      <w:pPr>
        <w:spacing w:line="360" w:lineRule="auto"/>
        <w:rPr>
          <w:rFonts w:cs="Arial"/>
          <w:lang w:val="en-AU"/>
        </w:rPr>
      </w:pPr>
    </w:p>
    <w:p w14:paraId="349567F7" w14:textId="77777777" w:rsidR="0059608E" w:rsidRPr="006033DD" w:rsidRDefault="0059608E" w:rsidP="006130D4">
      <w:pPr>
        <w:spacing w:line="360" w:lineRule="auto"/>
        <w:rPr>
          <w:lang w:val="en-GB" w:eastAsia="en-AU"/>
        </w:rPr>
      </w:pPr>
      <w:r>
        <w:rPr>
          <w:rFonts w:cs="Arial"/>
          <w:lang w:val="en-AU"/>
        </w:rPr>
        <w:t xml:space="preserve">This monitoring year, two additional passive samplers were deployed upstream in the Barratta Creek catchment, </w:t>
      </w:r>
      <w:r w:rsidR="00ED0FB7">
        <w:rPr>
          <w:rFonts w:cs="Arial"/>
          <w:lang w:val="en-AU"/>
        </w:rPr>
        <w:t>during</w:t>
      </w:r>
      <w:r>
        <w:rPr>
          <w:lang w:val="en-GB" w:eastAsia="en-AU"/>
        </w:rPr>
        <w:t xml:space="preserve"> the wet season between November 2014 and February 2015</w:t>
      </w:r>
      <w:r w:rsidR="007C2E61">
        <w:rPr>
          <w:lang w:val="en-GB" w:eastAsia="en-AU"/>
        </w:rPr>
        <w:t xml:space="preserve"> (Figure 3)</w:t>
      </w:r>
      <w:r>
        <w:rPr>
          <w:lang w:val="en-GB" w:eastAsia="en-AU"/>
        </w:rPr>
        <w:t xml:space="preserve">. Barratta Creek is a small sub-catchment, located in the Lower Burdekin Basin. The primary land use is grazing on native pastures, with 31 % of land used for irrigated sugar production and less than 6 % is set aside for conservation purposes </w:t>
      </w:r>
      <w:r w:rsidR="00F920E8">
        <w:rPr>
          <w:lang w:val="en-GB" w:eastAsia="en-AU"/>
        </w:rPr>
        <w:fldChar w:fldCharType="begin"/>
      </w:r>
      <w:r w:rsidR="00F920E8">
        <w:rPr>
          <w:lang w:val="en-GB" w:eastAsia="en-AU"/>
        </w:rPr>
        <w:instrText xml:space="preserve"> ADDIN EN.CITE &lt;EndNote&gt;&lt;Cite&gt;&lt;Author&gt;Dight&lt;/Author&gt;&lt;Year&gt;2009&lt;/Year&gt;&lt;RecNum&gt;298&lt;/RecNum&gt;&lt;DisplayText&gt;(Dight, 2009)&lt;/DisplayText&gt;&lt;record&gt;&lt;rec-number&gt;298&lt;/rec-number&gt;&lt;foreign-keys&gt;&lt;key app="EN" db-id="0zzrztwe5p59skesdrqpsfeu2s0xt5zd5v9p" timestamp="1466322124"&gt;298&lt;/key&gt;&lt;/foreign-keys&gt;&lt;ref-type name="Report"&gt;27&lt;/ref-type&gt;&lt;contributors&gt;&lt;authors&gt;&lt;author&gt;Dight, I&lt;/author&gt;&lt;/authors&gt;&lt;/contributors&gt;&lt;titles&gt;&lt;title&gt;Burdekin Water Quality Improvement Plan, NQ Dry Tropics&lt;/title&gt;&lt;/titles&gt;&lt;dates&gt;&lt;year&gt;2009&lt;/year&gt;&lt;/dates&gt;&lt;pub-location&gt;Townsville&lt;/pub-location&gt;&lt;urls&gt;&lt;/urls&gt;&lt;/record&gt;&lt;/Cite&gt;&lt;/EndNote&gt;</w:instrText>
      </w:r>
      <w:r w:rsidR="00F920E8">
        <w:rPr>
          <w:lang w:val="en-GB" w:eastAsia="en-AU"/>
        </w:rPr>
        <w:fldChar w:fldCharType="separate"/>
      </w:r>
      <w:r w:rsidR="00F920E8">
        <w:rPr>
          <w:noProof/>
          <w:lang w:val="en-GB" w:eastAsia="en-AU"/>
        </w:rPr>
        <w:t>(Dight, 2009)</w:t>
      </w:r>
      <w:r w:rsidR="00F920E8">
        <w:rPr>
          <w:lang w:val="en-GB" w:eastAsia="en-AU"/>
        </w:rPr>
        <w:fldChar w:fldCharType="end"/>
      </w:r>
      <w:r>
        <w:rPr>
          <w:lang w:val="en-GB" w:eastAsia="en-AU"/>
        </w:rPr>
        <w:t>. Extensive development of irrigation channels and discharge of tailwaters has altered the natural seasonal flow of the Barratta Creek, to one of perennial flow.  The estuarine wetland area within Bowling Green Bay National Park has been recognised as a Ramsar wetland and is an important breeding and feeding area for bird and aquatic life. The mid to lower reaches of the creek that are influenced by tailwater are considered to be highly disturbed, and</w:t>
      </w:r>
      <w:r w:rsidRPr="009147E7">
        <w:rPr>
          <w:lang w:val="en-GB" w:eastAsia="en-AU"/>
        </w:rPr>
        <w:t xml:space="preserve"> </w:t>
      </w:r>
      <w:r>
        <w:rPr>
          <w:lang w:val="en-GB" w:eastAsia="en-AU"/>
        </w:rPr>
        <w:t xml:space="preserve">elevated concentrations of PSII herbicides and other pesticides (in both grab and passive samplers) have been consistently detected in previous sampling programs </w:t>
      </w:r>
      <w:r w:rsidR="00F920E8">
        <w:rPr>
          <w:lang w:val="en-GB" w:eastAsia="en-AU"/>
        </w:rPr>
        <w:fldChar w:fldCharType="begin"/>
      </w:r>
      <w:r w:rsidR="0037490D">
        <w:rPr>
          <w:lang w:val="en-GB" w:eastAsia="en-AU"/>
        </w:rPr>
        <w:instrText xml:space="preserve"> ADDIN EN.CITE &lt;EndNote&gt;&lt;Cite&gt;&lt;Author&gt;Dight&lt;/Author&gt;&lt;Year&gt;2009&lt;/Year&gt;&lt;RecNum&gt;298&lt;/RecNum&gt;&lt;DisplayText&gt;(Dight, 2009, O’Brien et al., 2016)&lt;/DisplayText&gt;&lt;record&gt;&lt;rec-number&gt;298&lt;/rec-number&gt;&lt;foreign-keys&gt;&lt;key app="EN" db-id="0zzrztwe5p59skesdrqpsfeu2s0xt5zd5v9p" timestamp="1466322124"&gt;298&lt;/key&gt;&lt;/foreign-keys&gt;&lt;ref-type name="Report"&gt;27&lt;/ref-type&gt;&lt;contributors&gt;&lt;authors&gt;&lt;author&gt;Dight, I&lt;/author&gt;&lt;/authors&gt;&lt;/contributors&gt;&lt;titles&gt;&lt;title&gt;Burdekin Water Quality Improvement Plan, NQ Dry Tropics&lt;/title&gt;&lt;/titles&gt;&lt;dates&gt;&lt;year&gt;2009&lt;/year&gt;&lt;/dates&gt;&lt;pub-location&gt;Townsville&lt;/pub-location&gt;&lt;urls&gt;&lt;/urls&gt;&lt;/record&gt;&lt;/Cite&gt;&lt;Cite&gt;&lt;Author&gt;O’Brien&lt;/Author&gt;&lt;Year&gt;2016&lt;/Year&gt;&lt;RecNum&gt;325&lt;/RecNum&gt;&lt;record&gt;&lt;rec-number&gt;325&lt;/rec-number&gt;&lt;foreign-keys&gt;&lt;key app="EN" db-id="0zzrztwe5p59skesdrqpsfeu2s0xt5zd5v9p" timestamp="1466572695"&gt;325&lt;/key&gt;&lt;/foreign-keys&gt;&lt;ref-type name="Journal Article"&gt;17&lt;/ref-type&gt;&lt;contributors&gt;&lt;authors&gt;&lt;author&gt;O’Brien, Dominique&lt;/author&gt;&lt;author&gt;Lewis, Stephen&lt;/author&gt;&lt;author&gt;Davis, Aaron&lt;/author&gt;&lt;author&gt;Gallen, Christie&lt;/author&gt;&lt;author&gt;Smith, Rachael&lt;/author&gt;&lt;author&gt;Turner, Ryan&lt;/author&gt;&lt;author&gt;Warne, Michael&lt;/author&gt;&lt;author&gt;Turner, Scott&lt;/author&gt;&lt;author&gt;Caswell, Stewart&lt;/author&gt;&lt;author&gt;Mueller, Jochen F&lt;/author&gt;&lt;/authors&gt;&lt;/contributors&gt;&lt;titles&gt;&lt;title&gt;Spatial and temporal variability in pesticide exposure downstream of a heavily irrigated cropping area: application of different monitoring techniques&lt;/title&gt;&lt;secondary-title&gt;Journal of agricultural and food chemistry&lt;/secondary-title&gt;&lt;/titles&gt;&lt;periodical&gt;&lt;full-title&gt;Journal of Agricultural and Food Chemistry&lt;/full-title&gt;&lt;/periodical&gt;&lt;pages&gt;3975-3989&lt;/pages&gt;&lt;volume&gt;64&lt;/volume&gt;&lt;number&gt;20&lt;/number&gt;&lt;dates&gt;&lt;year&gt;2016&lt;/year&gt;&lt;/dates&gt;&lt;isbn&gt;0021-8561&lt;/isbn&gt;&lt;urls&gt;&lt;/urls&gt;&lt;/record&gt;&lt;/Cite&gt;&lt;/EndNote&gt;</w:instrText>
      </w:r>
      <w:r w:rsidR="00F920E8">
        <w:rPr>
          <w:lang w:val="en-GB" w:eastAsia="en-AU"/>
        </w:rPr>
        <w:fldChar w:fldCharType="separate"/>
      </w:r>
      <w:r w:rsidR="0037490D">
        <w:rPr>
          <w:noProof/>
          <w:lang w:val="en-GB" w:eastAsia="en-AU"/>
        </w:rPr>
        <w:t>(Dight, 2009, O’Brien et al., 2016)</w:t>
      </w:r>
      <w:r w:rsidR="00F920E8">
        <w:rPr>
          <w:lang w:val="en-GB" w:eastAsia="en-AU"/>
        </w:rPr>
        <w:fldChar w:fldCharType="end"/>
      </w:r>
      <w:r>
        <w:rPr>
          <w:lang w:val="en-GB" w:eastAsia="en-AU"/>
        </w:rPr>
        <w:t>. The marine area of Bowling Green Bay is home to dugong and turtle feeding grounds and thus, reducing the use and run-off of herbicides in the area of heavy sugar production surrounding the creek is now a management priority.</w:t>
      </w:r>
    </w:p>
    <w:p w14:paraId="62C2396F" w14:textId="77777777" w:rsidR="00942A45" w:rsidRDefault="0059608E" w:rsidP="00942A45">
      <w:pPr>
        <w:keepNext/>
        <w:spacing w:line="360" w:lineRule="auto"/>
        <w:jc w:val="center"/>
      </w:pPr>
      <w:r>
        <w:rPr>
          <w:rFonts w:cs="Arial"/>
          <w:noProof/>
          <w:lang w:val="en-AU" w:eastAsia="en-AU" w:bidi="ar-SA"/>
        </w:rPr>
        <w:drawing>
          <wp:inline distT="0" distB="0" distL="0" distR="0" wp14:anchorId="1F101D5E" wp14:editId="48435CD0">
            <wp:extent cx="4729522" cy="5074759"/>
            <wp:effectExtent l="0" t="0" r="0" b="0"/>
            <wp:docPr id="47" name="Picture 47" descr="Figure 3 Locations of Barratta Creek passive sampl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32843" cy="5078323"/>
                    </a:xfrm>
                    <a:prstGeom prst="rect">
                      <a:avLst/>
                    </a:prstGeom>
                    <a:noFill/>
                  </pic:spPr>
                </pic:pic>
              </a:graphicData>
            </a:graphic>
          </wp:inline>
        </w:drawing>
      </w:r>
    </w:p>
    <w:p w14:paraId="502234D6" w14:textId="77777777" w:rsidR="0059608E" w:rsidRDefault="00942A45" w:rsidP="00942A45">
      <w:pPr>
        <w:pStyle w:val="Caption"/>
        <w:jc w:val="center"/>
        <w:rPr>
          <w:lang w:val="en-AU" w:eastAsia="en-AU"/>
        </w:rPr>
      </w:pPr>
      <w:bookmarkStart w:id="34" w:name="_Toc462399463"/>
      <w:r>
        <w:t xml:space="preserve">Figure </w:t>
      </w:r>
      <w:r>
        <w:fldChar w:fldCharType="begin"/>
      </w:r>
      <w:r>
        <w:instrText xml:space="preserve"> SEQ Figure \* ARABIC </w:instrText>
      </w:r>
      <w:r>
        <w:fldChar w:fldCharType="separate"/>
      </w:r>
      <w:r w:rsidR="00E51A34">
        <w:rPr>
          <w:noProof/>
        </w:rPr>
        <w:t>3</w:t>
      </w:r>
      <w:r>
        <w:fldChar w:fldCharType="end"/>
      </w:r>
      <w:r>
        <w:t xml:space="preserve"> Locations of Barratta Creek passive sampling sites</w:t>
      </w:r>
      <w:bookmarkEnd w:id="34"/>
    </w:p>
    <w:p w14:paraId="4B51C398" w14:textId="77777777" w:rsidR="0059608E" w:rsidRDefault="0059608E" w:rsidP="006130D4">
      <w:pPr>
        <w:spacing w:line="360" w:lineRule="auto"/>
        <w:rPr>
          <w:lang w:val="en-AU" w:eastAsia="en-AU"/>
        </w:rPr>
      </w:pPr>
      <w:r>
        <w:rPr>
          <w:lang w:val="en-AU" w:eastAsia="en-AU"/>
        </w:rPr>
        <w:lastRenderedPageBreak/>
        <w:t xml:space="preserve">The Mackay Whitsunday region is the smallest NRM region, spanning four catchments with an area of approximately 900,000 hectares </w:t>
      </w:r>
      <w:r w:rsidR="009C33B1">
        <w:rPr>
          <w:lang w:val="en-AU" w:eastAsia="en-AU"/>
        </w:rPr>
        <w:fldChar w:fldCharType="begin"/>
      </w:r>
      <w:r w:rsidR="009C33B1">
        <w:rPr>
          <w:lang w:val="en-AU" w:eastAsia="en-AU"/>
        </w:rPr>
        <w:instrText xml:space="preserve"> ADDIN EN.CITE &lt;EndNote&gt;&lt;Cite&gt;&lt;Author&gt;ABS&lt;/Author&gt;&lt;Year&gt;2010&lt;/Year&gt;&lt;RecNum&gt;327&lt;/RecNum&gt;&lt;DisplayText&gt;(ABS, 2010)&lt;/DisplayText&gt;&lt;record&gt;&lt;rec-number&gt;327&lt;/rec-number&gt;&lt;foreign-keys&gt;&lt;key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9C33B1">
        <w:rPr>
          <w:lang w:val="en-AU" w:eastAsia="en-AU"/>
        </w:rPr>
        <w:fldChar w:fldCharType="separate"/>
      </w:r>
      <w:r w:rsidR="009C33B1">
        <w:rPr>
          <w:noProof/>
          <w:lang w:val="en-AU" w:eastAsia="en-AU"/>
        </w:rPr>
        <w:t>(ABS, 2010)</w:t>
      </w:r>
      <w:r w:rsidR="009C33B1">
        <w:rPr>
          <w:lang w:val="en-AU" w:eastAsia="en-AU"/>
        </w:rPr>
        <w:fldChar w:fldCharType="end"/>
      </w:r>
      <w:r>
        <w:rPr>
          <w:lang w:val="en-AU" w:eastAsia="en-AU"/>
        </w:rPr>
        <w:t xml:space="preserve">. This region is dominated by the sugar cane industry, which comprises 18% of the region’s land use </w:t>
      </w:r>
      <w:r w:rsidR="009C33B1">
        <w:rPr>
          <w:lang w:val="en-AU" w:eastAsia="en-AU"/>
        </w:rPr>
        <w:fldChar w:fldCharType="begin"/>
      </w:r>
      <w:r w:rsidR="00D4195D">
        <w:rPr>
          <w:lang w:val="en-AU" w:eastAsia="en-AU"/>
        </w:rPr>
        <w:instrText xml:space="preserve"> ADDIN EN.CITE &lt;EndNote&gt;&lt;Cite&gt;&lt;Author&gt;DSITIA&lt;/Author&gt;&lt;Year&gt;2012&lt;/Year&gt;&lt;RecNum&gt;329&lt;/RecNum&gt;&lt;DisplayText&gt;(DSITIA, 2012e)&lt;/DisplayText&gt;&lt;record&gt;&lt;rec-number&gt;329&lt;/rec-number&gt;&lt;foreign-keys&gt;&lt;key app="EN" db-id="0zzrztwe5p59skesdrqpsfeu2s0xt5zd5v9p" timestamp="1466577635"&gt;329&lt;/key&gt;&lt;/foreign-keys&gt;&lt;ref-type name="Report"&gt;27&lt;/ref-type&gt;&lt;contributors&gt;&lt;authors&gt;&lt;author&gt;DSITIA&lt;/author&gt;&lt;/authors&gt;&lt;/contributors&gt;&lt;titles&gt;&lt;title&gt;Land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Brisbane.&lt;/pub-location&gt;&lt;urls&gt;&lt;/urls&gt;&lt;/record&gt;&lt;/Cite&gt;&lt;/EndNote&gt;</w:instrText>
      </w:r>
      <w:r w:rsidR="009C33B1">
        <w:rPr>
          <w:lang w:val="en-AU" w:eastAsia="en-AU"/>
        </w:rPr>
        <w:fldChar w:fldCharType="separate"/>
      </w:r>
      <w:r w:rsidR="00D4195D">
        <w:rPr>
          <w:noProof/>
          <w:lang w:val="en-AU" w:eastAsia="en-AU"/>
        </w:rPr>
        <w:t>(DSITIA, 2012e)</w:t>
      </w:r>
      <w:r w:rsidR="009C33B1">
        <w:rPr>
          <w:lang w:val="en-AU" w:eastAsia="en-AU"/>
        </w:rPr>
        <w:fldChar w:fldCharType="end"/>
      </w:r>
      <w:r>
        <w:rPr>
          <w:lang w:val="en-AU" w:eastAsia="en-AU"/>
        </w:rPr>
        <w:t xml:space="preserve">. Sampling sites in the Mackay Whitsunday region in 2014-2015 were Outer Whitsunday, Sandy Creek, Repulse Bay, Round/ Flat Top Island and Sarina Inlet (Figure </w:t>
      </w:r>
      <w:r w:rsidR="003E6474">
        <w:rPr>
          <w:lang w:val="en-AU" w:eastAsia="en-AU"/>
        </w:rPr>
        <w:t>2</w:t>
      </w:r>
      <w:r>
        <w:rPr>
          <w:lang w:val="en-AU" w:eastAsia="en-AU"/>
        </w:rPr>
        <w:t xml:space="preserve">). </w:t>
      </w:r>
      <w:r w:rsidR="00E01A55">
        <w:rPr>
          <w:lang w:val="en-AU" w:eastAsia="en-AU"/>
        </w:rPr>
        <w:t xml:space="preserve">The </w:t>
      </w:r>
      <w:r>
        <w:rPr>
          <w:lang w:val="en-AU" w:eastAsia="en-AU"/>
        </w:rPr>
        <w:t xml:space="preserve">Outer Whitsunday </w:t>
      </w:r>
      <w:r w:rsidR="00E01A55">
        <w:rPr>
          <w:lang w:val="en-AU" w:eastAsia="en-AU"/>
        </w:rPr>
        <w:t xml:space="preserve">site </w:t>
      </w:r>
      <w:r>
        <w:rPr>
          <w:lang w:val="en-AU" w:eastAsia="en-AU"/>
        </w:rPr>
        <w:t>has been monitored since 2006, Sarina Inlet site was established in 2009 and the remaining sites were established this year.</w:t>
      </w:r>
      <w:r w:rsidR="003E6474">
        <w:rPr>
          <w:lang w:val="en-AU" w:eastAsia="en-AU"/>
        </w:rPr>
        <w:t xml:space="preserve"> </w:t>
      </w:r>
      <w:r>
        <w:rPr>
          <w:lang w:val="en-AU" w:eastAsia="en-AU"/>
        </w:rPr>
        <w:t xml:space="preserve">The Fitzroy region spans six catchments and covers an area of 15.6 million hectares </w:t>
      </w:r>
      <w:r w:rsidR="00073C4E">
        <w:rPr>
          <w:lang w:val="en-AU" w:eastAsia="en-AU"/>
        </w:rPr>
        <w:fldChar w:fldCharType="begin"/>
      </w:r>
      <w:r w:rsidR="00073C4E">
        <w:rPr>
          <w:lang w:val="en-AU" w:eastAsia="en-AU"/>
        </w:rPr>
        <w:instrText xml:space="preserve"> ADDIN EN.CITE &lt;EndNote&gt;&lt;Cite&gt;&lt;Author&gt;ABS&lt;/Author&gt;&lt;Year&gt;2010&lt;/Year&gt;&lt;RecNum&gt;327&lt;/RecNum&gt;&lt;DisplayText&gt;(ABS, 2010)&lt;/DisplayText&gt;&lt;record&gt;&lt;rec-number&gt;327&lt;/rec-number&gt;&lt;foreign-keys&gt;&lt;key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073C4E">
        <w:rPr>
          <w:lang w:val="en-AU" w:eastAsia="en-AU"/>
        </w:rPr>
        <w:fldChar w:fldCharType="separate"/>
      </w:r>
      <w:r w:rsidR="00073C4E">
        <w:rPr>
          <w:noProof/>
          <w:lang w:val="en-AU" w:eastAsia="en-AU"/>
        </w:rPr>
        <w:t>(ABS, 2010)</w:t>
      </w:r>
      <w:r w:rsidR="00073C4E">
        <w:rPr>
          <w:lang w:val="en-AU" w:eastAsia="en-AU"/>
        </w:rPr>
        <w:fldChar w:fldCharType="end"/>
      </w:r>
      <w:r>
        <w:rPr>
          <w:lang w:val="en-AU" w:eastAsia="en-AU"/>
        </w:rPr>
        <w:t xml:space="preserve">. Cattle grazing is the most prevalent industry (78 % of the land use), with broad acre cropping (5 % of the land use) and cotton farming also present </w:t>
      </w:r>
      <w:r w:rsidR="0078173C">
        <w:rPr>
          <w:lang w:val="en-AU" w:eastAsia="en-AU"/>
        </w:rPr>
        <w:fldChar w:fldCharType="begin"/>
      </w:r>
      <w:r w:rsidR="0078173C">
        <w:rPr>
          <w:lang w:val="en-AU" w:eastAsia="en-AU"/>
        </w:rPr>
        <w:instrText xml:space="preserve"> ADDIN EN.CITE &lt;EndNote&gt;&lt;Cite&gt;&lt;Author&gt;DSITIA&lt;/Author&gt;&lt;Year&gt;2012&lt;/Year&gt;&lt;RecNum&gt;330&lt;/RecNum&gt;&lt;DisplayText&gt;(DSITIA, 2012a)&lt;/DisplayText&gt;&lt;record&gt;&lt;rec-number&gt;330&lt;/rec-number&gt;&lt;foreign-keys&gt;&lt;key app="EN" db-id="0zzrztwe5p59skesdrqpsfeu2s0xt5zd5v9p" timestamp="1466577723"&gt;330&lt;/key&gt;&lt;/foreign-keys&gt;&lt;ref-type name="Report"&gt;27&lt;/ref-type&gt;&lt;contributors&gt;&lt;authors&gt;&lt;author&gt;DSITIA&lt;/author&gt;&lt;/authors&gt;&lt;/contributors&gt;&lt;titles&gt;&lt;title&gt;Land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0078173C">
        <w:rPr>
          <w:lang w:val="en-AU" w:eastAsia="en-AU"/>
        </w:rPr>
        <w:fldChar w:fldCharType="separate"/>
      </w:r>
      <w:r w:rsidR="0078173C">
        <w:rPr>
          <w:noProof/>
          <w:lang w:val="en-AU" w:eastAsia="en-AU"/>
        </w:rPr>
        <w:t>(DSITIA, 2012a)</w:t>
      </w:r>
      <w:r w:rsidR="0078173C">
        <w:rPr>
          <w:lang w:val="en-AU" w:eastAsia="en-AU"/>
        </w:rPr>
        <w:fldChar w:fldCharType="end"/>
      </w:r>
      <w:r>
        <w:rPr>
          <w:lang w:val="en-AU" w:eastAsia="en-AU"/>
        </w:rPr>
        <w:t xml:space="preserve">. The only monitoring site in the Fitzroy region is at North Keppel Island (Figure </w:t>
      </w:r>
      <w:r w:rsidR="003E6474">
        <w:rPr>
          <w:lang w:val="en-AU" w:eastAsia="en-AU"/>
        </w:rPr>
        <w:t>2</w:t>
      </w:r>
      <w:r>
        <w:rPr>
          <w:lang w:val="en-AU" w:eastAsia="en-AU"/>
        </w:rPr>
        <w:t>). This site has been monitored since 2005 although it has had broken periods of sampling throughout some years.</w:t>
      </w:r>
    </w:p>
    <w:p w14:paraId="1AC96D7F" w14:textId="77777777" w:rsidR="0059608E" w:rsidRDefault="0059608E" w:rsidP="006130D4">
      <w:pPr>
        <w:spacing w:line="360" w:lineRule="auto"/>
        <w:rPr>
          <w:rFonts w:cs="Arial"/>
          <w:lang w:val="en-AU"/>
        </w:rPr>
      </w:pPr>
    </w:p>
    <w:p w14:paraId="3C7A5B5B" w14:textId="77777777" w:rsidR="0059608E" w:rsidRDefault="0059608E" w:rsidP="006130D4">
      <w:pPr>
        <w:spacing w:line="360" w:lineRule="auto"/>
        <w:rPr>
          <w:rFonts w:cs="Arial"/>
          <w:lang w:val="en-AU"/>
        </w:rPr>
      </w:pPr>
      <w:r>
        <w:rPr>
          <w:rFonts w:cs="Arial"/>
          <w:lang w:val="en-AU"/>
        </w:rPr>
        <w:t>Five sites (Low Isles, Green Island, Dunk Island, Outer Whitsunday and Sarina Inlet)</w:t>
      </w:r>
      <w:r w:rsidRPr="0062446E">
        <w:rPr>
          <w:rFonts w:cs="Arial"/>
          <w:lang w:val="en-AU"/>
        </w:rPr>
        <w:t xml:space="preserve"> are seagrass monitoring sites within the MMP.</w:t>
      </w:r>
      <w:r>
        <w:rPr>
          <w:rFonts w:cs="Arial"/>
          <w:lang w:val="en-AU"/>
        </w:rPr>
        <w:t xml:space="preserve"> Five sites (Lucinda, Barratta Creek mouth, Repulse Bay, Round/ Flat Top Island and Sandy Creek) were newly established this year, with a further five sites (Green Island, Fitzroy Island, Cape Cleveland, Orpheus Island and Outer Whitsunday) to cease operation in the following monitoring year. The redesign of passive sampling sites was one of the outcomes of a review of the pesticide monitoring component of the MMP program in 2013</w:t>
      </w:r>
      <w:r w:rsidR="00A3485C">
        <w:rPr>
          <w:rFonts w:cs="Arial"/>
          <w:lang w:val="en-AU"/>
        </w:rPr>
        <w:t xml:space="preserve"> </w:t>
      </w:r>
      <w:r w:rsidR="00F10B0D">
        <w:rPr>
          <w:rFonts w:cs="Arial"/>
          <w:lang w:val="en-AU"/>
        </w:rPr>
        <w:fldChar w:fldCharType="begin"/>
      </w:r>
      <w:r w:rsidR="00F10B0D">
        <w:rPr>
          <w:rFonts w:cs="Arial"/>
          <w:lang w:val="en-AU"/>
        </w:rPr>
        <w:instrText xml:space="preserve"> ADDIN EN.CITE &lt;EndNote&gt;&lt;Cite&gt;&lt;Author&gt;Kuhnert&lt;/Author&gt;&lt;Year&gt;2014&lt;/Year&gt;&lt;RecNum&gt;331&lt;/RecNum&gt;&lt;DisplayText&gt;(Kuhnert et al., 2014)&lt;/DisplayText&gt;&lt;record&gt;&lt;rec-number&gt;331&lt;/rec-number&gt;&lt;foreign-keys&gt;&lt;key app="EN" db-id="0zzrztwe5p59skesdrqpsfeu2s0xt5zd5v9p" timestamp="1466577899"&gt;331&lt;/key&gt;&lt;/foreign-keys&gt;&lt;ref-type name="Report"&gt;27&lt;/ref-type&gt;&lt;contributors&gt;&lt;authors&gt;&lt;author&gt;Kuhnert, P.M.&lt;/author&gt;&lt;author&gt;Liu, Y.&lt;/author&gt;&lt;author&gt;Henderson, B.&lt;/author&gt;&lt;author&gt;Dambacher, J.&lt;/author&gt;&lt;author&gt;Lawrence, E.&lt;/author&gt;&lt;author&gt;Kroon, F.&lt;/author&gt;&lt;/authors&gt;&lt;/contributors&gt;&lt;titles&gt;&lt;title&gt;Review of the Marine Monitoring Program (MMP), Final Report for the Great Barrier Reef Marine Park Authority (GBRMPA)&lt;/title&gt;&lt;/titles&gt;&lt;dates&gt;&lt;year&gt;2014&lt;/year&gt;&lt;/dates&gt;&lt;pub-location&gt;CSIRO, Australia&lt;/pub-location&gt;&lt;urls&gt;&lt;/urls&gt;&lt;/record&gt;&lt;/Cite&gt;&lt;/EndNote&gt;</w:instrText>
      </w:r>
      <w:r w:rsidR="00F10B0D">
        <w:rPr>
          <w:rFonts w:cs="Arial"/>
          <w:lang w:val="en-AU"/>
        </w:rPr>
        <w:fldChar w:fldCharType="separate"/>
      </w:r>
      <w:r w:rsidR="00F10B0D">
        <w:rPr>
          <w:rFonts w:cs="Arial"/>
          <w:noProof/>
          <w:lang w:val="en-AU"/>
        </w:rPr>
        <w:t>(Kuhnert et al., 2014)</w:t>
      </w:r>
      <w:r w:rsidR="00F10B0D">
        <w:rPr>
          <w:rFonts w:cs="Arial"/>
          <w:lang w:val="en-AU"/>
        </w:rPr>
        <w:fldChar w:fldCharType="end"/>
      </w:r>
      <w:r w:rsidR="00F10B0D">
        <w:rPr>
          <w:rFonts w:cs="Arial"/>
          <w:lang w:val="en-AU"/>
        </w:rPr>
        <w:t xml:space="preserve">. The </w:t>
      </w:r>
      <w:r w:rsidR="00080CCC">
        <w:rPr>
          <w:rFonts w:cs="Arial"/>
          <w:lang w:val="en-AU"/>
        </w:rPr>
        <w:t xml:space="preserve">decision to redesign the passive sampling sites was based on the </w:t>
      </w:r>
      <w:r w:rsidR="00F10B0D">
        <w:rPr>
          <w:rFonts w:cs="Arial"/>
          <w:lang w:val="en-AU"/>
        </w:rPr>
        <w:t xml:space="preserve">desired outcomes </w:t>
      </w:r>
      <w:r w:rsidR="00080CCC">
        <w:rPr>
          <w:rFonts w:cs="Arial"/>
          <w:lang w:val="en-AU"/>
        </w:rPr>
        <w:t xml:space="preserve">of </w:t>
      </w:r>
      <w:r>
        <w:rPr>
          <w:rFonts w:cs="Arial"/>
          <w:lang w:val="en-AU"/>
        </w:rPr>
        <w:t>prioritis</w:t>
      </w:r>
      <w:r w:rsidR="00080CCC">
        <w:rPr>
          <w:rFonts w:cs="Arial"/>
          <w:lang w:val="en-AU"/>
        </w:rPr>
        <w:t>ing</w:t>
      </w:r>
      <w:r>
        <w:rPr>
          <w:rFonts w:cs="Arial"/>
          <w:lang w:val="en-AU"/>
        </w:rPr>
        <w:t xml:space="preserve"> sites that provide better integration with other components of the MMP (</w:t>
      </w:r>
      <w:r w:rsidR="00F10B0D">
        <w:rPr>
          <w:rFonts w:cs="Arial"/>
          <w:lang w:val="en-AU"/>
        </w:rPr>
        <w:t xml:space="preserve">such as </w:t>
      </w:r>
      <w:r>
        <w:rPr>
          <w:rFonts w:cs="Arial"/>
          <w:lang w:val="en-AU"/>
        </w:rPr>
        <w:t>seagrass monitoring)</w:t>
      </w:r>
      <w:r w:rsidR="00F10B0D">
        <w:rPr>
          <w:rFonts w:cs="Arial"/>
          <w:lang w:val="en-AU"/>
        </w:rPr>
        <w:t>, integrate with</w:t>
      </w:r>
      <w:r>
        <w:rPr>
          <w:rFonts w:cs="Arial"/>
          <w:lang w:val="en-AU"/>
        </w:rPr>
        <w:t xml:space="preserve"> other monitoring activities such as the end-of-catchment loads monitoring, are located adjacent to catchments that have been identified as high risk for exposure to pesticides </w:t>
      </w:r>
      <w:r w:rsidR="00EA5EC0">
        <w:rPr>
          <w:rFonts w:cs="Arial"/>
          <w:lang w:val="en-AU"/>
        </w:rPr>
        <w:fldChar w:fldCharType="begin"/>
      </w:r>
      <w:r w:rsidR="00D54AF8">
        <w:rPr>
          <w:rFonts w:cs="Arial"/>
          <w:lang w:val="en-AU"/>
        </w:rPr>
        <w:instrText xml:space="preserve"> ADDIN EN.CITE &lt;EndNote&gt;&lt;Cite&gt;&lt;Author&gt;Brodie&lt;/Author&gt;&lt;Year&gt;2013&lt;/Year&gt;&lt;RecNum&gt;332&lt;/RecNum&gt;&lt;DisplayText&gt;(Brodie et al., 2013)&lt;/DisplayText&gt;&lt;record&gt;&lt;rec-number&gt;332&lt;/rec-number&gt;&lt;foreign-keys&gt;&lt;key app="EN" db-id="0zzrztwe5p59skesdrqpsfeu2s0xt5zd5v9p" timestamp="1466578719"&gt;332&lt;/key&gt;&lt;/foreign-keys&gt;&lt;ref-type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EA5EC0">
        <w:rPr>
          <w:rFonts w:cs="Arial"/>
          <w:lang w:val="en-AU"/>
        </w:rPr>
        <w:fldChar w:fldCharType="separate"/>
      </w:r>
      <w:r w:rsidR="00D54AF8">
        <w:rPr>
          <w:rFonts w:cs="Arial"/>
          <w:noProof/>
          <w:lang w:val="en-AU"/>
        </w:rPr>
        <w:t>(Brodie et al., 2013)</w:t>
      </w:r>
      <w:r w:rsidR="00EA5EC0">
        <w:rPr>
          <w:rFonts w:cs="Arial"/>
          <w:lang w:val="en-AU"/>
        </w:rPr>
        <w:fldChar w:fldCharType="end"/>
      </w:r>
      <w:r>
        <w:rPr>
          <w:rFonts w:cs="Arial"/>
          <w:lang w:val="en-AU"/>
        </w:rPr>
        <w:t>, and have adequate statistical power to detect trends in pesticide concentrations</w:t>
      </w:r>
      <w:r w:rsidR="00E27B76">
        <w:rPr>
          <w:rFonts w:cs="Arial"/>
          <w:lang w:val="en-AU"/>
        </w:rPr>
        <w:t>.</w:t>
      </w:r>
    </w:p>
    <w:p w14:paraId="3D0F9111" w14:textId="77777777" w:rsidR="0059608E" w:rsidRDefault="0059608E" w:rsidP="0059608E">
      <w:pPr>
        <w:pStyle w:val="Heading3"/>
        <w:numPr>
          <w:ilvl w:val="2"/>
          <w:numId w:val="2"/>
        </w:numPr>
      </w:pPr>
      <w:bookmarkStart w:id="35" w:name="_Toc461457754"/>
      <w:bookmarkStart w:id="36" w:name="_Toc462651936"/>
      <w:r>
        <w:t>Flood plume sampling (grab and passive samplers)</w:t>
      </w:r>
      <w:bookmarkEnd w:id="35"/>
      <w:bookmarkEnd w:id="36"/>
    </w:p>
    <w:p w14:paraId="193D1F4E" w14:textId="77777777" w:rsidR="0059608E" w:rsidRDefault="0059608E" w:rsidP="006130D4">
      <w:pPr>
        <w:spacing w:line="360" w:lineRule="auto"/>
        <w:rPr>
          <w:rFonts w:cs="Arial"/>
          <w:lang w:val="en-AU"/>
        </w:rPr>
      </w:pPr>
      <w:r>
        <w:rPr>
          <w:rFonts w:cs="Arial"/>
          <w:lang w:val="en-AU"/>
        </w:rPr>
        <w:t>The locations and timing of the flood plume sampling is changed on a yearly basis, as it is largely event-driven and requires a rapid response (which is also subject to sampling personnel safety and the availability of sampling vessels). In 2014</w:t>
      </w:r>
      <w:r w:rsidR="00080CCC">
        <w:rPr>
          <w:rFonts w:cs="Arial"/>
          <w:lang w:val="en-AU"/>
        </w:rPr>
        <w:t>-</w:t>
      </w:r>
      <w:r>
        <w:rPr>
          <w:rFonts w:cs="Arial"/>
          <w:lang w:val="en-AU"/>
        </w:rPr>
        <w:t>2015, sampling was undertaken in transects extending from two rivers – the Tully River and Russell-Mulgrave rivers, both located in the Wet Tropics region</w:t>
      </w:r>
      <w:r w:rsidR="001F7866">
        <w:rPr>
          <w:rFonts w:cs="Arial"/>
          <w:lang w:val="en-AU"/>
        </w:rPr>
        <w:t xml:space="preserve"> (Figure 4)</w:t>
      </w:r>
      <w:r>
        <w:rPr>
          <w:rFonts w:cs="Arial"/>
          <w:lang w:val="en-AU"/>
        </w:rPr>
        <w:t xml:space="preserve">. Both transects have been sampled in previous monitoring years, with the Russell-Mulgrave transect first sampled in 2013 and the Tully transect first sampled in 2010. </w:t>
      </w:r>
    </w:p>
    <w:p w14:paraId="58E6BCEA" w14:textId="77777777" w:rsidR="0059608E" w:rsidRDefault="0059608E" w:rsidP="006130D4">
      <w:pPr>
        <w:spacing w:line="360" w:lineRule="auto"/>
        <w:rPr>
          <w:rFonts w:cs="Arial"/>
          <w:lang w:val="en-AU"/>
        </w:rPr>
      </w:pPr>
    </w:p>
    <w:p w14:paraId="26EA4516" w14:textId="77777777" w:rsidR="0059608E" w:rsidRDefault="0059608E" w:rsidP="006130D4">
      <w:pPr>
        <w:spacing w:line="360" w:lineRule="auto"/>
        <w:rPr>
          <w:rFonts w:cs="Arial"/>
          <w:lang w:val="en-AU"/>
        </w:rPr>
      </w:pPr>
    </w:p>
    <w:p w14:paraId="04691BF0" w14:textId="77777777" w:rsidR="00F74607" w:rsidRDefault="0059608E" w:rsidP="00F74607">
      <w:pPr>
        <w:keepNext/>
        <w:spacing w:line="360" w:lineRule="auto"/>
        <w:ind w:firstLine="357"/>
        <w:jc w:val="center"/>
      </w:pPr>
      <w:r>
        <w:rPr>
          <w:rFonts w:cs="Arial"/>
          <w:noProof/>
          <w:lang w:val="en-AU" w:eastAsia="en-AU" w:bidi="ar-SA"/>
        </w:rPr>
        <w:lastRenderedPageBreak/>
        <w:drawing>
          <wp:inline distT="0" distB="0" distL="0" distR="0" wp14:anchorId="5B4C8435" wp14:editId="2178CDA2">
            <wp:extent cx="4466655" cy="8389088"/>
            <wp:effectExtent l="0" t="0" r="0" b="0"/>
            <wp:docPr id="56" name="Picture 56" descr="Figure 4 Locations of grab and passive samplers collected on the Russell-Mulgrave River transect (top) and Tully River transect (Bottom), and the frequency of flood plumes over the 2014-2014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74742" cy="8404277"/>
                    </a:xfrm>
                    <a:prstGeom prst="rect">
                      <a:avLst/>
                    </a:prstGeom>
                    <a:noFill/>
                  </pic:spPr>
                </pic:pic>
              </a:graphicData>
            </a:graphic>
          </wp:inline>
        </w:drawing>
      </w:r>
    </w:p>
    <w:p w14:paraId="4F61697A" w14:textId="77777777" w:rsidR="00F74607" w:rsidRDefault="00F74607" w:rsidP="00F74607">
      <w:pPr>
        <w:pStyle w:val="Caption"/>
        <w:jc w:val="center"/>
      </w:pPr>
      <w:bookmarkStart w:id="37" w:name="_Toc462399464"/>
      <w:r>
        <w:t xml:space="preserve">Figure </w:t>
      </w:r>
      <w:r>
        <w:fldChar w:fldCharType="begin"/>
      </w:r>
      <w:r>
        <w:instrText xml:space="preserve"> SEQ Figure \* ARABIC </w:instrText>
      </w:r>
      <w:r>
        <w:fldChar w:fldCharType="separate"/>
      </w:r>
      <w:r w:rsidR="00E51A34">
        <w:rPr>
          <w:noProof/>
        </w:rPr>
        <w:t>4</w:t>
      </w:r>
      <w:r>
        <w:fldChar w:fldCharType="end"/>
      </w:r>
      <w:r>
        <w:t xml:space="preserve"> Locations of </w:t>
      </w:r>
      <w:r w:rsidR="0078228C">
        <w:t>grab and passive samplers collected on the Russell-Mulgrave River transect (top) and Tully River transect (Bottom), and the frequency of flood plumes over the 2014-201</w:t>
      </w:r>
      <w:r w:rsidR="002D66EC">
        <w:t>5</w:t>
      </w:r>
      <w:r w:rsidR="0078228C">
        <w:t xml:space="preserve"> wet season.</w:t>
      </w:r>
      <w:bookmarkEnd w:id="37"/>
      <w:r w:rsidR="0078228C">
        <w:t xml:space="preserve"> </w:t>
      </w:r>
    </w:p>
    <w:p w14:paraId="67185C5D" w14:textId="77777777" w:rsidR="0078228C" w:rsidRPr="003B1094" w:rsidRDefault="0078228C" w:rsidP="003B1094">
      <w:pPr>
        <w:jc w:val="center"/>
        <w:rPr>
          <w:sz w:val="18"/>
        </w:rPr>
      </w:pPr>
      <w:r w:rsidRPr="003B1094">
        <w:rPr>
          <w:sz w:val="18"/>
        </w:rPr>
        <w:t xml:space="preserve">Unlabelled red circles indicate the locations where grab samples were collected as part of the Inshore Marine Water Quality Component </w:t>
      </w:r>
      <w:r w:rsidR="003B1094">
        <w:rPr>
          <w:sz w:val="18"/>
        </w:rPr>
        <w:t xml:space="preserve">of the MMP </w:t>
      </w:r>
      <w:r w:rsidRPr="003B1094">
        <w:rPr>
          <w:sz w:val="18"/>
        </w:rPr>
        <w:t>in 201</w:t>
      </w:r>
      <w:r w:rsidR="003B1094">
        <w:rPr>
          <w:sz w:val="18"/>
        </w:rPr>
        <w:t>4</w:t>
      </w:r>
      <w:r w:rsidRPr="003B1094">
        <w:rPr>
          <w:sz w:val="18"/>
        </w:rPr>
        <w:t>-201</w:t>
      </w:r>
      <w:r w:rsidR="003B1094">
        <w:rPr>
          <w:sz w:val="18"/>
        </w:rPr>
        <w:t>5</w:t>
      </w:r>
      <w:r w:rsidRPr="003B1094">
        <w:rPr>
          <w:sz w:val="18"/>
        </w:rPr>
        <w:t>. Maps provided by Dieter Tracey, James Cook University</w:t>
      </w:r>
    </w:p>
    <w:p w14:paraId="2C9C3CF8" w14:textId="77777777" w:rsidR="0059608E" w:rsidRDefault="0059608E" w:rsidP="006130D4">
      <w:pPr>
        <w:spacing w:line="360" w:lineRule="auto"/>
        <w:ind w:firstLine="357"/>
        <w:jc w:val="center"/>
        <w:rPr>
          <w:rFonts w:cs="Arial"/>
          <w:lang w:val="en-AU"/>
        </w:rPr>
      </w:pPr>
      <w:r>
        <w:rPr>
          <w:rFonts w:cs="Arial"/>
          <w:lang w:val="en-AU"/>
        </w:rPr>
        <w:br w:type="page"/>
      </w:r>
    </w:p>
    <w:p w14:paraId="00DBC021" w14:textId="77777777" w:rsidR="0059608E" w:rsidRDefault="0059608E" w:rsidP="0059608E">
      <w:pPr>
        <w:pStyle w:val="Heading2"/>
        <w:numPr>
          <w:ilvl w:val="1"/>
          <w:numId w:val="2"/>
        </w:numPr>
        <w:spacing w:line="360" w:lineRule="auto"/>
        <w:ind w:left="567"/>
        <w:rPr>
          <w:lang w:val="en-AU"/>
        </w:rPr>
      </w:pPr>
      <w:bookmarkStart w:id="38" w:name="_Toc455069240"/>
      <w:bookmarkStart w:id="39" w:name="_Toc455069890"/>
      <w:bookmarkStart w:id="40" w:name="_Toc455070162"/>
      <w:bookmarkStart w:id="41" w:name="_Toc455151559"/>
      <w:bookmarkStart w:id="42" w:name="_Toc455069242"/>
      <w:bookmarkStart w:id="43" w:name="_Toc455069892"/>
      <w:bookmarkStart w:id="44" w:name="_Toc455070164"/>
      <w:bookmarkStart w:id="45" w:name="_Toc455151561"/>
      <w:bookmarkStart w:id="46" w:name="_Toc455069259"/>
      <w:bookmarkStart w:id="47" w:name="_Toc455069909"/>
      <w:bookmarkStart w:id="48" w:name="_Toc455070181"/>
      <w:bookmarkStart w:id="49" w:name="_Toc455151578"/>
      <w:bookmarkStart w:id="50" w:name="_Toc406329891"/>
      <w:bookmarkStart w:id="51" w:name="_Toc406329985"/>
      <w:bookmarkStart w:id="52" w:name="_Toc406770613"/>
      <w:bookmarkStart w:id="53" w:name="_Toc406329892"/>
      <w:bookmarkStart w:id="54" w:name="_Toc406329986"/>
      <w:bookmarkStart w:id="55" w:name="_Toc406770614"/>
      <w:bookmarkStart w:id="56" w:name="_Toc406329893"/>
      <w:bookmarkStart w:id="57" w:name="_Toc406329987"/>
      <w:bookmarkStart w:id="58" w:name="_Toc406770615"/>
      <w:bookmarkStart w:id="59" w:name="_Toc405835394"/>
      <w:bookmarkStart w:id="60" w:name="_Toc406329894"/>
      <w:bookmarkStart w:id="61" w:name="_Toc406329988"/>
      <w:bookmarkStart w:id="62" w:name="_Toc406770616"/>
      <w:bookmarkStart w:id="63" w:name="_Toc405835395"/>
      <w:bookmarkStart w:id="64" w:name="_Toc406329895"/>
      <w:bookmarkStart w:id="65" w:name="_Toc406329989"/>
      <w:bookmarkStart w:id="66" w:name="_Toc406770617"/>
      <w:bookmarkStart w:id="67" w:name="_Toc405835396"/>
      <w:bookmarkStart w:id="68" w:name="_Toc406329896"/>
      <w:bookmarkStart w:id="69" w:name="_Toc406329990"/>
      <w:bookmarkStart w:id="70" w:name="_Toc406770618"/>
      <w:bookmarkStart w:id="71" w:name="_Toc405835397"/>
      <w:bookmarkStart w:id="72" w:name="_Toc406329897"/>
      <w:bookmarkStart w:id="73" w:name="_Toc406329991"/>
      <w:bookmarkStart w:id="74" w:name="_Toc406770619"/>
      <w:bookmarkStart w:id="75" w:name="_Toc405835398"/>
      <w:bookmarkStart w:id="76" w:name="_Toc406329898"/>
      <w:bookmarkStart w:id="77" w:name="_Toc406329992"/>
      <w:bookmarkStart w:id="78" w:name="_Toc406770620"/>
      <w:bookmarkStart w:id="79" w:name="_Toc347908766"/>
      <w:bookmarkStart w:id="80" w:name="_Toc347908865"/>
      <w:bookmarkStart w:id="81" w:name="_Toc347908954"/>
      <w:bookmarkStart w:id="82" w:name="_Toc461457755"/>
      <w:bookmarkStart w:id="83" w:name="_Toc4626519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Pr>
          <w:lang w:val="en-AU"/>
        </w:rPr>
        <w:lastRenderedPageBreak/>
        <w:t>Fixed site monitoring for long-term trends</w:t>
      </w:r>
      <w:bookmarkEnd w:id="82"/>
      <w:bookmarkEnd w:id="83"/>
    </w:p>
    <w:p w14:paraId="096650CA" w14:textId="5C695FB6" w:rsidR="0059608E" w:rsidRDefault="00C36509" w:rsidP="006130D4">
      <w:pPr>
        <w:spacing w:line="360" w:lineRule="auto"/>
        <w:rPr>
          <w:lang w:val="en-AU" w:eastAsia="en-AU"/>
        </w:rPr>
      </w:pPr>
      <w:r>
        <w:rPr>
          <w:lang w:val="en-AU" w:eastAsia="en-AU"/>
        </w:rPr>
        <w:t>P</w:t>
      </w:r>
      <w:r w:rsidR="0059608E" w:rsidRPr="008C1D6A">
        <w:rPr>
          <w:lang w:val="en-AU" w:eastAsia="en-AU"/>
        </w:rPr>
        <w:t xml:space="preserve">esticide </w:t>
      </w:r>
      <w:r w:rsidR="0059608E">
        <w:rPr>
          <w:lang w:val="en-AU" w:eastAsia="en-AU"/>
        </w:rPr>
        <w:t>monitoring at fixed sites</w:t>
      </w:r>
      <w:r w:rsidR="0059608E" w:rsidRPr="008C1D6A">
        <w:rPr>
          <w:lang w:val="en-AU" w:eastAsia="en-AU"/>
        </w:rPr>
        <w:t xml:space="preserve"> is </w:t>
      </w:r>
      <w:r>
        <w:rPr>
          <w:lang w:val="en-AU" w:eastAsia="en-AU"/>
        </w:rPr>
        <w:t xml:space="preserve">reported for the year to end of June </w:t>
      </w:r>
      <w:r w:rsidR="0059608E" w:rsidRPr="008C1D6A">
        <w:rPr>
          <w:lang w:val="en-AU" w:eastAsia="en-AU"/>
        </w:rPr>
        <w:t>2015. The year is divided into “Dry 14” (May 2014 to October 2014) and “Wet 14-15” (November 2014 – April 2015) sampling periods for reporting purposes. Within each dry season deployment period, samplers are typically deployed for two months (maximum of three deployment periods each monitoring year) and within each wet season deployment period, samplers are typically deployed for one month (maximum of six deployment periods within each monitoring year). The maximum number of samples which should be obtained from each location within each monitoring year is nine</w:t>
      </w:r>
      <w:r w:rsidR="002D66EC">
        <w:rPr>
          <w:lang w:val="en-AU" w:eastAsia="en-AU"/>
        </w:rPr>
        <w:t>.</w:t>
      </w:r>
    </w:p>
    <w:p w14:paraId="3535FB99" w14:textId="77777777" w:rsidR="0059608E" w:rsidRDefault="0059608E" w:rsidP="006130D4">
      <w:pPr>
        <w:spacing w:line="360" w:lineRule="auto"/>
        <w:rPr>
          <w:lang w:val="en-AU" w:eastAsia="en-AU"/>
        </w:rPr>
      </w:pPr>
    </w:p>
    <w:p w14:paraId="7301F3FC" w14:textId="77777777" w:rsidR="0059608E" w:rsidRDefault="0059608E" w:rsidP="006130D4">
      <w:pPr>
        <w:spacing w:line="360" w:lineRule="auto"/>
        <w:rPr>
          <w:lang w:val="en-AU"/>
        </w:rPr>
      </w:pPr>
      <w:r>
        <w:rPr>
          <w:lang w:val="en-AU"/>
        </w:rPr>
        <w:t xml:space="preserve">All fifteen fixed sites are monitored in both the dry and wet periods using EDs (Table </w:t>
      </w:r>
      <w:r w:rsidR="001F7866">
        <w:rPr>
          <w:lang w:val="en-AU"/>
        </w:rPr>
        <w:t>2</w:t>
      </w:r>
      <w:r>
        <w:rPr>
          <w:lang w:val="en-AU"/>
        </w:rPr>
        <w:t xml:space="preserve">), for analysis of target polar pesticides (Appendix </w:t>
      </w:r>
      <w:r w:rsidR="001F7866">
        <w:rPr>
          <w:lang w:val="en-AU"/>
        </w:rPr>
        <w:t>A</w:t>
      </w:r>
      <w:r>
        <w:rPr>
          <w:lang w:val="en-AU"/>
        </w:rPr>
        <w:t>, Table</w:t>
      </w:r>
      <w:r w:rsidR="001F7866">
        <w:rPr>
          <w:lang w:val="en-AU"/>
        </w:rPr>
        <w:t xml:space="preserve"> A1</w:t>
      </w:r>
      <w:r>
        <w:rPr>
          <w:lang w:val="en-AU"/>
        </w:rPr>
        <w:t xml:space="preserve">).  Eleven sites had PDMS samplers deployed during the wet season only (Table </w:t>
      </w:r>
      <w:r w:rsidR="00371ED5">
        <w:rPr>
          <w:lang w:val="en-AU"/>
        </w:rPr>
        <w:t>2</w:t>
      </w:r>
      <w:r>
        <w:rPr>
          <w:lang w:val="en-AU"/>
        </w:rPr>
        <w:t xml:space="preserve">), for analysis of target non-polar pesticides (Appendix </w:t>
      </w:r>
      <w:r w:rsidR="00371ED5">
        <w:rPr>
          <w:lang w:val="en-AU"/>
        </w:rPr>
        <w:t>A</w:t>
      </w:r>
      <w:r>
        <w:rPr>
          <w:lang w:val="en-AU"/>
        </w:rPr>
        <w:t>,</w:t>
      </w:r>
      <w:r w:rsidR="00E313FF">
        <w:rPr>
          <w:lang w:val="en-AU"/>
        </w:rPr>
        <w:t xml:space="preserve"> </w:t>
      </w:r>
      <w:r w:rsidR="00626797">
        <w:rPr>
          <w:lang w:val="en-AU"/>
        </w:rPr>
        <w:t>Table A2</w:t>
      </w:r>
      <w:r>
        <w:rPr>
          <w:lang w:val="en-AU"/>
        </w:rPr>
        <w:t>). PDMS samplers were co-deployed at sites located in the Wet Tropics region (five sites), the Burdekin region (two sites) and the Mackay Whitsunday region (four sites), and were selected based on the intensity of land-use and high historical loads of pesticides exported from the adjacent catchments (such as Barratta Creek and sites in the Mackay Whitsunday), as well as providing coverage from northern to southern regions. The sampling records, deployment dates and results for each fixed monitoring site are provided in Appendix D</w:t>
      </w:r>
      <w:r w:rsidRPr="0090433A">
        <w:rPr>
          <w:lang w:val="en-AU"/>
        </w:rPr>
        <w:t xml:space="preserve">, Tables </w:t>
      </w:r>
      <w:r w:rsidR="00626797">
        <w:rPr>
          <w:lang w:val="en-AU"/>
        </w:rPr>
        <w:t>A14 – A29</w:t>
      </w:r>
      <w:r w:rsidRPr="0090433A">
        <w:rPr>
          <w:lang w:val="en-AU"/>
        </w:rPr>
        <w:t>.</w:t>
      </w:r>
    </w:p>
    <w:p w14:paraId="2CF9F31C" w14:textId="77777777" w:rsidR="0059608E" w:rsidRDefault="0059608E" w:rsidP="006130D4">
      <w:pPr>
        <w:pStyle w:val="Caption"/>
        <w:spacing w:line="276" w:lineRule="auto"/>
        <w:jc w:val="center"/>
      </w:pPr>
      <w:bookmarkStart w:id="84" w:name="_Toc462652123"/>
      <w:r>
        <w:t xml:space="preserve">Table </w:t>
      </w:r>
      <w:r>
        <w:fldChar w:fldCharType="begin"/>
      </w:r>
      <w:r>
        <w:instrText xml:space="preserve"> SEQ Table \* ARABIC </w:instrText>
      </w:r>
      <w:r>
        <w:fldChar w:fldCharType="separate"/>
      </w:r>
      <w:r w:rsidR="00E51A34">
        <w:rPr>
          <w:noProof/>
        </w:rPr>
        <w:t>2</w:t>
      </w:r>
      <w:r>
        <w:rPr>
          <w:noProof/>
        </w:rPr>
        <w:fldChar w:fldCharType="end"/>
      </w:r>
      <w:r>
        <w:t xml:space="preserve"> </w:t>
      </w:r>
      <w:r w:rsidRPr="00890AD3">
        <w:t xml:space="preserve">The types of passive samplers deployed at each </w:t>
      </w:r>
      <w:r>
        <w:t>fixed</w:t>
      </w:r>
      <w:r w:rsidRPr="00890AD3">
        <w:t xml:space="preserve"> monitoring site in 201</w:t>
      </w:r>
      <w:r>
        <w:t>4</w:t>
      </w:r>
      <w:r w:rsidRPr="00890AD3">
        <w:t>-201</w:t>
      </w:r>
      <w:r>
        <w:t>5</w:t>
      </w:r>
      <w:bookmarkEnd w:id="84"/>
    </w:p>
    <w:p w14:paraId="0BF05244" w14:textId="77777777" w:rsidR="0059608E" w:rsidRDefault="0059608E" w:rsidP="006130D4">
      <w:pPr>
        <w:jc w:val="center"/>
      </w:pPr>
      <w:r w:rsidRPr="001B60FD">
        <w:rPr>
          <w:noProof/>
          <w:lang w:val="en-AU" w:eastAsia="en-AU" w:bidi="ar-SA"/>
        </w:rPr>
        <w:drawing>
          <wp:inline distT="0" distB="0" distL="0" distR="0" wp14:anchorId="3275744D" wp14:editId="5EFB8D81">
            <wp:extent cx="4253230" cy="4253230"/>
            <wp:effectExtent l="0" t="0" r="0" b="0"/>
            <wp:docPr id="57" name="Picture 57" descr="Table 2 The types of passive samplers deployed at each fixed monitoring site in 2014-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53230" cy="4253230"/>
                    </a:xfrm>
                    <a:prstGeom prst="rect">
                      <a:avLst/>
                    </a:prstGeom>
                    <a:noFill/>
                    <a:ln>
                      <a:noFill/>
                    </a:ln>
                  </pic:spPr>
                </pic:pic>
              </a:graphicData>
            </a:graphic>
          </wp:inline>
        </w:drawing>
      </w:r>
    </w:p>
    <w:p w14:paraId="1D90AD0F" w14:textId="77777777" w:rsidR="00665500" w:rsidRPr="001B60FD" w:rsidRDefault="00665500" w:rsidP="006130D4">
      <w:pPr>
        <w:jc w:val="center"/>
      </w:pPr>
    </w:p>
    <w:p w14:paraId="524BCE52" w14:textId="77777777" w:rsidR="0059608E" w:rsidRDefault="0059608E" w:rsidP="0059608E">
      <w:pPr>
        <w:pStyle w:val="Heading2"/>
        <w:numPr>
          <w:ilvl w:val="1"/>
          <w:numId w:val="2"/>
        </w:numPr>
        <w:spacing w:line="276" w:lineRule="auto"/>
        <w:ind w:left="567"/>
        <w:rPr>
          <w:lang w:val="en-AU"/>
        </w:rPr>
      </w:pPr>
      <w:bookmarkStart w:id="85" w:name="_Toc455069261"/>
      <w:bookmarkStart w:id="86" w:name="_Toc455069911"/>
      <w:bookmarkStart w:id="87" w:name="_Toc455070183"/>
      <w:bookmarkStart w:id="88" w:name="_Toc455151580"/>
      <w:bookmarkStart w:id="89" w:name="_Toc455069262"/>
      <w:bookmarkStart w:id="90" w:name="_Toc455069912"/>
      <w:bookmarkStart w:id="91" w:name="_Toc455070184"/>
      <w:bookmarkStart w:id="92" w:name="_Toc455151581"/>
      <w:bookmarkStart w:id="93" w:name="_Toc455069263"/>
      <w:bookmarkStart w:id="94" w:name="_Toc455069913"/>
      <w:bookmarkStart w:id="95" w:name="_Toc455070185"/>
      <w:bookmarkStart w:id="96" w:name="_Toc455151582"/>
      <w:bookmarkStart w:id="97" w:name="_Toc461457756"/>
      <w:bookmarkStart w:id="98" w:name="_Toc462651938"/>
      <w:bookmarkEnd w:id="85"/>
      <w:bookmarkEnd w:id="86"/>
      <w:bookmarkEnd w:id="87"/>
      <w:bookmarkEnd w:id="88"/>
      <w:bookmarkEnd w:id="89"/>
      <w:bookmarkEnd w:id="90"/>
      <w:bookmarkEnd w:id="91"/>
      <w:bookmarkEnd w:id="92"/>
      <w:bookmarkEnd w:id="93"/>
      <w:bookmarkEnd w:id="94"/>
      <w:bookmarkEnd w:id="95"/>
      <w:bookmarkEnd w:id="96"/>
      <w:r>
        <w:rPr>
          <w:lang w:val="en-AU"/>
        </w:rPr>
        <w:lastRenderedPageBreak/>
        <w:t>Flood plume sampling</w:t>
      </w:r>
      <w:bookmarkEnd w:id="97"/>
      <w:bookmarkEnd w:id="98"/>
    </w:p>
    <w:p w14:paraId="413710A2" w14:textId="77777777" w:rsidR="0059608E" w:rsidRDefault="0059608E" w:rsidP="006130D4">
      <w:pPr>
        <w:spacing w:line="360" w:lineRule="auto"/>
        <w:rPr>
          <w:lang w:val="en-GB" w:eastAsia="en-AU"/>
        </w:rPr>
      </w:pPr>
      <w:r>
        <w:rPr>
          <w:lang w:val="en-GB" w:eastAsia="en-AU"/>
        </w:rPr>
        <w:t>Sampling activities targeting discharge events from major Reef catchment rivers occurs during the wet season (Nov</w:t>
      </w:r>
      <w:r w:rsidR="00003CF2">
        <w:rPr>
          <w:lang w:val="en-GB" w:eastAsia="en-AU"/>
        </w:rPr>
        <w:t>ember</w:t>
      </w:r>
      <w:r>
        <w:rPr>
          <w:lang w:val="en-GB" w:eastAsia="en-AU"/>
        </w:rPr>
        <w:t xml:space="preserve"> 2014 </w:t>
      </w:r>
      <w:r w:rsidR="00003CF2">
        <w:rPr>
          <w:lang w:val="en-GB" w:eastAsia="en-AU"/>
        </w:rPr>
        <w:t>to</w:t>
      </w:r>
      <w:r>
        <w:rPr>
          <w:lang w:val="en-GB" w:eastAsia="en-AU"/>
        </w:rPr>
        <w:t xml:space="preserve"> April 2015), and typically coincide with large rainfall events on the adjacent catchment area. Grab samples</w:t>
      </w:r>
      <w:r w:rsidR="006C2A7B">
        <w:rPr>
          <w:lang w:val="en-GB" w:eastAsia="en-AU"/>
        </w:rPr>
        <w:t xml:space="preserve"> (1 L)</w:t>
      </w:r>
      <w:r>
        <w:rPr>
          <w:lang w:val="en-GB" w:eastAsia="en-AU"/>
        </w:rPr>
        <w:t xml:space="preserve"> are collected along transects extending from river mouths to capture peaks (and potential Guideline exceedances) and assess the extent of gradients of pesticide concentration. Grab sampling may also capture herbicides not adequately sampled by passive samplers, due to their high water solubility. Passive samplers (EDs only) were deployed at locations along these transects to provide a complete pesticide profile over the discharge period that may be useful to compare against pesticide loads data. </w:t>
      </w:r>
    </w:p>
    <w:p w14:paraId="7885DF74" w14:textId="77777777" w:rsidR="0059608E" w:rsidRDefault="0059608E" w:rsidP="006130D4">
      <w:pPr>
        <w:spacing w:line="360" w:lineRule="auto"/>
        <w:rPr>
          <w:lang w:val="en-GB" w:eastAsia="en-AU"/>
        </w:rPr>
      </w:pPr>
    </w:p>
    <w:p w14:paraId="42DA65B8" w14:textId="77777777" w:rsidR="0059608E" w:rsidRDefault="0059608E" w:rsidP="006130D4">
      <w:pPr>
        <w:spacing w:line="360" w:lineRule="auto"/>
        <w:rPr>
          <w:lang w:val="en-GB" w:eastAsia="en-AU"/>
        </w:rPr>
      </w:pPr>
      <w:r>
        <w:rPr>
          <w:lang w:val="en-GB" w:eastAsia="en-AU"/>
        </w:rPr>
        <w:t xml:space="preserve">A total of nine 1 L grab samples were collected to monitor terrestrial run-off from two rivers (the Tully and Russell-Mulgrave) during flood plume events in the 2014-2015 wet season. Passive samplers were deployed at one location extending from the Russell-Mulgrave River (High Island west), and at three locations extending from the Tully River (Tully River mouth, Bedarra Island, Dunk Island north). Further details for these samples including the date and time of collection, co-ordinates and results for individual herbicides detected are </w:t>
      </w:r>
      <w:r w:rsidRPr="00844294">
        <w:rPr>
          <w:lang w:val="en-GB" w:eastAsia="en-AU"/>
        </w:rPr>
        <w:t xml:space="preserve">provided </w:t>
      </w:r>
      <w:r>
        <w:rPr>
          <w:lang w:val="en-GB" w:eastAsia="en-AU"/>
        </w:rPr>
        <w:t xml:space="preserve">in </w:t>
      </w:r>
      <w:r w:rsidRPr="0090433A">
        <w:rPr>
          <w:lang w:val="en-GB" w:eastAsia="en-AU"/>
        </w:rPr>
        <w:t xml:space="preserve">Appendix </w:t>
      </w:r>
      <w:r>
        <w:rPr>
          <w:lang w:val="en-GB" w:eastAsia="en-AU"/>
        </w:rPr>
        <w:t>E</w:t>
      </w:r>
      <w:r w:rsidRPr="0090433A">
        <w:rPr>
          <w:lang w:val="en-GB" w:eastAsia="en-AU"/>
        </w:rPr>
        <w:t>, Table</w:t>
      </w:r>
      <w:r>
        <w:rPr>
          <w:lang w:val="en-GB" w:eastAsia="en-AU"/>
        </w:rPr>
        <w:t>s</w:t>
      </w:r>
      <w:r w:rsidRPr="0090433A">
        <w:rPr>
          <w:lang w:val="en-GB" w:eastAsia="en-AU"/>
        </w:rPr>
        <w:t xml:space="preserve"> </w:t>
      </w:r>
      <w:r w:rsidR="00AD3134">
        <w:rPr>
          <w:lang w:val="en-GB" w:eastAsia="en-AU"/>
        </w:rPr>
        <w:t>A30 - 31</w:t>
      </w:r>
      <w:r>
        <w:rPr>
          <w:lang w:val="en-GB" w:eastAsia="en-AU"/>
        </w:rPr>
        <w:t>.</w:t>
      </w:r>
    </w:p>
    <w:p w14:paraId="4F7D11FE" w14:textId="77777777" w:rsidR="0059608E" w:rsidRPr="007E405C" w:rsidRDefault="0059608E" w:rsidP="006130D4">
      <w:pPr>
        <w:rPr>
          <w:lang w:val="en-AU" w:eastAsia="en-AU"/>
        </w:rPr>
      </w:pPr>
    </w:p>
    <w:p w14:paraId="0C28286D" w14:textId="77777777" w:rsidR="0059608E" w:rsidRPr="00C11BBA" w:rsidRDefault="0059608E" w:rsidP="0059608E">
      <w:pPr>
        <w:pStyle w:val="Heading2"/>
        <w:numPr>
          <w:ilvl w:val="1"/>
          <w:numId w:val="2"/>
        </w:numPr>
        <w:spacing w:line="360" w:lineRule="auto"/>
        <w:ind w:left="567"/>
        <w:rPr>
          <w:lang w:val="en-AU"/>
        </w:rPr>
      </w:pPr>
      <w:bookmarkStart w:id="99" w:name="_Toc461457757"/>
      <w:bookmarkStart w:id="100" w:name="_Toc462651939"/>
      <w:r>
        <w:rPr>
          <w:lang w:val="en-AU"/>
        </w:rPr>
        <w:t>Ta</w:t>
      </w:r>
      <w:r w:rsidRPr="00C11BBA">
        <w:rPr>
          <w:lang w:val="en-AU"/>
        </w:rPr>
        <w:t>rget Chemicals</w:t>
      </w:r>
      <w:bookmarkEnd w:id="99"/>
      <w:bookmarkEnd w:id="100"/>
      <w:r w:rsidRPr="00C11BBA">
        <w:rPr>
          <w:lang w:val="en-AU"/>
        </w:rPr>
        <w:t xml:space="preserve"> </w:t>
      </w:r>
    </w:p>
    <w:p w14:paraId="7BA38754" w14:textId="77777777" w:rsidR="0059608E" w:rsidRDefault="0059608E" w:rsidP="006130D4">
      <w:pPr>
        <w:spacing w:line="360" w:lineRule="auto"/>
        <w:rPr>
          <w:lang w:val="en-AU"/>
        </w:rPr>
      </w:pPr>
      <w:r w:rsidRPr="00C11BBA">
        <w:rPr>
          <w:lang w:val="en-AU"/>
        </w:rPr>
        <w:t>Th</w:t>
      </w:r>
      <w:r>
        <w:rPr>
          <w:lang w:val="en-AU"/>
        </w:rPr>
        <w:t>e</w:t>
      </w:r>
      <w:r w:rsidRPr="00C11BBA">
        <w:rPr>
          <w:lang w:val="en-AU"/>
        </w:rPr>
        <w:t xml:space="preserve"> list of target chemicals </w:t>
      </w:r>
      <w:r>
        <w:rPr>
          <w:lang w:val="en-AU"/>
        </w:rPr>
        <w:t xml:space="preserve">originally </w:t>
      </w:r>
      <w:r w:rsidRPr="00C11BBA">
        <w:rPr>
          <w:lang w:val="en-AU"/>
        </w:rPr>
        <w:t>derived</w:t>
      </w:r>
      <w:r>
        <w:rPr>
          <w:lang w:val="en-AU"/>
        </w:rPr>
        <w:t xml:space="preserve"> at the commencement of the MMP</w:t>
      </w:r>
      <w:r w:rsidRPr="00C11BBA">
        <w:rPr>
          <w:lang w:val="en-AU"/>
        </w:rPr>
        <w:t xml:space="preserve"> through consultation with GBRMPA </w:t>
      </w:r>
      <w:r>
        <w:rPr>
          <w:lang w:val="en-AU"/>
        </w:rPr>
        <w:t>was based on the following</w:t>
      </w:r>
      <w:r w:rsidRPr="00C11BBA">
        <w:rPr>
          <w:lang w:val="en-AU"/>
        </w:rPr>
        <w:t xml:space="preserve"> criteria:</w:t>
      </w:r>
      <w:r>
        <w:rPr>
          <w:lang w:val="en-AU"/>
        </w:rPr>
        <w:t xml:space="preserve"> pesticides detected in recent studies, those recognised as a potential risk, analytical affordability, pesticides within the analytical capabilities of </w:t>
      </w:r>
      <w:r w:rsidR="006D1033">
        <w:rPr>
          <w:lang w:val="en-AU"/>
        </w:rPr>
        <w:t>Queensland Health and Forensic Scientific Services (</w:t>
      </w:r>
      <w:r w:rsidRPr="00C11BBA">
        <w:rPr>
          <w:lang w:val="en-AU"/>
        </w:rPr>
        <w:t>QHFSS</w:t>
      </w:r>
      <w:r w:rsidR="006D1033">
        <w:rPr>
          <w:lang w:val="en-AU"/>
        </w:rPr>
        <w:t xml:space="preserve">, </w:t>
      </w:r>
      <w:r>
        <w:rPr>
          <w:lang w:val="en-AU"/>
        </w:rPr>
        <w:t xml:space="preserve">who formerly conducted all analysis) and those likely to be accumulated within one of the passive sampling techniques (i.e. that exist as neutral species and are not too polar). In 2015 in </w:t>
      </w:r>
      <w:r w:rsidR="00003CF2">
        <w:rPr>
          <w:lang w:val="en-AU"/>
        </w:rPr>
        <w:t>consul</w:t>
      </w:r>
      <w:r>
        <w:rPr>
          <w:lang w:val="en-AU"/>
        </w:rPr>
        <w:t>t</w:t>
      </w:r>
      <w:r w:rsidR="00003CF2">
        <w:rPr>
          <w:lang w:val="en-AU"/>
        </w:rPr>
        <w:t>at</w:t>
      </w:r>
      <w:r>
        <w:rPr>
          <w:lang w:val="en-AU"/>
        </w:rPr>
        <w:t xml:space="preserve">ion with the Pesticide Working Group (PWG) and GBRMPA, the list of target chemicals was further expanded to include a number of </w:t>
      </w:r>
      <w:r w:rsidR="006D1033">
        <w:rPr>
          <w:lang w:val="en-AU"/>
        </w:rPr>
        <w:t>‘</w:t>
      </w:r>
      <w:r>
        <w:rPr>
          <w:lang w:val="en-AU"/>
        </w:rPr>
        <w:t>alternative</w:t>
      </w:r>
      <w:r w:rsidR="006D1033">
        <w:rPr>
          <w:lang w:val="en-AU"/>
        </w:rPr>
        <w:t>’</w:t>
      </w:r>
      <w:r>
        <w:rPr>
          <w:lang w:val="en-AU"/>
        </w:rPr>
        <w:t xml:space="preserve"> </w:t>
      </w:r>
      <w:r>
        <w:rPr>
          <w:rFonts w:cs="Arial"/>
          <w:lang w:val="en-AU"/>
        </w:rPr>
        <w:t>pre- and post-emergent herbicides</w:t>
      </w:r>
      <w:r w:rsidR="00AD3134">
        <w:rPr>
          <w:rFonts w:cs="Arial"/>
          <w:lang w:val="en-AU"/>
        </w:rPr>
        <w:t xml:space="preserve"> (Appendix A, Table A3</w:t>
      </w:r>
      <w:r w:rsidR="009455AF">
        <w:rPr>
          <w:rFonts w:cs="Arial"/>
          <w:lang w:val="en-AU"/>
        </w:rPr>
        <w:t xml:space="preserve"> – A4</w:t>
      </w:r>
      <w:r w:rsidR="00AD3134">
        <w:rPr>
          <w:rFonts w:cs="Arial"/>
          <w:lang w:val="en-AU"/>
        </w:rPr>
        <w:t>)</w:t>
      </w:r>
      <w:r>
        <w:rPr>
          <w:lang w:val="en-AU"/>
        </w:rPr>
        <w:t>. The criteria by which these new target chemicals have been included are: registered for use in Reef catchments to supplement or replace the use of some traditional PSII’s, included in the suite for PSII end-of-catchment loads monitoring and catchment pesticide modelling programs conducted by other agencies (and thus better harmonisation across complimentary monitoring programs) and detected in recent studies and monitoring programs</w:t>
      </w:r>
      <w:r w:rsidR="00AD3134">
        <w:rPr>
          <w:lang w:val="en-AU"/>
        </w:rPr>
        <w:t>.</w:t>
      </w:r>
      <w:r>
        <w:rPr>
          <w:lang w:val="en-AU"/>
        </w:rPr>
        <w:t xml:space="preserve"> </w:t>
      </w:r>
    </w:p>
    <w:p w14:paraId="4B8BA863" w14:textId="77777777" w:rsidR="0059608E" w:rsidRDefault="0059608E" w:rsidP="006130D4">
      <w:pPr>
        <w:spacing w:line="360" w:lineRule="auto"/>
        <w:rPr>
          <w:lang w:val="en-AU"/>
        </w:rPr>
      </w:pPr>
    </w:p>
    <w:p w14:paraId="47C7B601" w14:textId="77777777" w:rsidR="0059608E" w:rsidRDefault="0059608E" w:rsidP="006130D4">
      <w:pPr>
        <w:spacing w:line="360" w:lineRule="auto"/>
        <w:rPr>
          <w:lang w:val="en-AU"/>
        </w:rPr>
      </w:pPr>
      <w:r>
        <w:rPr>
          <w:lang w:val="en-AU"/>
        </w:rPr>
        <w:t xml:space="preserve">Analysis of non-polar pesticides </w:t>
      </w:r>
      <w:r w:rsidR="001A16CC">
        <w:rPr>
          <w:lang w:val="en-AU"/>
        </w:rPr>
        <w:t>using gas chromatography</w:t>
      </w:r>
      <w:r w:rsidR="00BF4F25">
        <w:rPr>
          <w:lang w:val="en-AU"/>
        </w:rPr>
        <w:t>-</w:t>
      </w:r>
      <w:r w:rsidR="001A16CC">
        <w:rPr>
          <w:lang w:val="en-AU"/>
        </w:rPr>
        <w:t>mass spectrometry (</w:t>
      </w:r>
      <w:r>
        <w:rPr>
          <w:lang w:val="en-AU"/>
        </w:rPr>
        <w:t xml:space="preserve">GC-MS) and herbicides </w:t>
      </w:r>
      <w:r w:rsidR="001A16CC">
        <w:rPr>
          <w:lang w:val="en-AU"/>
        </w:rPr>
        <w:t>liquid chromatography</w:t>
      </w:r>
      <w:r w:rsidR="00BF4F25">
        <w:rPr>
          <w:lang w:val="en-AU"/>
        </w:rPr>
        <w:t>-</w:t>
      </w:r>
      <w:r w:rsidR="001A16CC">
        <w:rPr>
          <w:lang w:val="en-AU"/>
        </w:rPr>
        <w:t xml:space="preserve">mass spectrometry </w:t>
      </w:r>
      <w:r>
        <w:rPr>
          <w:lang w:val="en-AU"/>
        </w:rPr>
        <w:t xml:space="preserve">(LC-MS) in passive samplers (PDMS and EDs) and grab samples is conducted at Entox. Sample analysis was previously conducted by QHFSS. This is the first monitoring year in which GC-MS analysis has been conducted by Entox, and the second monitoring year in which LC-MS analysis has been conducted by Entox. </w:t>
      </w:r>
      <w:r w:rsidR="0053288D">
        <w:rPr>
          <w:lang w:val="en-AU"/>
        </w:rPr>
        <w:t xml:space="preserve">Analytical </w:t>
      </w:r>
      <w:r w:rsidR="00BF4F25">
        <w:rPr>
          <w:lang w:val="en-AU"/>
        </w:rPr>
        <w:t>quality assurance quality control (</w:t>
      </w:r>
      <w:r w:rsidR="0053288D">
        <w:rPr>
          <w:lang w:val="en-AU"/>
        </w:rPr>
        <w:t>QAQC</w:t>
      </w:r>
      <w:r w:rsidR="00BF4F25">
        <w:rPr>
          <w:lang w:val="en-AU"/>
        </w:rPr>
        <w:t>)</w:t>
      </w:r>
      <w:r w:rsidR="0053288D">
        <w:rPr>
          <w:lang w:val="en-AU"/>
        </w:rPr>
        <w:t xml:space="preserve"> includes the extraction and analysis of r</w:t>
      </w:r>
      <w:r w:rsidR="00A357D8">
        <w:rPr>
          <w:lang w:val="en-AU"/>
        </w:rPr>
        <w:t xml:space="preserve">eplicate </w:t>
      </w:r>
      <w:r w:rsidR="004725CE">
        <w:rPr>
          <w:lang w:val="en-AU"/>
        </w:rPr>
        <w:t xml:space="preserve">ED </w:t>
      </w:r>
      <w:r w:rsidR="00A357D8">
        <w:rPr>
          <w:lang w:val="en-AU"/>
        </w:rPr>
        <w:t>sample</w:t>
      </w:r>
      <w:r w:rsidR="004725CE">
        <w:rPr>
          <w:lang w:val="en-AU"/>
        </w:rPr>
        <w:t>r</w:t>
      </w:r>
      <w:r w:rsidR="0053288D">
        <w:rPr>
          <w:lang w:val="en-AU"/>
        </w:rPr>
        <w:t xml:space="preserve">s </w:t>
      </w:r>
      <w:r w:rsidR="004725CE">
        <w:rPr>
          <w:lang w:val="en-AU"/>
        </w:rPr>
        <w:t>(Appendix A, Table A5)</w:t>
      </w:r>
      <w:r w:rsidR="00A357D8">
        <w:rPr>
          <w:lang w:val="en-AU"/>
        </w:rPr>
        <w:t xml:space="preserve"> </w:t>
      </w:r>
      <w:r w:rsidR="0053288D">
        <w:rPr>
          <w:lang w:val="en-AU"/>
        </w:rPr>
        <w:t xml:space="preserve">together with </w:t>
      </w:r>
      <w:r w:rsidR="004725CE">
        <w:rPr>
          <w:lang w:val="en-AU"/>
        </w:rPr>
        <w:t>a</w:t>
      </w:r>
      <w:r w:rsidR="0053288D">
        <w:rPr>
          <w:lang w:val="en-AU"/>
        </w:rPr>
        <w:t>n inter-laboratory comparison</w:t>
      </w:r>
      <w:r w:rsidR="001A2D80">
        <w:rPr>
          <w:lang w:val="en-AU"/>
        </w:rPr>
        <w:t xml:space="preserve"> of a subset of ED extracts, </w:t>
      </w:r>
      <w:r w:rsidR="006D1033">
        <w:rPr>
          <w:lang w:val="en-AU"/>
        </w:rPr>
        <w:t>at</w:t>
      </w:r>
      <w:r w:rsidR="00BF4F25">
        <w:rPr>
          <w:lang w:val="en-AU"/>
        </w:rPr>
        <w:t xml:space="preserve"> </w:t>
      </w:r>
      <w:r w:rsidR="001A2D80">
        <w:rPr>
          <w:lang w:val="en-AU"/>
        </w:rPr>
        <w:t>QHFSS (Appendix A, Table A6).</w:t>
      </w:r>
      <w:r w:rsidR="004725CE">
        <w:rPr>
          <w:lang w:val="en-AU"/>
        </w:rPr>
        <w:t xml:space="preserve"> </w:t>
      </w:r>
    </w:p>
    <w:p w14:paraId="539E2E9C" w14:textId="2C80D918" w:rsidR="0059608E" w:rsidRDefault="0059608E" w:rsidP="005E2EA7">
      <w:pPr>
        <w:pStyle w:val="Heading2"/>
        <w:ind w:left="709" w:hanging="709"/>
        <w:rPr>
          <w:lang w:val="en-GB"/>
        </w:rPr>
      </w:pPr>
      <w:bookmarkStart w:id="101" w:name="_Toc405835400"/>
      <w:bookmarkStart w:id="102" w:name="_Toc406329900"/>
      <w:bookmarkStart w:id="103" w:name="_Toc406329994"/>
      <w:bookmarkStart w:id="104" w:name="_Toc406770622"/>
      <w:bookmarkStart w:id="105" w:name="_Toc405835402"/>
      <w:bookmarkStart w:id="106" w:name="_Toc406329902"/>
      <w:bookmarkStart w:id="107" w:name="_Toc406329996"/>
      <w:bookmarkStart w:id="108" w:name="_Toc406770624"/>
      <w:bookmarkStart w:id="109" w:name="_Toc405835405"/>
      <w:bookmarkStart w:id="110" w:name="_Toc406329905"/>
      <w:bookmarkStart w:id="111" w:name="_Toc406329999"/>
      <w:bookmarkStart w:id="112" w:name="_Toc406770627"/>
      <w:bookmarkStart w:id="113" w:name="_Toc405835406"/>
      <w:bookmarkStart w:id="114" w:name="_Toc406329906"/>
      <w:bookmarkStart w:id="115" w:name="_Toc406330000"/>
      <w:bookmarkStart w:id="116" w:name="_Toc406770628"/>
      <w:bookmarkStart w:id="117" w:name="_Toc405835407"/>
      <w:bookmarkStart w:id="118" w:name="_Toc406329907"/>
      <w:bookmarkStart w:id="119" w:name="_Toc406330001"/>
      <w:bookmarkStart w:id="120" w:name="_Toc406770629"/>
      <w:bookmarkStart w:id="121" w:name="_Toc405835408"/>
      <w:bookmarkStart w:id="122" w:name="_Toc406329908"/>
      <w:bookmarkStart w:id="123" w:name="_Toc406330002"/>
      <w:bookmarkStart w:id="124" w:name="_Toc406770630"/>
      <w:bookmarkStart w:id="125" w:name="_Toc405835409"/>
      <w:bookmarkStart w:id="126" w:name="_Toc406329909"/>
      <w:bookmarkStart w:id="127" w:name="_Toc406330003"/>
      <w:bookmarkStart w:id="128" w:name="_Toc406770631"/>
      <w:bookmarkStart w:id="129" w:name="_Toc405835410"/>
      <w:bookmarkStart w:id="130" w:name="_Toc406329910"/>
      <w:bookmarkStart w:id="131" w:name="_Toc406330004"/>
      <w:bookmarkStart w:id="132" w:name="_Toc406770632"/>
      <w:bookmarkStart w:id="133" w:name="_Toc461457758"/>
      <w:bookmarkStart w:id="134" w:name="_Toc46265194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Pr>
          <w:lang w:val="en-GB"/>
        </w:rPr>
        <w:lastRenderedPageBreak/>
        <w:t>Mapping the frequency and extent of flood plumes (frequency maps)</w:t>
      </w:r>
      <w:bookmarkEnd w:id="133"/>
      <w:bookmarkEnd w:id="134"/>
    </w:p>
    <w:p w14:paraId="5C12AAE8" w14:textId="2BBB5A75" w:rsidR="00821598" w:rsidRDefault="0059608E" w:rsidP="006130D4">
      <w:pPr>
        <w:spacing w:line="360" w:lineRule="auto"/>
        <w:rPr>
          <w:lang w:val="en-GB" w:eastAsia="en-AU"/>
        </w:rPr>
      </w:pPr>
      <w:r>
        <w:rPr>
          <w:lang w:val="en-GB" w:eastAsia="en-AU"/>
        </w:rPr>
        <w:t xml:space="preserve">River flood plumes are the primary vehicles that deliver catchment-derived pollutants to the Reef lagoon. Mapping the frequency, spatial extent and duration of these flood events is essential when developing risk models that can inform management about the areas that may be the most at risk </w:t>
      </w:r>
      <w:r w:rsidR="00C36509">
        <w:rPr>
          <w:lang w:val="en-GB" w:eastAsia="en-AU"/>
        </w:rPr>
        <w:t xml:space="preserve">from </w:t>
      </w:r>
      <w:r>
        <w:rPr>
          <w:lang w:val="en-GB" w:eastAsia="en-AU"/>
        </w:rPr>
        <w:t xml:space="preserve">acute or chronic effects of pollutant exposure resulting from river discharge. Additionally, these maps can provide an indication of the frequency and duration </w:t>
      </w:r>
      <w:r w:rsidR="00C36509">
        <w:rPr>
          <w:lang w:val="en-GB" w:eastAsia="en-AU"/>
        </w:rPr>
        <w:t xml:space="preserve">at </w:t>
      </w:r>
      <w:r>
        <w:rPr>
          <w:lang w:val="en-GB" w:eastAsia="en-AU"/>
        </w:rPr>
        <w:t xml:space="preserve">which a fixed monitoring site was influenced by plume waters, and potentially exposed to elevated levels of pollutants. </w:t>
      </w:r>
    </w:p>
    <w:p w14:paraId="51D6DBC7" w14:textId="77777777" w:rsidR="00821598" w:rsidRDefault="0059608E" w:rsidP="006130D4">
      <w:pPr>
        <w:spacing w:line="360" w:lineRule="auto"/>
        <w:rPr>
          <w:lang w:val="en-AU"/>
        </w:rPr>
      </w:pPr>
      <w:r>
        <w:rPr>
          <w:lang w:val="en-GB" w:eastAsia="en-AU"/>
        </w:rPr>
        <w:t>One of the outputs of the Inshore Marine Water Quality component of the MMP is mapping the frequency and extent of (surface) flood plumes using ocean colour (that corresponds to different water types) collected via satellite imagery that</w:t>
      </w:r>
      <w:r w:rsidRPr="003C0ECC">
        <w:rPr>
          <w:lang w:val="en-GB" w:eastAsia="en-AU"/>
        </w:rPr>
        <w:t xml:space="preserve"> exploit</w:t>
      </w:r>
      <w:r>
        <w:rPr>
          <w:lang w:val="en-GB" w:eastAsia="en-AU"/>
        </w:rPr>
        <w:t>s</w:t>
      </w:r>
      <w:r w:rsidRPr="003C0ECC">
        <w:rPr>
          <w:lang w:val="en-GB" w:eastAsia="en-AU"/>
        </w:rPr>
        <w:t xml:space="preserve"> differences in colour </w:t>
      </w:r>
      <w:r>
        <w:rPr>
          <w:lang w:val="en-GB" w:eastAsia="en-AU"/>
        </w:rPr>
        <w:t xml:space="preserve">of plume waters </w:t>
      </w:r>
      <w:r w:rsidRPr="003C0ECC">
        <w:rPr>
          <w:lang w:val="en-GB" w:eastAsia="en-AU"/>
        </w:rPr>
        <w:t>from ambient marine</w:t>
      </w:r>
      <w:r>
        <w:rPr>
          <w:lang w:val="en-GB" w:eastAsia="en-AU"/>
        </w:rPr>
        <w:t xml:space="preserve"> </w:t>
      </w:r>
      <w:r w:rsidRPr="003C0ECC">
        <w:rPr>
          <w:lang w:val="en-GB" w:eastAsia="en-AU"/>
        </w:rPr>
        <w:t>waters</w:t>
      </w:r>
      <w:r>
        <w:rPr>
          <w:lang w:val="en-GB" w:eastAsia="en-AU"/>
        </w:rPr>
        <w:t xml:space="preserve"> in 1km</w:t>
      </w:r>
      <w:r>
        <w:rPr>
          <w:vertAlign w:val="superscript"/>
          <w:lang w:val="en-GB" w:eastAsia="en-AU"/>
        </w:rPr>
        <w:t>2</w:t>
      </w:r>
      <w:r>
        <w:rPr>
          <w:lang w:val="en-GB" w:eastAsia="en-AU"/>
        </w:rPr>
        <w:t xml:space="preserve"> ‘pixels’ </w:t>
      </w:r>
      <w:r w:rsidR="00490189">
        <w:rPr>
          <w:lang w:val="en-GB" w:eastAsia="en-AU"/>
        </w:rPr>
        <w:fldChar w:fldCharType="begin"/>
      </w:r>
      <w:r w:rsidR="00490189">
        <w:rPr>
          <w:lang w:val="en-GB" w:eastAsia="en-AU"/>
        </w:rPr>
        <w:instrText xml:space="preserve"> ADDIN EN.CITE &lt;EndNote&gt;&lt;Cite&gt;&lt;Author&gt;Devlin&lt;/Author&gt;&lt;Year&gt;2012&lt;/Year&gt;&lt;RecNum&gt;333&lt;/RecNum&gt;&lt;DisplayText&gt;(Devlin et al., 2012)&lt;/DisplayText&gt;&lt;record&gt;&lt;rec-number&gt;333&lt;/rec-number&gt;&lt;foreign-keys&gt;&lt;key app="EN" db-id="0zzrztwe5p59skesdrqpsfeu2s0xt5zd5v9p" timestamp="1466578920"&gt;333&lt;/key&gt;&lt;/foreign-keys&gt;&lt;ref-type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sidR="00490189">
        <w:rPr>
          <w:lang w:val="en-GB" w:eastAsia="en-AU"/>
        </w:rPr>
        <w:fldChar w:fldCharType="separate"/>
      </w:r>
      <w:r w:rsidR="00490189">
        <w:rPr>
          <w:noProof/>
          <w:lang w:val="en-GB" w:eastAsia="en-AU"/>
        </w:rPr>
        <w:t>(Devlin et al., 2012)</w:t>
      </w:r>
      <w:r w:rsidR="00490189">
        <w:rPr>
          <w:lang w:val="en-GB" w:eastAsia="en-AU"/>
        </w:rPr>
        <w:fldChar w:fldCharType="end"/>
      </w:r>
      <w:r>
        <w:rPr>
          <w:lang w:val="en-GB" w:eastAsia="en-AU"/>
        </w:rPr>
        <w:t xml:space="preserve">. </w:t>
      </w:r>
      <w:r w:rsidR="00821598" w:rsidRPr="00F579FD">
        <w:rPr>
          <w:lang w:val="en-AU"/>
        </w:rPr>
        <w:t xml:space="preserve">Plumes are classified into three water types: </w:t>
      </w:r>
    </w:p>
    <w:p w14:paraId="17726265" w14:textId="77777777" w:rsidR="00821598" w:rsidRPr="00821598" w:rsidRDefault="00821598" w:rsidP="00DE4A32">
      <w:pPr>
        <w:pStyle w:val="ListParagraph"/>
        <w:numPr>
          <w:ilvl w:val="0"/>
          <w:numId w:val="51"/>
        </w:numPr>
        <w:spacing w:line="360" w:lineRule="auto"/>
        <w:rPr>
          <w:lang w:val="en-AU"/>
        </w:rPr>
      </w:pPr>
      <w:r w:rsidRPr="00821598">
        <w:rPr>
          <w:lang w:val="en-AU"/>
        </w:rPr>
        <w:t xml:space="preserve">Primary - very high turbidity, low salinity (0 to 10 ppt), and very high values of colour dissolved organic matter (CDOM) and TSS; </w:t>
      </w:r>
    </w:p>
    <w:p w14:paraId="1033C6C0" w14:textId="77777777" w:rsidR="00821598" w:rsidRPr="00821598" w:rsidRDefault="00821598" w:rsidP="00DE4A32">
      <w:pPr>
        <w:pStyle w:val="ListParagraph"/>
        <w:numPr>
          <w:ilvl w:val="0"/>
          <w:numId w:val="51"/>
        </w:numPr>
        <w:spacing w:line="360" w:lineRule="auto"/>
        <w:rPr>
          <w:lang w:val="en-AU"/>
        </w:rPr>
      </w:pPr>
      <w:r w:rsidRPr="00821598">
        <w:rPr>
          <w:lang w:val="en-AU"/>
        </w:rPr>
        <w:t xml:space="preserve">Secondary - intermediate salinity, elevated CDOM concentrations, and reduced TSS due to sedimentation, where phytoplankton growth is prompted by the increased light (due to lower TSS) and high nutrient availability delivered by the river plume; </w:t>
      </w:r>
    </w:p>
    <w:p w14:paraId="7606AAE7" w14:textId="2D5C7D08" w:rsidR="00821598" w:rsidRPr="00821598" w:rsidRDefault="00821598" w:rsidP="00DE4A32">
      <w:pPr>
        <w:pStyle w:val="ListParagraph"/>
        <w:numPr>
          <w:ilvl w:val="0"/>
          <w:numId w:val="51"/>
        </w:numPr>
        <w:spacing w:line="360" w:lineRule="auto"/>
        <w:rPr>
          <w:lang w:val="en-GB" w:eastAsia="en-AU"/>
        </w:rPr>
      </w:pPr>
      <w:r w:rsidRPr="00821598">
        <w:rPr>
          <w:lang w:val="en-AU"/>
        </w:rPr>
        <w:t xml:space="preserve">Tertiary - exhibits no or low TSS associated with the river plume, and above-ambient concentrations of chlorophyll </w:t>
      </w:r>
      <w:r w:rsidRPr="00821598">
        <w:rPr>
          <w:i/>
          <w:lang w:val="en-AU"/>
        </w:rPr>
        <w:t>a</w:t>
      </w:r>
      <w:r w:rsidRPr="00821598">
        <w:rPr>
          <w:lang w:val="en-AU"/>
        </w:rPr>
        <w:t xml:space="preserve"> (Chl-a) and CDOM.  </w:t>
      </w:r>
    </w:p>
    <w:p w14:paraId="766F063D" w14:textId="78D7600B" w:rsidR="0059608E" w:rsidRDefault="0059608E" w:rsidP="006130D4">
      <w:pPr>
        <w:spacing w:line="360" w:lineRule="auto"/>
        <w:rPr>
          <w:lang w:val="en-GB" w:eastAsia="en-AU"/>
        </w:rPr>
      </w:pPr>
      <w:r>
        <w:rPr>
          <w:lang w:val="en-GB" w:eastAsia="en-AU"/>
        </w:rPr>
        <w:t>Weekly flood plume</w:t>
      </w:r>
      <w:r w:rsidRPr="00636C1F">
        <w:rPr>
          <w:lang w:val="en-GB" w:eastAsia="en-AU"/>
        </w:rPr>
        <w:t xml:space="preserve"> </w:t>
      </w:r>
      <w:r>
        <w:rPr>
          <w:lang w:val="en-GB" w:eastAsia="en-AU"/>
        </w:rPr>
        <w:t xml:space="preserve">colour class data was recorded for each of the fixed monitoring sites for the wet season (details provided in Appendix </w:t>
      </w:r>
      <w:r w:rsidR="003E00CF">
        <w:rPr>
          <w:lang w:val="en-GB" w:eastAsia="en-AU"/>
        </w:rPr>
        <w:t>A, Table A13</w:t>
      </w:r>
      <w:r>
        <w:rPr>
          <w:lang w:val="en-GB" w:eastAsia="en-AU"/>
        </w:rPr>
        <w:t>). Reef-wide, annual and multi-annual frequency maps were also obtained (all plume frequency maps were prepared by Dieter Tracy (JCU)).</w:t>
      </w:r>
      <w:r w:rsidR="007B3F2E">
        <w:rPr>
          <w:lang w:val="en-GB" w:eastAsia="en-AU"/>
        </w:rPr>
        <w:t xml:space="preserve"> </w:t>
      </w:r>
      <w:r w:rsidR="00934496">
        <w:rPr>
          <w:lang w:val="en-GB" w:eastAsia="en-AU"/>
        </w:rPr>
        <w:t>It must be noted that plume exposure mapping may be complicated by the resuspension of fine sediments during periods of high winds and waves (rather than periods of actual river discharge) as well as cloud cover.</w:t>
      </w:r>
    </w:p>
    <w:p w14:paraId="1C4F3DC2" w14:textId="77777777" w:rsidR="0059608E" w:rsidRDefault="0059608E" w:rsidP="006130D4">
      <w:pPr>
        <w:spacing w:line="360" w:lineRule="auto"/>
        <w:rPr>
          <w:lang w:val="en-GB" w:eastAsia="en-AU"/>
        </w:rPr>
      </w:pPr>
    </w:p>
    <w:p w14:paraId="6EAA20F5" w14:textId="77777777" w:rsidR="0059608E" w:rsidRPr="00214465" w:rsidRDefault="0059608E" w:rsidP="00214465">
      <w:pPr>
        <w:pStyle w:val="Heading2"/>
        <w:ind w:left="0" w:hanging="10"/>
      </w:pPr>
      <w:bookmarkStart w:id="135" w:name="_Toc455069276"/>
      <w:bookmarkStart w:id="136" w:name="_Toc455069926"/>
      <w:bookmarkStart w:id="137" w:name="_Toc455070198"/>
      <w:bookmarkStart w:id="138" w:name="_Toc455151585"/>
      <w:bookmarkStart w:id="139" w:name="_Toc455069277"/>
      <w:bookmarkStart w:id="140" w:name="_Toc455069927"/>
      <w:bookmarkStart w:id="141" w:name="_Toc455070199"/>
      <w:bookmarkStart w:id="142" w:name="_Toc455151586"/>
      <w:bookmarkStart w:id="143" w:name="_Toc455069278"/>
      <w:bookmarkStart w:id="144" w:name="_Toc455069928"/>
      <w:bookmarkStart w:id="145" w:name="_Toc455070200"/>
      <w:bookmarkStart w:id="146" w:name="_Toc455151587"/>
      <w:bookmarkStart w:id="147" w:name="_Toc455069279"/>
      <w:bookmarkStart w:id="148" w:name="_Toc455069929"/>
      <w:bookmarkStart w:id="149" w:name="_Toc455070201"/>
      <w:bookmarkStart w:id="150" w:name="_Toc455151588"/>
      <w:bookmarkStart w:id="151" w:name="_Toc455069280"/>
      <w:bookmarkStart w:id="152" w:name="_Toc455069930"/>
      <w:bookmarkStart w:id="153" w:name="_Toc455070202"/>
      <w:bookmarkStart w:id="154" w:name="_Toc455151589"/>
      <w:bookmarkStart w:id="155" w:name="_Toc455069281"/>
      <w:bookmarkStart w:id="156" w:name="_Toc455069931"/>
      <w:bookmarkStart w:id="157" w:name="_Toc455070203"/>
      <w:bookmarkStart w:id="158" w:name="_Toc455151590"/>
      <w:bookmarkStart w:id="159" w:name="_Toc455069283"/>
      <w:bookmarkStart w:id="160" w:name="_Toc455069933"/>
      <w:bookmarkStart w:id="161" w:name="_Toc455070205"/>
      <w:bookmarkStart w:id="162" w:name="_Toc455151592"/>
      <w:bookmarkStart w:id="163" w:name="_Toc335638142"/>
      <w:bookmarkStart w:id="164" w:name="_Toc335640752"/>
      <w:bookmarkStart w:id="165" w:name="_Toc335638143"/>
      <w:bookmarkStart w:id="166" w:name="_Toc335640753"/>
      <w:bookmarkStart w:id="167" w:name="_Toc335638144"/>
      <w:bookmarkStart w:id="168" w:name="_Toc335640754"/>
      <w:bookmarkStart w:id="169" w:name="_Toc335638146"/>
      <w:bookmarkStart w:id="170" w:name="_Toc335640756"/>
      <w:bookmarkStart w:id="171" w:name="_Toc335638147"/>
      <w:bookmarkStart w:id="172" w:name="_Toc335640757"/>
      <w:bookmarkStart w:id="173" w:name="_Toc335638148"/>
      <w:bookmarkStart w:id="174" w:name="_Toc335640758"/>
      <w:bookmarkStart w:id="175" w:name="_Toc335638149"/>
      <w:bookmarkStart w:id="176" w:name="_Toc335640759"/>
      <w:bookmarkStart w:id="177" w:name="_Toc335638150"/>
      <w:bookmarkStart w:id="178" w:name="_Toc335640760"/>
      <w:bookmarkStart w:id="179" w:name="_Toc335638152"/>
      <w:bookmarkStart w:id="180" w:name="_Toc335640762"/>
      <w:bookmarkStart w:id="181" w:name="_Toc335638153"/>
      <w:bookmarkStart w:id="182" w:name="_Toc335640763"/>
      <w:bookmarkStart w:id="183" w:name="_Toc335638159"/>
      <w:bookmarkStart w:id="184" w:name="_Toc335640769"/>
      <w:bookmarkStart w:id="185" w:name="_Toc335638211"/>
      <w:bookmarkStart w:id="186" w:name="_Toc335640821"/>
      <w:bookmarkStart w:id="187" w:name="_Toc335638212"/>
      <w:bookmarkStart w:id="188" w:name="_Toc335640822"/>
      <w:bookmarkStart w:id="189" w:name="_Toc335638213"/>
      <w:bookmarkStart w:id="190" w:name="_Toc335640823"/>
      <w:bookmarkStart w:id="191" w:name="_Toc335638215"/>
      <w:bookmarkStart w:id="192" w:name="_Toc335640825"/>
      <w:bookmarkStart w:id="193" w:name="_Toc335638216"/>
      <w:bookmarkStart w:id="194" w:name="_Toc335640826"/>
      <w:bookmarkStart w:id="195" w:name="_Toc335638217"/>
      <w:bookmarkStart w:id="196" w:name="_Toc335640827"/>
      <w:bookmarkStart w:id="197" w:name="_Toc335638218"/>
      <w:bookmarkStart w:id="198" w:name="_Toc335640828"/>
      <w:bookmarkStart w:id="199" w:name="_Toc335638219"/>
      <w:bookmarkStart w:id="200" w:name="_Toc335640829"/>
      <w:bookmarkStart w:id="201" w:name="_Toc335638220"/>
      <w:bookmarkStart w:id="202" w:name="_Toc335640830"/>
      <w:bookmarkStart w:id="203" w:name="_Toc335638221"/>
      <w:bookmarkStart w:id="204" w:name="_Toc335640831"/>
      <w:bookmarkStart w:id="205" w:name="_Toc335638222"/>
      <w:bookmarkStart w:id="206" w:name="_Toc335640832"/>
      <w:bookmarkStart w:id="207" w:name="_Toc335638223"/>
      <w:bookmarkStart w:id="208" w:name="_Toc335640833"/>
      <w:bookmarkStart w:id="209" w:name="_Toc335638224"/>
      <w:bookmarkStart w:id="210" w:name="_Toc335640834"/>
      <w:bookmarkStart w:id="211" w:name="_Toc335638225"/>
      <w:bookmarkStart w:id="212" w:name="_Toc335640835"/>
      <w:bookmarkStart w:id="213" w:name="_Toc335638226"/>
      <w:bookmarkStart w:id="214" w:name="_Toc335640836"/>
      <w:bookmarkStart w:id="215" w:name="_Toc335638227"/>
      <w:bookmarkStart w:id="216" w:name="_Toc335640837"/>
      <w:bookmarkStart w:id="217" w:name="_Toc335638228"/>
      <w:bookmarkStart w:id="218" w:name="_Toc335640838"/>
      <w:bookmarkStart w:id="219" w:name="_Toc335638229"/>
      <w:bookmarkStart w:id="220" w:name="_Toc335640839"/>
      <w:bookmarkStart w:id="221" w:name="_Toc335638230"/>
      <w:bookmarkStart w:id="222" w:name="_Toc335640840"/>
      <w:bookmarkStart w:id="223" w:name="_Toc335638231"/>
      <w:bookmarkStart w:id="224" w:name="_Toc335640841"/>
      <w:bookmarkStart w:id="225" w:name="_Toc335638232"/>
      <w:bookmarkStart w:id="226" w:name="_Toc335640842"/>
      <w:bookmarkStart w:id="227" w:name="_Toc335638233"/>
      <w:bookmarkStart w:id="228" w:name="_Toc335640843"/>
      <w:bookmarkStart w:id="229" w:name="_Toc335638234"/>
      <w:bookmarkStart w:id="230" w:name="_Toc335640844"/>
      <w:bookmarkStart w:id="231" w:name="_Toc335638235"/>
      <w:bookmarkStart w:id="232" w:name="_Toc335640845"/>
      <w:bookmarkStart w:id="233" w:name="_Toc335638236"/>
      <w:bookmarkStart w:id="234" w:name="_Toc335640846"/>
      <w:bookmarkStart w:id="235" w:name="_Toc335638237"/>
      <w:bookmarkStart w:id="236" w:name="_Toc335640847"/>
      <w:bookmarkStart w:id="237" w:name="_Toc335638238"/>
      <w:bookmarkStart w:id="238" w:name="_Toc335640848"/>
      <w:bookmarkStart w:id="239" w:name="_Toc335638239"/>
      <w:bookmarkStart w:id="240" w:name="_Toc335640849"/>
      <w:bookmarkStart w:id="241" w:name="_Toc335638240"/>
      <w:bookmarkStart w:id="242" w:name="_Toc335640850"/>
      <w:bookmarkStart w:id="243" w:name="_Toc335638241"/>
      <w:bookmarkStart w:id="244" w:name="_Toc335640851"/>
      <w:bookmarkStart w:id="245" w:name="_Toc335638242"/>
      <w:bookmarkStart w:id="246" w:name="_Toc335640852"/>
      <w:bookmarkStart w:id="247" w:name="_Toc335638243"/>
      <w:bookmarkStart w:id="248" w:name="_Toc335640853"/>
      <w:bookmarkStart w:id="249" w:name="_Toc335638244"/>
      <w:bookmarkStart w:id="250" w:name="_Toc335640854"/>
      <w:bookmarkStart w:id="251" w:name="_Toc335638245"/>
      <w:bookmarkStart w:id="252" w:name="_Toc335640855"/>
      <w:bookmarkStart w:id="253" w:name="_Toc335638246"/>
      <w:bookmarkStart w:id="254" w:name="_Toc335640856"/>
      <w:bookmarkStart w:id="255" w:name="_Toc335638247"/>
      <w:bookmarkStart w:id="256" w:name="_Toc335640857"/>
      <w:bookmarkStart w:id="257" w:name="_Toc335638248"/>
      <w:bookmarkStart w:id="258" w:name="_Toc335640858"/>
      <w:bookmarkStart w:id="259" w:name="_Toc335638249"/>
      <w:bookmarkStart w:id="260" w:name="_Toc335640859"/>
      <w:bookmarkStart w:id="261" w:name="_Toc335638250"/>
      <w:bookmarkStart w:id="262" w:name="_Toc335640860"/>
      <w:bookmarkStart w:id="263" w:name="_Toc335638251"/>
      <w:bookmarkStart w:id="264" w:name="_Toc335640861"/>
      <w:bookmarkStart w:id="265" w:name="_Toc335638252"/>
      <w:bookmarkStart w:id="266" w:name="_Toc335640862"/>
      <w:bookmarkStart w:id="267" w:name="_Toc335638253"/>
      <w:bookmarkStart w:id="268" w:name="_Toc335640863"/>
      <w:bookmarkStart w:id="269" w:name="_Toc335638254"/>
      <w:bookmarkStart w:id="270" w:name="_Toc335640864"/>
      <w:bookmarkStart w:id="271" w:name="_Toc335638255"/>
      <w:bookmarkStart w:id="272" w:name="_Toc335640865"/>
      <w:bookmarkStart w:id="273" w:name="_Toc335638256"/>
      <w:bookmarkStart w:id="274" w:name="_Toc335640866"/>
      <w:bookmarkStart w:id="275" w:name="_Toc335638257"/>
      <w:bookmarkStart w:id="276" w:name="_Toc335640867"/>
      <w:bookmarkStart w:id="277" w:name="_Toc335638258"/>
      <w:bookmarkStart w:id="278" w:name="_Toc335640868"/>
      <w:bookmarkStart w:id="279" w:name="_Toc335638259"/>
      <w:bookmarkStart w:id="280" w:name="_Toc335640869"/>
      <w:bookmarkStart w:id="281" w:name="_Toc461186680"/>
      <w:bookmarkStart w:id="282" w:name="_Toc461457759"/>
      <w:bookmarkStart w:id="283" w:name="_Toc461459023"/>
      <w:bookmarkStart w:id="284" w:name="_Toc461459108"/>
      <w:bookmarkStart w:id="285" w:name="_Toc461459196"/>
      <w:bookmarkStart w:id="286" w:name="_Toc461459243"/>
      <w:bookmarkStart w:id="287" w:name="_Toc461459304"/>
      <w:bookmarkStart w:id="288" w:name="_Toc461459473"/>
      <w:bookmarkStart w:id="289" w:name="_Toc461457760"/>
      <w:bookmarkStart w:id="290" w:name="_Toc462651941"/>
      <w:bookmarkEnd w:id="26"/>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r w:rsidRPr="00214465">
        <w:t>Reporting Metrics</w:t>
      </w:r>
      <w:bookmarkEnd w:id="289"/>
      <w:bookmarkEnd w:id="290"/>
      <w:r w:rsidRPr="00214465">
        <w:t xml:space="preserve"> </w:t>
      </w:r>
    </w:p>
    <w:p w14:paraId="0FBF57A9" w14:textId="77777777" w:rsidR="00E86481" w:rsidRDefault="0059608E" w:rsidP="006130D4">
      <w:pPr>
        <w:spacing w:line="360" w:lineRule="auto"/>
        <w:rPr>
          <w:lang w:val="en-AU" w:eastAsia="en-AU"/>
        </w:rPr>
      </w:pPr>
      <w:r w:rsidRPr="00150F01">
        <w:rPr>
          <w:lang w:val="en-AU" w:eastAsia="en-AU"/>
        </w:rPr>
        <w:t xml:space="preserve">Measured concentrations of pesticides and </w:t>
      </w:r>
      <w:r>
        <w:rPr>
          <w:lang w:val="en-AU" w:eastAsia="en-AU"/>
        </w:rPr>
        <w:t>herbicides</w:t>
      </w:r>
      <w:r w:rsidRPr="00150F01">
        <w:rPr>
          <w:lang w:val="en-AU" w:eastAsia="en-AU"/>
        </w:rPr>
        <w:t xml:space="preserve"> were </w:t>
      </w:r>
      <w:r>
        <w:rPr>
          <w:lang w:val="en-AU" w:eastAsia="en-AU"/>
        </w:rPr>
        <w:t>compared to</w:t>
      </w:r>
      <w:r w:rsidRPr="00150F01">
        <w:rPr>
          <w:lang w:val="en-AU" w:eastAsia="en-AU"/>
        </w:rPr>
        <w:t xml:space="preserve"> </w:t>
      </w:r>
      <w:r w:rsidR="005442CE">
        <w:rPr>
          <w:lang w:val="en-AU" w:eastAsia="en-AU"/>
        </w:rPr>
        <w:t>GVs</w:t>
      </w:r>
      <w:r w:rsidRPr="00150F01">
        <w:rPr>
          <w:lang w:val="en-AU" w:eastAsia="en-AU"/>
        </w:rPr>
        <w:t xml:space="preserve"> </w:t>
      </w:r>
      <w:r w:rsidR="00E91F4F">
        <w:rPr>
          <w:lang w:val="en-AU" w:eastAsia="en-AU"/>
        </w:rPr>
        <w:fldChar w:fldCharType="begin"/>
      </w:r>
      <w:r w:rsidR="00091AC3">
        <w:rPr>
          <w:lang w:val="en-AU" w:eastAsia="en-AU"/>
        </w:rPr>
        <w:instrText xml:space="preserve"> ADDIN EN.CITE &lt;EndNote&gt;&lt;Cite&gt;&lt;Author&gt;GBRMPA&lt;/Author&gt;&lt;Year&gt;2010&lt;/Year&gt;&lt;RecNum&gt;334&lt;/RecNum&gt;&lt;DisplayText&gt;(GBRMPA, 2010, ANZECC and ARMCANZ, 2000)&lt;/DisplayText&gt;&lt;record&gt;&lt;rec-number&gt;334&lt;/rec-number&gt;&lt;foreign-keys&gt;&lt;key app="EN" db-id="0zzrztwe5p59skesdrqpsfeu2s0xt5zd5v9p" timestamp="1466579009"&gt;334&lt;/key&gt;&lt;/foreign-keys&gt;&lt;ref-type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Townsville&lt;/pub-location&gt;&lt;urls&gt;&lt;/urls&gt;&lt;/record&gt;&lt;/Cite&gt;&lt;Cite&gt;&lt;Author&gt;ARMCANZ&lt;/Author&gt;&lt;Year&gt;2000&lt;/Year&gt;&lt;RecNum&gt;129&lt;/RecNum&gt;&lt;record&gt;&lt;rec-number&gt;129&lt;/rec-number&gt;&lt;foreign-keys&gt;&lt;key app="EN" db-id="0zzrztwe5p59skesdrqpsfeu2s0xt5zd5v9p" timestamp="1429588307"&gt;129&lt;/key&gt;&lt;/foreign-keys&gt;&lt;ref-type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E91F4F">
        <w:rPr>
          <w:lang w:val="en-AU" w:eastAsia="en-AU"/>
        </w:rPr>
        <w:fldChar w:fldCharType="separate"/>
      </w:r>
      <w:r w:rsidR="00091AC3">
        <w:rPr>
          <w:noProof/>
          <w:lang w:val="en-AU" w:eastAsia="en-AU"/>
        </w:rPr>
        <w:t>(GBRMPA, 2010, ANZECC and ARMCANZ, 2000)</w:t>
      </w:r>
      <w:r w:rsidR="00E91F4F">
        <w:rPr>
          <w:lang w:val="en-AU" w:eastAsia="en-AU"/>
        </w:rPr>
        <w:fldChar w:fldCharType="end"/>
      </w:r>
      <w:r w:rsidR="00CD4670">
        <w:rPr>
          <w:lang w:val="en-AU" w:eastAsia="en-AU"/>
        </w:rPr>
        <w:t xml:space="preserve"> </w:t>
      </w:r>
      <w:r>
        <w:rPr>
          <w:lang w:val="en-AU" w:eastAsia="en-AU"/>
        </w:rPr>
        <w:t xml:space="preserve">(Appendix A, Table </w:t>
      </w:r>
      <w:r w:rsidR="008748E8">
        <w:rPr>
          <w:lang w:val="en-AU" w:eastAsia="en-AU"/>
        </w:rPr>
        <w:t>A7</w:t>
      </w:r>
      <w:r>
        <w:rPr>
          <w:lang w:val="en-AU" w:eastAsia="en-AU"/>
        </w:rPr>
        <w:t>)</w:t>
      </w:r>
      <w:r w:rsidRPr="00150F01">
        <w:rPr>
          <w:lang w:val="en-AU" w:eastAsia="en-AU"/>
        </w:rPr>
        <w:t xml:space="preserve">. The </w:t>
      </w:r>
      <w:r w:rsidR="008748E8">
        <w:rPr>
          <w:lang w:val="en-AU" w:eastAsia="en-AU"/>
        </w:rPr>
        <w:t>GVs</w:t>
      </w:r>
      <w:r w:rsidRPr="00150F01">
        <w:rPr>
          <w:lang w:val="en-AU" w:eastAsia="en-AU"/>
        </w:rPr>
        <w:t xml:space="preserve"> chosen are conservative and protective of 99 % of species. This level of protection was judged the most suitable for th</w:t>
      </w:r>
      <w:r>
        <w:rPr>
          <w:lang w:val="en-AU" w:eastAsia="en-AU"/>
        </w:rPr>
        <w:t xml:space="preserve">is </w:t>
      </w:r>
      <w:r w:rsidRPr="00150F01">
        <w:rPr>
          <w:lang w:val="en-AU" w:eastAsia="en-AU"/>
        </w:rPr>
        <w:t xml:space="preserve">World Heritage Area, which is classified as having outstanding </w:t>
      </w:r>
      <w:r>
        <w:rPr>
          <w:lang w:val="en-AU" w:eastAsia="en-AU"/>
        </w:rPr>
        <w:t>universal</w:t>
      </w:r>
      <w:r w:rsidRPr="00150F01">
        <w:rPr>
          <w:lang w:val="en-AU" w:eastAsia="en-AU"/>
        </w:rPr>
        <w:t xml:space="preserve"> value and no change in the indicators of biological diversity beyond the natural variation is recommended</w:t>
      </w:r>
      <w:r w:rsidR="00091AC3">
        <w:rPr>
          <w:lang w:val="en-AU" w:eastAsia="en-AU"/>
        </w:rPr>
        <w:t>.</w:t>
      </w:r>
      <w:r w:rsidRPr="00150F01">
        <w:rPr>
          <w:lang w:val="en-AU" w:eastAsia="en-AU"/>
        </w:rPr>
        <w:t xml:space="preserve"> In certain cases, only freshwater guidelines</w:t>
      </w:r>
      <w:r>
        <w:rPr>
          <w:lang w:val="en-AU" w:eastAsia="en-AU"/>
        </w:rPr>
        <w:t>,</w:t>
      </w:r>
      <w:r w:rsidRPr="00150F01">
        <w:rPr>
          <w:lang w:val="en-AU" w:eastAsia="en-AU"/>
        </w:rPr>
        <w:t xml:space="preserve"> “low reliability” Guidelines or “interim working levels” (IWLs) were available for assessing the concentrations of specific chemicals</w:t>
      </w:r>
      <w:r w:rsidR="00255D58">
        <w:rPr>
          <w:lang w:val="en-AU" w:eastAsia="en-AU"/>
        </w:rPr>
        <w:t xml:space="preserve"> </w:t>
      </w:r>
      <w:r w:rsidR="00091AC3">
        <w:rPr>
          <w:lang w:val="en-AU" w:eastAsia="en-AU"/>
        </w:rPr>
        <w:fldChar w:fldCharType="begin"/>
      </w:r>
      <w:r w:rsidR="00091AC3">
        <w:rPr>
          <w:lang w:val="en-AU" w:eastAsia="en-AU"/>
        </w:rPr>
        <w:instrText xml:space="preserve"> ADDIN EN.CITE &lt;EndNote&gt;&lt;Cite&gt;&lt;Author&gt;ANZECC&lt;/Author&gt;&lt;Year&gt;2000&lt;/Year&gt;&lt;RecNum&gt;129&lt;/RecNum&gt;&lt;DisplayText&gt;(ANZECC and ARMCANZ, 2000)&lt;/DisplayText&gt;&lt;record&gt;&lt;rec-number&gt;129&lt;/rec-number&gt;&lt;foreign-keys&gt;&lt;key app="EN" db-id="0zzrztwe5p59skesdrqpsfeu2s0xt5zd5v9p" timestamp="1429588307"&gt;129&lt;/key&gt;&lt;/foreign-keys&gt;&lt;ref-type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Zealand.&lt;/pub-location&gt;&lt;urls&gt;&lt;/urls&gt;&lt;/record&gt;&lt;/Cite&gt;&lt;/EndNote&gt;</w:instrText>
      </w:r>
      <w:r w:rsidR="00091AC3">
        <w:rPr>
          <w:lang w:val="en-AU" w:eastAsia="en-AU"/>
        </w:rPr>
        <w:fldChar w:fldCharType="separate"/>
      </w:r>
      <w:r w:rsidR="00091AC3">
        <w:rPr>
          <w:noProof/>
          <w:lang w:val="en-AU" w:eastAsia="en-AU"/>
        </w:rPr>
        <w:t>(ANZECC and ARMCANZ, 2000)</w:t>
      </w:r>
      <w:r w:rsidR="00091AC3">
        <w:rPr>
          <w:lang w:val="en-AU" w:eastAsia="en-AU"/>
        </w:rPr>
        <w:fldChar w:fldCharType="end"/>
      </w:r>
      <w:r w:rsidRPr="00150F01">
        <w:rPr>
          <w:lang w:val="en-AU" w:eastAsia="en-AU"/>
        </w:rPr>
        <w:t xml:space="preserve">. </w:t>
      </w:r>
    </w:p>
    <w:p w14:paraId="3A929D3A" w14:textId="77777777" w:rsidR="00E86481" w:rsidRDefault="00E86481" w:rsidP="006130D4">
      <w:pPr>
        <w:spacing w:line="360" w:lineRule="auto"/>
        <w:rPr>
          <w:lang w:val="en-AU" w:eastAsia="en-AU"/>
        </w:rPr>
      </w:pPr>
    </w:p>
    <w:p w14:paraId="25A681B4" w14:textId="77777777" w:rsidR="0059608E" w:rsidRDefault="0059608E" w:rsidP="006130D4">
      <w:pPr>
        <w:spacing w:line="360" w:lineRule="auto"/>
        <w:rPr>
          <w:lang w:val="en-AU" w:eastAsia="en-AU"/>
        </w:rPr>
      </w:pPr>
      <w:r w:rsidRPr="00150F01">
        <w:rPr>
          <w:lang w:val="en-AU" w:eastAsia="en-AU"/>
        </w:rPr>
        <w:t xml:space="preserve">In many cases, no </w:t>
      </w:r>
      <w:r w:rsidR="005442CE">
        <w:rPr>
          <w:lang w:val="en-AU" w:eastAsia="en-AU"/>
        </w:rPr>
        <w:t>GVs</w:t>
      </w:r>
      <w:r w:rsidRPr="00150F01">
        <w:rPr>
          <w:lang w:val="en-AU" w:eastAsia="en-AU"/>
        </w:rPr>
        <w:t xml:space="preserve"> are available to assess the concentrations of specific chemicals detected in this current monitoring year.</w:t>
      </w:r>
      <w:r>
        <w:rPr>
          <w:lang w:val="en-AU" w:eastAsia="en-AU"/>
        </w:rPr>
        <w:t xml:space="preserve"> It must be noted that the Guidelines are currently under review</w:t>
      </w:r>
      <w:r w:rsidR="00B43E6B">
        <w:rPr>
          <w:lang w:val="en-AU" w:eastAsia="en-AU"/>
        </w:rPr>
        <w:t xml:space="preserve"> to include </w:t>
      </w:r>
      <w:r w:rsidR="002B221B">
        <w:rPr>
          <w:lang w:val="en-AU" w:eastAsia="en-AU"/>
        </w:rPr>
        <w:t>many more of the herbicides detected in this MMP</w:t>
      </w:r>
      <w:r>
        <w:rPr>
          <w:lang w:val="en-AU" w:eastAsia="en-AU"/>
        </w:rPr>
        <w:t xml:space="preserve"> </w:t>
      </w:r>
      <w:r w:rsidR="00BA4759">
        <w:rPr>
          <w:lang w:val="en-AU" w:eastAsia="en-AU"/>
        </w:rPr>
        <w:fldChar w:fldCharType="begin"/>
      </w:r>
      <w:r w:rsidR="00BA4759">
        <w:rPr>
          <w:lang w:val="en-AU" w:eastAsia="en-AU"/>
        </w:rPr>
        <w:instrText xml:space="preserve"> ADDIN EN.CITE &lt;EndNote&gt;&lt;Cite&gt;&lt;Author&gt;DoE&lt;/Author&gt;&lt;Year&gt;2016&lt;/Year&gt;&lt;RecNum&gt;335&lt;/RecNum&gt;&lt;DisplayText&gt;(DoE, 2016)&lt;/DisplayText&gt;&lt;record&gt;&lt;rec-number&gt;335&lt;/rec-number&gt;&lt;foreign-keys&gt;&lt;key app="EN" db-id="0zzrztwe5p59skesdrqpsfeu2s0xt5zd5v9p" timestamp="1466639098"&gt;335&lt;/key&gt;&lt;/foreign-keys&gt;&lt;ref-type name="Web Page"&gt;12&lt;/ref-type&gt;&lt;contributors&gt;&lt;authors&gt;&lt;author&gt;DoE&lt;/author&gt;&lt;/authors&gt;&lt;/contributors&gt;&lt;titles&gt;&lt;title&gt;National Water Quality Management Strategy&lt;/title&gt;&lt;/titles&gt;&lt;volume&gt;2016&lt;/volume&gt;&lt;number&gt;14 June&lt;/number&gt;&lt;dates&gt;&lt;year&gt;2016&lt;/year&gt;&lt;/dates&gt;&lt;pub-location&gt;Department of the Environment, Canberra&lt;/pub-location&gt;&lt;urls&gt;&lt;related-urls&gt;&lt;url&gt;https://www.environment.gov.au/water/quality/national-water-quality-management-strategy#process&lt;/url&gt;&lt;/related-urls&gt;&lt;/urls&gt;&lt;/record&gt;&lt;/Cite&gt;&lt;/EndNote&gt;</w:instrText>
      </w:r>
      <w:r w:rsidR="00BA4759">
        <w:rPr>
          <w:lang w:val="en-AU" w:eastAsia="en-AU"/>
        </w:rPr>
        <w:fldChar w:fldCharType="separate"/>
      </w:r>
      <w:r w:rsidR="00BA4759">
        <w:rPr>
          <w:noProof/>
          <w:lang w:val="en-AU" w:eastAsia="en-AU"/>
        </w:rPr>
        <w:t>(DoE, 2016)</w:t>
      </w:r>
      <w:r w:rsidR="00BA4759">
        <w:rPr>
          <w:lang w:val="en-AU" w:eastAsia="en-AU"/>
        </w:rPr>
        <w:fldChar w:fldCharType="end"/>
      </w:r>
      <w:r w:rsidR="00BA4759">
        <w:rPr>
          <w:lang w:val="en-AU" w:eastAsia="en-AU"/>
        </w:rPr>
        <w:t xml:space="preserve"> </w:t>
      </w:r>
      <w:r w:rsidR="002B221B">
        <w:rPr>
          <w:lang w:val="en-AU" w:eastAsia="en-AU"/>
        </w:rPr>
        <w:t>however</w:t>
      </w:r>
      <w:r>
        <w:rPr>
          <w:lang w:val="en-AU" w:eastAsia="en-AU"/>
        </w:rPr>
        <w:t xml:space="preserve"> for the purposes of this report</w:t>
      </w:r>
      <w:r w:rsidR="00E37DC1">
        <w:rPr>
          <w:lang w:val="en-AU" w:eastAsia="en-AU"/>
        </w:rPr>
        <w:t>,</w:t>
      </w:r>
      <w:r>
        <w:rPr>
          <w:lang w:val="en-AU" w:eastAsia="en-AU"/>
        </w:rPr>
        <w:t xml:space="preserve"> data is compared against the existing Guideline values.</w:t>
      </w:r>
    </w:p>
    <w:p w14:paraId="7FCAA2BD" w14:textId="77777777" w:rsidR="0059608E" w:rsidRDefault="0059608E" w:rsidP="006130D4">
      <w:pPr>
        <w:spacing w:line="360" w:lineRule="auto"/>
        <w:rPr>
          <w:lang w:val="en-AU" w:eastAsia="en-AU"/>
        </w:rPr>
      </w:pPr>
    </w:p>
    <w:p w14:paraId="1BD23063" w14:textId="77777777" w:rsidR="0059608E" w:rsidRDefault="0059608E" w:rsidP="006130D4">
      <w:pPr>
        <w:spacing w:line="360" w:lineRule="auto"/>
        <w:rPr>
          <w:lang w:val="en-AU"/>
        </w:rPr>
      </w:pPr>
      <w:r>
        <w:rPr>
          <w:rFonts w:cs="Arial"/>
          <w:lang w:val="en-AU"/>
        </w:rPr>
        <w:lastRenderedPageBreak/>
        <w:t xml:space="preserve">The risk of PSII inhibition may be underestimated when concentrations of herbicides are considered individually rather than as part of a more complex mixture. </w:t>
      </w:r>
      <w:bookmarkStart w:id="291" w:name="_Toc405835414"/>
      <w:bookmarkStart w:id="292" w:name="_Toc406329914"/>
      <w:bookmarkStart w:id="293" w:name="_Toc406330008"/>
      <w:bookmarkStart w:id="294" w:name="_Toc406770637"/>
      <w:bookmarkStart w:id="295" w:name="_Toc405835415"/>
      <w:bookmarkStart w:id="296" w:name="_Toc406329915"/>
      <w:bookmarkStart w:id="297" w:name="_Toc406330009"/>
      <w:bookmarkStart w:id="298" w:name="_Toc406770638"/>
      <w:bookmarkStart w:id="299" w:name="_Toc405835416"/>
      <w:bookmarkStart w:id="300" w:name="_Toc406329916"/>
      <w:bookmarkStart w:id="301" w:name="_Toc406330010"/>
      <w:bookmarkStart w:id="302" w:name="_Toc406770639"/>
      <w:bookmarkStart w:id="303" w:name="_Toc405835417"/>
      <w:bookmarkStart w:id="304" w:name="_Toc406329917"/>
      <w:bookmarkStart w:id="305" w:name="_Toc406330011"/>
      <w:bookmarkStart w:id="306" w:name="_Toc40677064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Pr>
          <w:lang w:val="en-AU"/>
        </w:rPr>
        <w:t>In this report,</w:t>
      </w:r>
      <w:r w:rsidRPr="00C11BBA">
        <w:rPr>
          <w:lang w:val="en-AU"/>
        </w:rPr>
        <w:t xml:space="preserve"> </w:t>
      </w:r>
      <w:r>
        <w:rPr>
          <w:lang w:val="en-AU"/>
        </w:rPr>
        <w:t>PSII herbicide concentrations (ng L</w:t>
      </w:r>
      <w:r>
        <w:rPr>
          <w:vertAlign w:val="superscript"/>
          <w:lang w:val="en-AU"/>
        </w:rPr>
        <w:t>-1</w:t>
      </w:r>
      <w:r>
        <w:rPr>
          <w:lang w:val="en-AU"/>
        </w:rPr>
        <w:t>) are also expressed as PSII herbicide equivalent concentrations (PSII-HEq) (also in ng L</w:t>
      </w:r>
      <w:r>
        <w:rPr>
          <w:vertAlign w:val="superscript"/>
          <w:lang w:val="en-AU"/>
        </w:rPr>
        <w:t>-1</w:t>
      </w:r>
      <w:r>
        <w:rPr>
          <w:lang w:val="en-AU"/>
        </w:rPr>
        <w:t xml:space="preserve">). PSII-HEq concentrations are derived using relative potency factors (RPF) for each individual PSII herbicide with respect to a reference PSII herbicide </w:t>
      </w:r>
      <w:r w:rsidRPr="008D6B14">
        <w:rPr>
          <w:lang w:val="en-AU"/>
        </w:rPr>
        <w:t>diuron</w:t>
      </w:r>
      <w:r>
        <w:rPr>
          <w:lang w:val="en-AU"/>
        </w:rPr>
        <w:t xml:space="preserve"> (Appendix </w:t>
      </w:r>
      <w:r w:rsidR="00E05AC4">
        <w:rPr>
          <w:lang w:val="en-AU"/>
        </w:rPr>
        <w:t>B</w:t>
      </w:r>
      <w:r>
        <w:rPr>
          <w:lang w:val="en-AU"/>
        </w:rPr>
        <w:t xml:space="preserve">, Table </w:t>
      </w:r>
      <w:r w:rsidR="00E05AC4">
        <w:rPr>
          <w:lang w:val="en-AU"/>
        </w:rPr>
        <w:t>A10</w:t>
      </w:r>
      <w:r>
        <w:rPr>
          <w:lang w:val="en-AU"/>
        </w:rPr>
        <w:t>), and is the sum of the individual RPF-corrected concentrations of each individual PSII herbicide</w:t>
      </w:r>
      <w:r w:rsidRPr="00B21F9F">
        <w:rPr>
          <w:lang w:val="en-AU"/>
        </w:rPr>
        <w:t xml:space="preserve"> </w:t>
      </w:r>
      <w:r>
        <w:rPr>
          <w:lang w:val="en-AU"/>
        </w:rPr>
        <w:t>detected in each sample (either grab sample or passive sampler). Also reported are the PSII-HEq Max values (the maximum PSII-HEq concentration detected at a given fixed monitoring site in a monitoring year) and PSII-HEq Wet Avg values (the average PSII-HEq concentration detected at a given fixed monitoring site during the wet season (November to April). These values allow a fast assessment of the worst case scenario of PSII herbicide exposure encountered during a monitoring year</w:t>
      </w:r>
      <w:r w:rsidR="007E5C5B">
        <w:rPr>
          <w:lang w:val="en-AU"/>
        </w:rPr>
        <w:t>,</w:t>
      </w:r>
      <w:r>
        <w:rPr>
          <w:lang w:val="en-AU"/>
        </w:rPr>
        <w:t xml:space="preserve"> the seasonal variation in the risk of PSII inhibition respectively, and their trends over time. </w:t>
      </w:r>
    </w:p>
    <w:p w14:paraId="69970607" w14:textId="77777777" w:rsidR="00502D22" w:rsidRDefault="00502D22" w:rsidP="006130D4">
      <w:pPr>
        <w:spacing w:line="360" w:lineRule="auto"/>
        <w:rPr>
          <w:lang w:val="en-AU"/>
        </w:rPr>
      </w:pPr>
    </w:p>
    <w:p w14:paraId="0C7CDF96" w14:textId="77777777" w:rsidR="00420835" w:rsidRDefault="0059608E" w:rsidP="006130D4">
      <w:pPr>
        <w:pStyle w:val="ListParagraph"/>
        <w:spacing w:line="360" w:lineRule="auto"/>
        <w:ind w:left="0"/>
        <w:contextualSpacing w:val="0"/>
        <w:rPr>
          <w:lang w:val="en-AU"/>
        </w:rPr>
      </w:pPr>
      <w:r>
        <w:rPr>
          <w:lang w:val="en-AU" w:eastAsia="en-AU"/>
        </w:rPr>
        <w:t>To interpret</w:t>
      </w:r>
      <w:r w:rsidRPr="00C11BBA">
        <w:rPr>
          <w:lang w:val="en-AU" w:eastAsia="en-AU"/>
        </w:rPr>
        <w:t xml:space="preserve"> the PSII-herbicide data reported as PSII-HEq</w:t>
      </w:r>
      <w:r>
        <w:rPr>
          <w:lang w:val="en-AU" w:eastAsia="en-AU"/>
        </w:rPr>
        <w:t>, the PSII Herbicide</w:t>
      </w:r>
      <w:r w:rsidRPr="00C11BBA">
        <w:rPr>
          <w:lang w:val="en-AU" w:eastAsia="en-AU"/>
        </w:rPr>
        <w:t xml:space="preserve"> </w:t>
      </w:r>
      <w:r>
        <w:rPr>
          <w:lang w:val="en-AU" w:eastAsia="en-AU"/>
        </w:rPr>
        <w:t>I</w:t>
      </w:r>
      <w:r w:rsidRPr="00C11BBA">
        <w:rPr>
          <w:lang w:val="en-AU" w:eastAsia="en-AU"/>
        </w:rPr>
        <w:t xml:space="preserve">ndex has been compiled </w:t>
      </w:r>
      <w:r>
        <w:rPr>
          <w:lang w:val="en-AU" w:eastAsia="en-AU"/>
        </w:rPr>
        <w:t>(</w:t>
      </w:r>
      <w:r w:rsidRPr="00C11BBA">
        <w:rPr>
          <w:lang w:val="en-AU" w:eastAsia="en-AU"/>
        </w:rPr>
        <w:t>with GBRMPA</w:t>
      </w:r>
      <w:r>
        <w:rPr>
          <w:lang w:val="en-AU" w:eastAsia="en-AU"/>
        </w:rPr>
        <w:t>)</w:t>
      </w:r>
      <w:r w:rsidRPr="00C11BBA">
        <w:rPr>
          <w:lang w:val="en-AU" w:eastAsia="en-AU"/>
        </w:rPr>
        <w:t xml:space="preserve"> </w:t>
      </w:r>
      <w:r>
        <w:rPr>
          <w:lang w:val="en-AU" w:eastAsia="en-AU"/>
        </w:rPr>
        <w:t>as an indicator</w:t>
      </w:r>
      <w:r w:rsidRPr="00C11BBA">
        <w:rPr>
          <w:lang w:val="en-AU" w:eastAsia="en-AU"/>
        </w:rPr>
        <w:t xml:space="preserve"> </w:t>
      </w:r>
      <w:r>
        <w:rPr>
          <w:lang w:val="en-AU" w:eastAsia="en-AU"/>
        </w:rPr>
        <w:t xml:space="preserve">of PSII inhibition </w:t>
      </w:r>
      <w:r w:rsidRPr="00C11BBA">
        <w:rPr>
          <w:lang w:val="en-AU" w:eastAsia="en-AU"/>
        </w:rPr>
        <w:t xml:space="preserve">to report </w:t>
      </w:r>
      <w:r>
        <w:rPr>
          <w:lang w:val="en-AU" w:eastAsia="en-AU"/>
        </w:rPr>
        <w:t xml:space="preserve">against </w:t>
      </w:r>
      <w:r w:rsidRPr="00C11BBA">
        <w:rPr>
          <w:lang w:val="en-AU" w:eastAsia="en-AU"/>
        </w:rPr>
        <w:t xml:space="preserve">across the </w:t>
      </w:r>
      <w:r>
        <w:rPr>
          <w:lang w:val="en-AU" w:eastAsia="en-AU"/>
        </w:rPr>
        <w:t xml:space="preserve">MMP (Appendix </w:t>
      </w:r>
      <w:r w:rsidR="002075A3">
        <w:rPr>
          <w:lang w:val="en-AU" w:eastAsia="en-AU"/>
        </w:rPr>
        <w:t>B</w:t>
      </w:r>
      <w:r>
        <w:rPr>
          <w:lang w:val="en-AU" w:eastAsia="en-AU"/>
        </w:rPr>
        <w:t xml:space="preserve">, Table </w:t>
      </w:r>
      <w:r w:rsidR="002075A3">
        <w:rPr>
          <w:lang w:val="en-AU" w:eastAsia="en-AU"/>
        </w:rPr>
        <w:t>A11</w:t>
      </w:r>
      <w:r>
        <w:rPr>
          <w:lang w:val="en-AU" w:eastAsia="en-AU"/>
        </w:rPr>
        <w:t>)</w:t>
      </w:r>
      <w:r w:rsidRPr="00C11BBA">
        <w:rPr>
          <w:lang w:val="en-AU" w:eastAsia="en-AU"/>
        </w:rPr>
        <w:t xml:space="preserve">. </w:t>
      </w:r>
      <w:r>
        <w:rPr>
          <w:lang w:val="en-AU"/>
        </w:rPr>
        <w:t>Classifying the data generated in this MMP into Index categories (which are based on published toxicity data using Reef relevant species) provides an indication of the additive effects of PSII herbicides on plants, animals or algae, based on the concentrations and relative potencies of the individual herbicides detected</w:t>
      </w:r>
      <w:r w:rsidR="002075A3">
        <w:rPr>
          <w:lang w:val="en-AU"/>
        </w:rPr>
        <w:t xml:space="preserve"> (Appendix</w:t>
      </w:r>
      <w:r w:rsidR="00A357D8">
        <w:rPr>
          <w:lang w:val="en-AU"/>
        </w:rPr>
        <w:t xml:space="preserve"> B, Tables A8 – A9)</w:t>
      </w:r>
      <w:r>
        <w:rPr>
          <w:lang w:val="en-AU"/>
        </w:rPr>
        <w:t xml:space="preserve">. The Index can quickly indicate the extent of PSII inhibition encountered at a given site (and its potential consequences), and a rapid indication of the duration (i.e. length of deployment periods) and/or frequency that a site is exposed to elevated levels of PSII herbicides. </w:t>
      </w:r>
    </w:p>
    <w:p w14:paraId="61CF1FFE" w14:textId="2D9A3EFB" w:rsidR="00420835" w:rsidRDefault="00420835" w:rsidP="006130D4">
      <w:pPr>
        <w:pStyle w:val="ListParagraph"/>
        <w:spacing w:line="360" w:lineRule="auto"/>
        <w:ind w:left="0"/>
        <w:contextualSpacing w:val="0"/>
        <w:rPr>
          <w:lang w:val="en-AU"/>
        </w:rPr>
      </w:pPr>
      <w:r>
        <w:rPr>
          <w:lang w:val="en-AU"/>
        </w:rPr>
        <w:br w:type="page"/>
      </w:r>
    </w:p>
    <w:p w14:paraId="620B513A" w14:textId="77777777" w:rsidR="0059608E" w:rsidRDefault="0059608E" w:rsidP="0066689E">
      <w:pPr>
        <w:pStyle w:val="Heading1"/>
      </w:pPr>
      <w:bookmarkStart w:id="307" w:name="_Toc455069285"/>
      <w:bookmarkStart w:id="308" w:name="_Toc455069935"/>
      <w:bookmarkStart w:id="309" w:name="_Toc455070207"/>
      <w:bookmarkStart w:id="310" w:name="_Toc455151594"/>
      <w:bookmarkStart w:id="311" w:name="_Toc455069287"/>
      <w:bookmarkStart w:id="312" w:name="_Toc455069937"/>
      <w:bookmarkStart w:id="313" w:name="_Toc455070209"/>
      <w:bookmarkStart w:id="314" w:name="_Toc455151596"/>
      <w:bookmarkStart w:id="315" w:name="_Toc455069288"/>
      <w:bookmarkStart w:id="316" w:name="_Toc455069938"/>
      <w:bookmarkStart w:id="317" w:name="_Toc455070210"/>
      <w:bookmarkStart w:id="318" w:name="_Toc455151597"/>
      <w:bookmarkStart w:id="319" w:name="_Toc455069290"/>
      <w:bookmarkStart w:id="320" w:name="_Toc455069940"/>
      <w:bookmarkStart w:id="321" w:name="_Toc455070212"/>
      <w:bookmarkStart w:id="322" w:name="_Toc455151599"/>
      <w:bookmarkStart w:id="323" w:name="_Toc455069291"/>
      <w:bookmarkStart w:id="324" w:name="_Toc455069941"/>
      <w:bookmarkStart w:id="325" w:name="_Toc455070213"/>
      <w:bookmarkStart w:id="326" w:name="_Toc455151600"/>
      <w:bookmarkStart w:id="327" w:name="_Toc455069292"/>
      <w:bookmarkStart w:id="328" w:name="_Toc455069942"/>
      <w:bookmarkStart w:id="329" w:name="_Toc455070214"/>
      <w:bookmarkStart w:id="330" w:name="_Toc455151601"/>
      <w:bookmarkStart w:id="331" w:name="_Toc455069293"/>
      <w:bookmarkStart w:id="332" w:name="_Toc455069943"/>
      <w:bookmarkStart w:id="333" w:name="_Toc455070215"/>
      <w:bookmarkStart w:id="334" w:name="_Toc455151602"/>
      <w:bookmarkStart w:id="335" w:name="_Toc455069294"/>
      <w:bookmarkStart w:id="336" w:name="_Toc455069944"/>
      <w:bookmarkStart w:id="337" w:name="_Toc455070216"/>
      <w:bookmarkStart w:id="338" w:name="_Toc455151603"/>
      <w:bookmarkStart w:id="339" w:name="_Toc455069295"/>
      <w:bookmarkStart w:id="340" w:name="_Toc455069945"/>
      <w:bookmarkStart w:id="341" w:name="_Toc455070217"/>
      <w:bookmarkStart w:id="342" w:name="_Toc455151604"/>
      <w:bookmarkStart w:id="343" w:name="_Toc455069302"/>
      <w:bookmarkStart w:id="344" w:name="_Toc455069952"/>
      <w:bookmarkStart w:id="345" w:name="_Toc455070224"/>
      <w:bookmarkStart w:id="346" w:name="_Toc455151611"/>
      <w:bookmarkStart w:id="347" w:name="_Toc335638262"/>
      <w:bookmarkStart w:id="348" w:name="_Toc335640872"/>
      <w:bookmarkStart w:id="349" w:name="_Toc455069417"/>
      <w:bookmarkStart w:id="350" w:name="_Toc455070067"/>
      <w:bookmarkStart w:id="351" w:name="_Toc455070339"/>
      <w:bookmarkStart w:id="352" w:name="_Toc455151726"/>
      <w:bookmarkStart w:id="353" w:name="_Toc455069418"/>
      <w:bookmarkStart w:id="354" w:name="_Toc455070068"/>
      <w:bookmarkStart w:id="355" w:name="_Toc455070340"/>
      <w:bookmarkStart w:id="356" w:name="_Toc455151727"/>
      <w:bookmarkStart w:id="357" w:name="_Toc455069419"/>
      <w:bookmarkStart w:id="358" w:name="_Toc455070069"/>
      <w:bookmarkStart w:id="359" w:name="_Toc455070341"/>
      <w:bookmarkStart w:id="360" w:name="_Toc455151728"/>
      <w:bookmarkStart w:id="361" w:name="_Toc455069446"/>
      <w:bookmarkStart w:id="362" w:name="_Toc455070096"/>
      <w:bookmarkStart w:id="363" w:name="_Toc455070368"/>
      <w:bookmarkStart w:id="364" w:name="_Toc455151755"/>
      <w:bookmarkStart w:id="365" w:name="_Toc455069448"/>
      <w:bookmarkStart w:id="366" w:name="_Toc455070098"/>
      <w:bookmarkStart w:id="367" w:name="_Toc455070370"/>
      <w:bookmarkStart w:id="368" w:name="_Toc455151757"/>
      <w:bookmarkStart w:id="369" w:name="_Toc455069449"/>
      <w:bookmarkStart w:id="370" w:name="_Toc455070099"/>
      <w:bookmarkStart w:id="371" w:name="_Toc455070371"/>
      <w:bookmarkStart w:id="372" w:name="_Toc455151758"/>
      <w:bookmarkStart w:id="373" w:name="_Toc455069450"/>
      <w:bookmarkStart w:id="374" w:name="_Toc455070100"/>
      <w:bookmarkStart w:id="375" w:name="_Toc455070372"/>
      <w:bookmarkStart w:id="376" w:name="_Toc455151759"/>
      <w:bookmarkStart w:id="377" w:name="_Toc455069451"/>
      <w:bookmarkStart w:id="378" w:name="_Toc455070101"/>
      <w:bookmarkStart w:id="379" w:name="_Toc455070373"/>
      <w:bookmarkStart w:id="380" w:name="_Toc455151760"/>
      <w:bookmarkStart w:id="381" w:name="_Toc455069452"/>
      <w:bookmarkStart w:id="382" w:name="_Toc455070102"/>
      <w:bookmarkStart w:id="383" w:name="_Toc455070374"/>
      <w:bookmarkStart w:id="384" w:name="_Toc455151761"/>
      <w:bookmarkStart w:id="385" w:name="_Toc461457761"/>
      <w:bookmarkStart w:id="386" w:name="_Toc462651942"/>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lastRenderedPageBreak/>
        <w:t>RESULTS</w:t>
      </w:r>
      <w:bookmarkEnd w:id="385"/>
      <w:bookmarkEnd w:id="386"/>
    </w:p>
    <w:p w14:paraId="673804DF" w14:textId="77777777" w:rsidR="0059608E" w:rsidRDefault="0059608E" w:rsidP="0059608E">
      <w:pPr>
        <w:pStyle w:val="Heading2"/>
        <w:numPr>
          <w:ilvl w:val="1"/>
          <w:numId w:val="2"/>
        </w:numPr>
        <w:ind w:left="0" w:hanging="10"/>
        <w:rPr>
          <w:lang w:val="en-AU"/>
        </w:rPr>
      </w:pPr>
      <w:bookmarkStart w:id="387" w:name="_Toc461457762"/>
      <w:bookmarkStart w:id="388" w:name="_Toc462651943"/>
      <w:r>
        <w:rPr>
          <w:lang w:val="en-AU"/>
        </w:rPr>
        <w:t>Pressures influencing pesticide concentrations in the Reef</w:t>
      </w:r>
      <w:bookmarkEnd w:id="387"/>
      <w:bookmarkEnd w:id="388"/>
    </w:p>
    <w:p w14:paraId="6B1FC0F1" w14:textId="77777777" w:rsidR="0059608E" w:rsidRDefault="0059608E" w:rsidP="006130D4">
      <w:pPr>
        <w:spacing w:line="360" w:lineRule="auto"/>
      </w:pPr>
      <w:r>
        <w:t>Pesticide run-off from diffuse land uses has been identified as a high risk threat to Reef ecosystems and heritage values</w:t>
      </w:r>
      <w:r w:rsidR="004B2181">
        <w:t xml:space="preserve"> </w:t>
      </w:r>
      <w:r w:rsidR="004B2181">
        <w:fldChar w:fldCharType="begin"/>
      </w:r>
      <w:r w:rsidR="004B2181">
        <w:instrText xml:space="preserve"> ADDIN EN.CITE &lt;EndNote&gt;&lt;Cite&gt;&lt;Author&gt;GBRMPA&lt;/Author&gt;&lt;Year&gt;2014&lt;/Year&gt;&lt;RecNum&gt;284&lt;/RecNum&gt;&lt;DisplayText&gt;(GBRMPA, 2014)&lt;/DisplayText&gt;&lt;record&gt;&lt;rec-number&gt;284&lt;/rec-number&gt;&lt;foreign-keys&gt;&lt;key app="EN" db-id="0zzrztwe5p59skesdrqpsfeu2s0xt5zd5v9p" timestamp="1466319249"&gt;284&lt;/key&gt;&lt;/foreign-keys&gt;&lt;ref-type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sidR="004B2181">
        <w:fldChar w:fldCharType="separate"/>
      </w:r>
      <w:r w:rsidR="004B2181">
        <w:rPr>
          <w:noProof/>
        </w:rPr>
        <w:t>(GBRMPA, 2014)</w:t>
      </w:r>
      <w:r w:rsidR="004B2181">
        <w:fldChar w:fldCharType="end"/>
      </w:r>
      <w:r>
        <w:t>. Agricultural activit</w:t>
      </w:r>
      <w:r w:rsidR="004B2181">
        <w:t>i</w:t>
      </w:r>
      <w:r>
        <w:t>es (</w:t>
      </w:r>
      <w:r w:rsidR="00A74CDB">
        <w:t>particularly</w:t>
      </w:r>
      <w:r>
        <w:t xml:space="preserve"> sugar cane cultivation) are the major diffuse source of pesticides in run-off and the focus of Reef Plan initiatives however, it must be noted that other point-sources of pesticide run-off may result from urban and industrial activit</w:t>
      </w:r>
      <w:r w:rsidR="004B2181">
        <w:t>i</w:t>
      </w:r>
      <w:r>
        <w:t xml:space="preserve">es </w:t>
      </w:r>
      <w:r w:rsidR="004B2181">
        <w:fldChar w:fldCharType="begin"/>
      </w:r>
      <w:r w:rsidR="004B2181">
        <w:instrText xml:space="preserve"> ADDIN EN.CITE &lt;EndNote&gt;&lt;Cite&gt;&lt;Author&gt;GBRMPA&lt;/Author&gt;&lt;Year&gt;2013&lt;/Year&gt;&lt;RecNum&gt;297&lt;/RecNum&gt;&lt;DisplayText&gt;(GBRMPA, 2013a)&lt;/DisplayText&gt;&lt;record&gt;&lt;rec-number&gt;297&lt;/rec-number&gt;&lt;foreign-keys&gt;&lt;key app="EN" db-id="0zzrztwe5p59skesdrqpsfeu2s0xt5zd5v9p" timestamp="1466321939"&gt;297&lt;/key&gt;&lt;/foreign-keys&gt;&lt;ref-type name="Report"&gt;27&lt;/ref-type&gt;&lt;contributors&gt;&lt;authors&gt;&lt;author&gt;GBRMPA&lt;/author&gt;&lt;/authors&gt;&lt;/contributors&gt;&lt;titles&gt;&lt;title&gt;Great Barrier Reef Region Strategic Assessment: Strategic assessment report&lt;/title&gt;&lt;/titles&gt;&lt;dates&gt;&lt;year&gt;2013&lt;/year&gt;&lt;/dates&gt;&lt;pub-location&gt;Great Barrier Reef Marine Park Authority, Townsville&lt;/pub-location&gt;&lt;urls&gt;&lt;/urls&gt;&lt;/record&gt;&lt;/Cite&gt;&lt;/EndNote&gt;</w:instrText>
      </w:r>
      <w:r w:rsidR="004B2181">
        <w:fldChar w:fldCharType="separate"/>
      </w:r>
      <w:r w:rsidR="004B2181">
        <w:rPr>
          <w:noProof/>
        </w:rPr>
        <w:t>(GBRMPA, 2013a)</w:t>
      </w:r>
      <w:r w:rsidR="004B2181">
        <w:fldChar w:fldCharType="end"/>
      </w:r>
      <w:r>
        <w:t>. Key pressures (or factors) influencing pesticide and herbicide detections in the Reef lagoon derived from diffuse agricultural activities include pesticide usage, agricultural land use area, rainfall, timing and method of herbicide application, herbicide run-off behavior, herbicide persistence, rates of herbicide loss from paddocks, volume of water discharged from rivers, proximity of samplers to rivers</w:t>
      </w:r>
      <w:r w:rsidR="00FC465A">
        <w:t>,</w:t>
      </w:r>
      <w:r>
        <w:t xml:space="preserve"> frequency of flood plume impacts at the site, the timing of passive sampler deployments and adoption of best management practices for land management (including chemical use, surface and irrigation water management). </w:t>
      </w:r>
    </w:p>
    <w:p w14:paraId="3C39C6E7" w14:textId="77777777" w:rsidR="0059608E" w:rsidRDefault="0059608E" w:rsidP="006130D4">
      <w:pPr>
        <w:spacing w:line="360" w:lineRule="auto"/>
      </w:pPr>
    </w:p>
    <w:p w14:paraId="0F904E62" w14:textId="6B121975" w:rsidR="0059608E" w:rsidRDefault="0059608E" w:rsidP="006130D4">
      <w:pPr>
        <w:spacing w:line="360" w:lineRule="auto"/>
        <w:rPr>
          <w:lang w:val="en-AU" w:eastAsia="en-AU"/>
        </w:rPr>
      </w:pPr>
      <w:r>
        <w:rPr>
          <w:lang w:val="en-AU" w:eastAsia="en-AU"/>
        </w:rPr>
        <w:t xml:space="preserve">It can be difficult to elucidate meaningful trends and assess the progress of Reef Plan when concurrent changes to these pressures occur simultaneously. Quite often, the necessary data needed to interpret these changes (particularly pesticide usage and application rates) are either not available or only updated periodically. All of these factors make it difficult to quantitatively assess the link between improved land management practises as a direct result of Reef Plan initiatives and changes in water quality. </w:t>
      </w:r>
      <w:r w:rsidR="00821598">
        <w:rPr>
          <w:lang w:val="en-AU" w:eastAsia="en-AU"/>
        </w:rPr>
        <w:t>T</w:t>
      </w:r>
      <w:r>
        <w:rPr>
          <w:lang w:val="en-AU" w:eastAsia="en-AU"/>
        </w:rPr>
        <w:t>he</w:t>
      </w:r>
      <w:r w:rsidR="004B2181">
        <w:rPr>
          <w:lang w:val="en-AU" w:eastAsia="en-AU"/>
        </w:rPr>
        <w:t xml:space="preserve"> </w:t>
      </w:r>
      <w:r w:rsidR="00821598">
        <w:rPr>
          <w:lang w:val="en-AU" w:eastAsia="en-AU"/>
        </w:rPr>
        <w:t>relevant</w:t>
      </w:r>
      <w:r>
        <w:rPr>
          <w:lang w:val="en-AU" w:eastAsia="en-AU"/>
        </w:rPr>
        <w:t xml:space="preserve"> pressure</w:t>
      </w:r>
      <w:r w:rsidR="00821598">
        <w:rPr>
          <w:lang w:val="en-AU" w:eastAsia="en-AU"/>
        </w:rPr>
        <w:t>s</w:t>
      </w:r>
      <w:r>
        <w:rPr>
          <w:lang w:val="en-AU" w:eastAsia="en-AU"/>
        </w:rPr>
        <w:t xml:space="preserve"> we have addressed </w:t>
      </w:r>
      <w:r w:rsidR="00821598">
        <w:rPr>
          <w:lang w:val="en-AU" w:eastAsia="en-AU"/>
        </w:rPr>
        <w:t xml:space="preserve">in this report include </w:t>
      </w:r>
      <w:r w:rsidR="00354760">
        <w:rPr>
          <w:lang w:val="en-AU" w:eastAsia="en-AU"/>
        </w:rPr>
        <w:t xml:space="preserve">rainfall, cyclones, </w:t>
      </w:r>
      <w:r w:rsidR="00821598">
        <w:rPr>
          <w:lang w:val="en-AU" w:eastAsia="en-AU"/>
        </w:rPr>
        <w:t xml:space="preserve">freshwater </w:t>
      </w:r>
      <w:r w:rsidR="00354760">
        <w:rPr>
          <w:lang w:val="en-AU" w:eastAsia="en-AU"/>
        </w:rPr>
        <w:t xml:space="preserve">river discharge, end of catchment pesticide loads and </w:t>
      </w:r>
      <w:r w:rsidR="00821598">
        <w:rPr>
          <w:lang w:val="en-AU" w:eastAsia="en-AU"/>
        </w:rPr>
        <w:t xml:space="preserve">agricultural </w:t>
      </w:r>
      <w:r>
        <w:rPr>
          <w:lang w:val="en-AU" w:eastAsia="en-AU"/>
        </w:rPr>
        <w:t>land us</w:t>
      </w:r>
      <w:r w:rsidR="00354760">
        <w:rPr>
          <w:lang w:val="en-AU" w:eastAsia="en-AU"/>
        </w:rPr>
        <w:t>e.</w:t>
      </w:r>
    </w:p>
    <w:p w14:paraId="2E1BBD80" w14:textId="77777777" w:rsidR="0059608E" w:rsidRDefault="0059608E" w:rsidP="0059608E">
      <w:pPr>
        <w:pStyle w:val="Heading3"/>
        <w:numPr>
          <w:ilvl w:val="2"/>
          <w:numId w:val="2"/>
        </w:numPr>
      </w:pPr>
      <w:bookmarkStart w:id="389" w:name="_Toc461457763"/>
      <w:bookmarkStart w:id="390" w:name="_Toc462651944"/>
      <w:r>
        <w:t>Rainfall</w:t>
      </w:r>
      <w:bookmarkEnd w:id="389"/>
      <w:bookmarkEnd w:id="390"/>
      <w:r>
        <w:t xml:space="preserve"> </w:t>
      </w:r>
    </w:p>
    <w:p w14:paraId="79419E4E" w14:textId="597A763A" w:rsidR="0059608E" w:rsidRDefault="0059608E" w:rsidP="006130D4">
      <w:pPr>
        <w:spacing w:line="360" w:lineRule="auto"/>
      </w:pPr>
      <w:r w:rsidRPr="000869A2">
        <w:t xml:space="preserve">The </w:t>
      </w:r>
      <w:r>
        <w:t>2014-2015</w:t>
      </w:r>
      <w:r w:rsidRPr="000869A2">
        <w:t xml:space="preserve"> </w:t>
      </w:r>
      <w:r>
        <w:t>monitoring</w:t>
      </w:r>
      <w:r w:rsidRPr="000869A2">
        <w:t xml:space="preserve"> </w:t>
      </w:r>
      <w:r>
        <w:t xml:space="preserve">year </w:t>
      </w:r>
      <w:r w:rsidRPr="000869A2">
        <w:t xml:space="preserve">was characterised by </w:t>
      </w:r>
      <w:r>
        <w:t xml:space="preserve">the establishment of </w:t>
      </w:r>
      <w:r w:rsidRPr="000869A2">
        <w:t>El Niño climatic conditions</w:t>
      </w:r>
      <w:r>
        <w:t xml:space="preserve"> which lasted from approximately March 2014 until its peak in December 2014</w:t>
      </w:r>
      <w:r w:rsidR="00380C15">
        <w:t xml:space="preserve"> </w:t>
      </w:r>
      <w:r w:rsidR="00380C15">
        <w:fldChar w:fldCharType="begin"/>
      </w:r>
      <w:r w:rsidR="00CC411F">
        <w:instrText xml:space="preserve"> ADDIN EN.CITE &lt;EndNote&gt;&lt;Cite&gt;&lt;Author&gt;BOM&lt;/Author&gt;&lt;Year&gt;2016&lt;/Year&gt;&lt;RecNum&gt;299&lt;/RecNum&gt;&lt;DisplayText&gt;(BOM, 2016b)&lt;/DisplayText&gt;&lt;record&gt;&lt;rec-number&gt;299&lt;/rec-number&gt;&lt;foreign-keys&gt;&lt;key app="EN" db-id="0zzrztwe5p59skesdrqpsfeu2s0xt5zd5v9p" timestamp="1466322322"&gt;299&lt;/key&gt;&lt;/foreign-keys&gt;&lt;ref-type name="Web Page"&gt;12&lt;/ref-type&gt;&lt;contributors&gt;&lt;authors&gt;&lt;author&gt;BOM&lt;/author&gt;&lt;/authors&gt;&lt;/contributors&gt;&lt;titles&gt;&lt;title&gt;ENSO Wrap-Up&lt;/title&gt;&lt;/titles&gt;&lt;volume&gt;2016&lt;/volume&gt;&lt;number&gt;17 June &lt;/number&gt;&lt;dates&gt;&lt;year&gt;2016&lt;/year&gt;&lt;/dates&gt;&lt;pub-location&gt;Bureau of Meteorology&lt;/pub-location&gt;&lt;urls&gt;&lt;related-urls&gt;&lt;url&gt;http://www.bom.gov.au/climate/enso/&lt;/url&gt;&lt;/related-urls&gt;&lt;/urls&gt;&lt;/record&gt;&lt;/Cite&gt;&lt;/EndNote&gt;</w:instrText>
      </w:r>
      <w:r w:rsidR="00380C15">
        <w:fldChar w:fldCharType="separate"/>
      </w:r>
      <w:r w:rsidR="00CC411F">
        <w:rPr>
          <w:noProof/>
        </w:rPr>
        <w:t>(BOM, 2016b)</w:t>
      </w:r>
      <w:r w:rsidR="00380C15">
        <w:fldChar w:fldCharType="end"/>
      </w:r>
      <w:r>
        <w:t xml:space="preserve">. Typically, an El </w:t>
      </w:r>
      <w:r w:rsidR="00821598" w:rsidRPr="000869A2">
        <w:t>Niño</w:t>
      </w:r>
      <w:r>
        <w:t xml:space="preserve"> summer is associated with below-average rainfall in northern Queensland and Eastern Australia, although its influence has been variable in past events</w:t>
      </w:r>
      <w:r w:rsidRPr="000869A2">
        <w:t>.</w:t>
      </w:r>
      <w:r w:rsidRPr="00F94712">
        <w:rPr>
          <w:lang w:val="en-AU"/>
        </w:rPr>
        <w:t xml:space="preserve"> </w:t>
      </w:r>
      <w:r>
        <w:rPr>
          <w:lang w:val="en-AU"/>
        </w:rPr>
        <w:t xml:space="preserve">From January 2016, climate models suggested that El </w:t>
      </w:r>
      <w:r w:rsidR="00821598" w:rsidRPr="000869A2">
        <w:t>Niño</w:t>
      </w:r>
      <w:r>
        <w:rPr>
          <w:lang w:val="en-AU"/>
        </w:rPr>
        <w:t xml:space="preserve"> was in decline, returning to neutral conditions in the second quarter of 2016. Neutral or La Nina conditions are expected for the second half of 2016</w:t>
      </w:r>
      <w:r w:rsidR="00380C15">
        <w:rPr>
          <w:lang w:val="en-AU"/>
        </w:rPr>
        <w:t xml:space="preserve"> </w:t>
      </w:r>
      <w:r w:rsidR="00380C15">
        <w:rPr>
          <w:lang w:val="en-AU"/>
        </w:rPr>
        <w:fldChar w:fldCharType="begin"/>
      </w:r>
      <w:r w:rsidR="00CC411F">
        <w:rPr>
          <w:lang w:val="en-AU"/>
        </w:rPr>
        <w:instrText xml:space="preserve"> ADDIN EN.CITE &lt;EndNote&gt;&lt;Cite&gt;&lt;Author&gt;BOM&lt;/Author&gt;&lt;Year&gt;2016&lt;/Year&gt;&lt;RecNum&gt;299&lt;/RecNum&gt;&lt;DisplayText&gt;(BOM, 2016b)&lt;/DisplayText&gt;&lt;record&gt;&lt;rec-number&gt;299&lt;/rec-number&gt;&lt;foreign-keys&gt;&lt;key app="EN" db-id="0zzrztwe5p59skesdrqpsfeu2s0xt5zd5v9p" timestamp="1466322322"&gt;299&lt;/key&gt;&lt;/foreign-keys&gt;&lt;ref-type name="Web Page"&gt;12&lt;/ref-type&gt;&lt;contributors&gt;&lt;authors&gt;&lt;author&gt;BOM&lt;/author&gt;&lt;/authors&gt;&lt;/contributors&gt;&lt;titles&gt;&lt;title&gt;ENSO Wrap-Up&lt;/title&gt;&lt;/titles&gt;&lt;volume&gt;2016&lt;/volume&gt;&lt;number&gt;17 June &lt;/number&gt;&lt;dates&gt;&lt;year&gt;2016&lt;/year&gt;&lt;/dates&gt;&lt;pub-location&gt;Bureau of Meteorology&lt;/pub-location&gt;&lt;urls&gt;&lt;related-urls&gt;&lt;url&gt;http://www.bom.gov.au/climate/enso/&lt;/url&gt;&lt;/related-urls&gt;&lt;/urls&gt;&lt;/record&gt;&lt;/Cite&gt;&lt;/EndNote&gt;</w:instrText>
      </w:r>
      <w:r w:rsidR="00380C15">
        <w:rPr>
          <w:lang w:val="en-AU"/>
        </w:rPr>
        <w:fldChar w:fldCharType="separate"/>
      </w:r>
      <w:r w:rsidR="00CC411F">
        <w:rPr>
          <w:noProof/>
          <w:lang w:val="en-AU"/>
        </w:rPr>
        <w:t>(BOM, 2016b)</w:t>
      </w:r>
      <w:r w:rsidR="00380C15">
        <w:rPr>
          <w:lang w:val="en-AU"/>
        </w:rPr>
        <w:fldChar w:fldCharType="end"/>
      </w:r>
      <w:r>
        <w:rPr>
          <w:lang w:val="en-AU"/>
        </w:rPr>
        <w:t xml:space="preserve">. In 2014-2015, the Reef catchment areas adjacent to fixed monitoring sites were characterised by below average rainfall </w:t>
      </w:r>
      <w:r>
        <w:t xml:space="preserve">(Appendix C, Figure </w:t>
      </w:r>
      <w:r w:rsidR="00767CCA">
        <w:t>A1</w:t>
      </w:r>
      <w:r>
        <w:t xml:space="preserve">) </w:t>
      </w:r>
      <w:r>
        <w:rPr>
          <w:lang w:val="en-AU"/>
        </w:rPr>
        <w:t xml:space="preserve">for much of the wet season and was also lower than </w:t>
      </w:r>
      <w:r>
        <w:t xml:space="preserve">the total rainfall in the previous monitoring year (May 2013 - April 2014) (Appendix C, Figure </w:t>
      </w:r>
      <w:r w:rsidR="00767CCA">
        <w:t>A2</w:t>
      </w:r>
      <w:r>
        <w:t xml:space="preserve">). </w:t>
      </w:r>
    </w:p>
    <w:p w14:paraId="65630920" w14:textId="77777777" w:rsidR="0059608E" w:rsidRDefault="0059608E" w:rsidP="006130D4">
      <w:pPr>
        <w:spacing w:line="360" w:lineRule="auto"/>
      </w:pPr>
    </w:p>
    <w:p w14:paraId="2361F4F5" w14:textId="77777777" w:rsidR="0059608E" w:rsidRDefault="0059608E" w:rsidP="006130D4">
      <w:pPr>
        <w:spacing w:line="360" w:lineRule="auto"/>
      </w:pPr>
      <w:r>
        <w:t>Weekly mean catchment rainfall data</w:t>
      </w:r>
      <w:r w:rsidRPr="00C57A14">
        <w:t xml:space="preserve"> </w:t>
      </w:r>
      <w:r>
        <w:t>(provided by Dieter Tracey, JCU) (</w:t>
      </w:r>
      <w:r w:rsidR="00767CCA">
        <w:t>Table 3</w:t>
      </w:r>
      <w:r>
        <w:t xml:space="preserve">) and total monthly rainfall maps (Figure </w:t>
      </w:r>
      <w:r w:rsidR="00767CCA">
        <w:t>5</w:t>
      </w:r>
      <w:r>
        <w:t xml:space="preserve">) </w:t>
      </w:r>
      <w:r w:rsidR="00CC411F">
        <w:fldChar w:fldCharType="begin"/>
      </w:r>
      <w:r w:rsidR="00CC411F">
        <w:instrText xml:space="preserve"> ADDIN EN.CITE &lt;EndNote&gt;&lt;Cite&gt;&lt;Author&gt;BOM&lt;/Author&gt;&lt;Year&gt;2016&lt;/Year&gt;&lt;RecNum&gt;319&lt;/RecNum&gt;&lt;DisplayText&gt;(BOM, 2016a)&lt;/DisplayText&gt;&lt;record&gt;&lt;rec-number&gt;319&lt;/rec-number&gt;&lt;foreign-keys&gt;&lt;key app="EN" db-id="0zzrztwe5p59skesdrqpsfeu2s0xt5zd5v9p" timestamp="1466382736"&gt;319&lt;/key&gt;&lt;/foreign-keys&gt;&lt;ref-type name="Web Page"&gt;12&lt;/ref-type&gt;&lt;contributors&gt;&lt;authors&gt;&lt;author&gt;BOM&lt;/author&gt;&lt;/authors&gt;&lt;/contributors&gt;&lt;titles&gt;&lt;title&gt;Daily rainfall totals for Australia&lt;/title&gt;&lt;/titles&gt;&lt;volume&gt;2016&lt;/volume&gt;&lt;number&gt;15 June&lt;/number&gt;&lt;dates&gt;&lt;year&gt;2016&lt;/year&gt;&lt;/dates&gt;&lt;publisher&gt;Bureau of Meteorology&lt;/publisher&gt;&lt;urls&gt;&lt;related-urls&gt;&lt;url&gt;http://www.bom.gov.au/jsp/awap/rain/index.jsp&lt;/url&gt;&lt;/related-urls&gt;&lt;/urls&gt;&lt;/record&gt;&lt;/Cite&gt;&lt;/EndNote&gt;</w:instrText>
      </w:r>
      <w:r w:rsidR="00CC411F">
        <w:fldChar w:fldCharType="separate"/>
      </w:r>
      <w:r w:rsidR="00CC411F">
        <w:rPr>
          <w:noProof/>
        </w:rPr>
        <w:t>(BOM, 2016a)</w:t>
      </w:r>
      <w:r w:rsidR="00CC411F">
        <w:fldChar w:fldCharType="end"/>
      </w:r>
      <w:r>
        <w:t xml:space="preserve"> were collected for the </w:t>
      </w:r>
      <w:r>
        <w:rPr>
          <w:lang w:val="en-AU"/>
        </w:rPr>
        <w:t xml:space="preserve">Reef </w:t>
      </w:r>
      <w:r>
        <w:t xml:space="preserve">catchments adjacent to passive samplers over the wet season (weekly data beginning 1 December 2014). Significant rainfall did not begin in the coastal areas until January 2015 and persisted until March 2015 only in the most northern catchments (i.e.in the Cape York and Wet Tropics regions) (Figure </w:t>
      </w:r>
      <w:r w:rsidR="00D86380">
        <w:t>5</w:t>
      </w:r>
      <w:r>
        <w:t xml:space="preserve">). </w:t>
      </w:r>
    </w:p>
    <w:p w14:paraId="7FFF16CB" w14:textId="77777777" w:rsidR="0059608E" w:rsidRDefault="0059608E" w:rsidP="006130D4">
      <w:pPr>
        <w:spacing w:line="360" w:lineRule="auto"/>
      </w:pPr>
    </w:p>
    <w:p w14:paraId="781A67FF" w14:textId="77777777" w:rsidR="0059608E" w:rsidRDefault="0059608E" w:rsidP="006130D4">
      <w:pPr>
        <w:keepNext/>
        <w:spacing w:line="360" w:lineRule="auto"/>
      </w:pPr>
      <w:r>
        <w:rPr>
          <w:noProof/>
          <w:lang w:val="en-AU" w:eastAsia="en-AU" w:bidi="ar-SA"/>
        </w:rPr>
        <w:lastRenderedPageBreak/>
        <w:drawing>
          <wp:inline distT="0" distB="0" distL="0" distR="0" wp14:anchorId="73707E67" wp14:editId="3DAE2EE1">
            <wp:extent cx="6508085" cy="4726379"/>
            <wp:effectExtent l="19050" t="19050" r="26670" b="17145"/>
            <wp:docPr id="66" name="Picture 66" descr="Figure 5 Monthly rainfall totals during the wet season (November 2014 – April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07891" cy="4726238"/>
                    </a:xfrm>
                    <a:prstGeom prst="rect">
                      <a:avLst/>
                    </a:prstGeom>
                    <a:noFill/>
                    <a:ln>
                      <a:solidFill>
                        <a:schemeClr val="tx1"/>
                      </a:solidFill>
                    </a:ln>
                  </pic:spPr>
                </pic:pic>
              </a:graphicData>
            </a:graphic>
          </wp:inline>
        </w:drawing>
      </w:r>
    </w:p>
    <w:p w14:paraId="2814A463" w14:textId="77777777" w:rsidR="00665500" w:rsidRDefault="0059608E" w:rsidP="006130D4">
      <w:pPr>
        <w:pStyle w:val="Caption"/>
        <w:jc w:val="center"/>
      </w:pPr>
      <w:bookmarkStart w:id="391" w:name="_Toc462399465"/>
      <w:r>
        <w:t xml:space="preserve">Figure </w:t>
      </w:r>
      <w:r>
        <w:fldChar w:fldCharType="begin"/>
      </w:r>
      <w:r>
        <w:instrText xml:space="preserve"> SEQ Figure \* ARABIC </w:instrText>
      </w:r>
      <w:r>
        <w:fldChar w:fldCharType="separate"/>
      </w:r>
      <w:r w:rsidR="00E51A34">
        <w:rPr>
          <w:noProof/>
        </w:rPr>
        <w:t>5</w:t>
      </w:r>
      <w:r>
        <w:rPr>
          <w:noProof/>
        </w:rPr>
        <w:fldChar w:fldCharType="end"/>
      </w:r>
      <w:r>
        <w:t xml:space="preserve"> Monthly rainfall totals during the wet season (November 2014 – April 2015).</w:t>
      </w:r>
      <w:bookmarkEnd w:id="391"/>
      <w:r>
        <w:t xml:space="preserve"> </w:t>
      </w:r>
    </w:p>
    <w:p w14:paraId="3AF34275" w14:textId="77777777" w:rsidR="0059608E" w:rsidRPr="00797D35" w:rsidRDefault="0059608E" w:rsidP="006130D4">
      <w:pPr>
        <w:pStyle w:val="Caption"/>
        <w:jc w:val="center"/>
        <w:rPr>
          <w:b w:val="0"/>
        </w:rPr>
      </w:pPr>
      <w:r>
        <w:rPr>
          <w:b w:val="0"/>
        </w:rPr>
        <w:t>Maps provided by Bureau of Meteorology</w:t>
      </w:r>
      <w:r w:rsidR="00665500">
        <w:rPr>
          <w:b w:val="0"/>
        </w:rPr>
        <w:t xml:space="preserve"> (BOM)</w:t>
      </w:r>
    </w:p>
    <w:p w14:paraId="1FDA17F7" w14:textId="77777777" w:rsidR="00F427DE" w:rsidRDefault="0059608E" w:rsidP="006130D4">
      <w:pPr>
        <w:spacing w:line="360" w:lineRule="auto"/>
      </w:pPr>
      <w:r>
        <w:t>Overall, the Wet Tropics region received the highest weekly rainfall with the Russell-Mulgrave River the wettest catchment having five weeks of mean rainfall &gt;100 mm, including two weeks &gt;300 mm (</w:t>
      </w:r>
      <w:r w:rsidR="00D86380">
        <w:t>Table 3</w:t>
      </w:r>
      <w:r>
        <w:t>). The Herbert River catchment was the driest in the region, with only a single week of high rainfall, late in the season, in early March. Generally, there were three pulses of el</w:t>
      </w:r>
      <w:r w:rsidR="006B18F6">
        <w:t>ev</w:t>
      </w:r>
      <w:r>
        <w:t xml:space="preserve">ated rainfall in the region, occurring in late December, early February and early March. </w:t>
      </w:r>
    </w:p>
    <w:p w14:paraId="0FF4B9D8" w14:textId="77777777" w:rsidR="00F427DE" w:rsidRDefault="00F427DE" w:rsidP="006130D4">
      <w:pPr>
        <w:spacing w:line="360" w:lineRule="auto"/>
      </w:pPr>
    </w:p>
    <w:p w14:paraId="214949D6" w14:textId="619EA981" w:rsidR="0059608E" w:rsidRDefault="0059608E" w:rsidP="006130D4">
      <w:pPr>
        <w:spacing w:line="360" w:lineRule="auto"/>
      </w:pPr>
      <w:r>
        <w:t>In the Burdekin region catchments, moderate rainfall only began falling throughout December, reaching</w:t>
      </w:r>
      <w:r w:rsidR="00806149">
        <w:t xml:space="preserve"> a</w:t>
      </w:r>
      <w:r>
        <w:t xml:space="preserve"> peak in January. There was only a single week in mid-January where rainfall exceeded 100 mm in the Haughton River catchment. Throughout February and March, rainfall was low, and did not exceed 25 mm. Similarly in the Mackay Whitsunday region, weekly rainfall only exceeded 100 mm for one week also in mid-January, with the remainder of the wet season comparatively drier. There was also only one week of high rainfall occurring in the Fitzroy River catchment, although this occurred earlier in early December, with prolonged dry periods of little rainfall in the months following.</w:t>
      </w:r>
    </w:p>
    <w:p w14:paraId="13A26D96" w14:textId="77777777" w:rsidR="0059608E" w:rsidRDefault="0059608E" w:rsidP="006130D4">
      <w:pPr>
        <w:spacing w:line="360" w:lineRule="auto"/>
        <w:sectPr w:rsidR="0059608E" w:rsidSect="006130D4">
          <w:pgSz w:w="11907" w:h="16840" w:code="9"/>
          <w:pgMar w:top="720" w:right="720" w:bottom="720" w:left="720" w:header="709" w:footer="709" w:gutter="0"/>
          <w:cols w:space="708"/>
          <w:docGrid w:linePitch="360"/>
        </w:sectPr>
      </w:pPr>
    </w:p>
    <w:p w14:paraId="5952DAF9" w14:textId="77777777" w:rsidR="00665500" w:rsidRDefault="00665500" w:rsidP="00665500">
      <w:pPr>
        <w:pStyle w:val="Caption"/>
        <w:keepNext/>
        <w:jc w:val="both"/>
      </w:pPr>
      <w:bookmarkStart w:id="392" w:name="_Toc462652124"/>
      <w:r>
        <w:lastRenderedPageBreak/>
        <w:t xml:space="preserve">Table </w:t>
      </w:r>
      <w:r>
        <w:fldChar w:fldCharType="begin"/>
      </w:r>
      <w:r>
        <w:instrText xml:space="preserve"> SEQ Table \* ARABIC </w:instrText>
      </w:r>
      <w:r>
        <w:fldChar w:fldCharType="separate"/>
      </w:r>
      <w:r w:rsidR="00E51A34">
        <w:rPr>
          <w:noProof/>
        </w:rPr>
        <w:t>3</w:t>
      </w:r>
      <w:r>
        <w:fldChar w:fldCharType="end"/>
      </w:r>
      <w:r w:rsidR="000001D7">
        <w:t xml:space="preserve"> </w:t>
      </w:r>
      <w:r w:rsidR="000001D7" w:rsidRPr="000001D7">
        <w:t>Weekly mean catchment rainfall (mm) in catchments adjacent to fixed passive sampler sites during the 2014 – 2015 wet season (beginning 1 December 2014).</w:t>
      </w:r>
      <w:bookmarkEnd w:id="392"/>
    </w:p>
    <w:p w14:paraId="5AA7673C" w14:textId="77777777" w:rsidR="00E56D43" w:rsidRDefault="0059608E" w:rsidP="00E56D43">
      <w:pPr>
        <w:keepNext/>
      </w:pPr>
      <w:r w:rsidRPr="004F309E">
        <w:rPr>
          <w:noProof/>
          <w:lang w:val="en-AU" w:eastAsia="en-AU" w:bidi="ar-SA"/>
        </w:rPr>
        <w:drawing>
          <wp:inline distT="0" distB="0" distL="0" distR="0" wp14:anchorId="5E493225" wp14:editId="3915AF6D">
            <wp:extent cx="9779000" cy="2298499"/>
            <wp:effectExtent l="0" t="0" r="0" b="6985"/>
            <wp:docPr id="51" name="Picture 51" descr="Table 3 Weekly mean catchment rainfall (mm) in catchments adjacent to fixed passive sampler sites during the 2014 – 2015 wet season (beginning 1 December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779000" cy="2298499"/>
                    </a:xfrm>
                    <a:prstGeom prst="rect">
                      <a:avLst/>
                    </a:prstGeom>
                    <a:noFill/>
                    <a:ln>
                      <a:noFill/>
                    </a:ln>
                  </pic:spPr>
                </pic:pic>
              </a:graphicData>
            </a:graphic>
          </wp:inline>
        </w:drawing>
      </w:r>
    </w:p>
    <w:p w14:paraId="63304E66" w14:textId="1C68CD8A" w:rsidR="00E56D43" w:rsidRDefault="00DF5CD0" w:rsidP="00E56D43">
      <w:pPr>
        <w:rPr>
          <w:sz w:val="18"/>
        </w:rPr>
      </w:pPr>
      <w:r>
        <w:rPr>
          <w:sz w:val="18"/>
        </w:rPr>
        <w:t>Colour gradient</w:t>
      </w:r>
      <w:r w:rsidR="00B92CD7">
        <w:rPr>
          <w:sz w:val="18"/>
        </w:rPr>
        <w:t>:</w:t>
      </w:r>
      <w:r>
        <w:rPr>
          <w:sz w:val="18"/>
        </w:rPr>
        <w:t xml:space="preserve"> </w:t>
      </w:r>
      <w:r w:rsidR="00E56D43">
        <w:rPr>
          <w:sz w:val="18"/>
        </w:rPr>
        <w:t xml:space="preserve">Red indicates </w:t>
      </w:r>
      <w:r w:rsidR="00B92CD7">
        <w:rPr>
          <w:sz w:val="18"/>
        </w:rPr>
        <w:t>the highest value</w:t>
      </w:r>
      <w:r w:rsidR="00E56D43">
        <w:rPr>
          <w:sz w:val="18"/>
        </w:rPr>
        <w:t xml:space="preserve">, </w:t>
      </w:r>
      <w:r w:rsidR="00B92CD7">
        <w:rPr>
          <w:sz w:val="18"/>
        </w:rPr>
        <w:t>yellow represents the 50</w:t>
      </w:r>
      <w:r w:rsidR="00B92CD7" w:rsidRPr="00FB5EAD">
        <w:rPr>
          <w:sz w:val="18"/>
          <w:vertAlign w:val="superscript"/>
        </w:rPr>
        <w:t>th</w:t>
      </w:r>
      <w:r w:rsidR="00B92CD7">
        <w:rPr>
          <w:sz w:val="18"/>
        </w:rPr>
        <w:t xml:space="preserve"> percentile </w:t>
      </w:r>
      <w:r w:rsidR="00E56D43">
        <w:rPr>
          <w:sz w:val="18"/>
        </w:rPr>
        <w:t xml:space="preserve">and green </w:t>
      </w:r>
      <w:r w:rsidR="00B92CD7">
        <w:rPr>
          <w:sz w:val="18"/>
        </w:rPr>
        <w:t>represents the lowest value</w:t>
      </w:r>
    </w:p>
    <w:p w14:paraId="4C5DABF8" w14:textId="77777777" w:rsidR="009C1453" w:rsidRDefault="009C1453" w:rsidP="00E56D43">
      <w:pPr>
        <w:rPr>
          <w:sz w:val="18"/>
        </w:rPr>
      </w:pPr>
    </w:p>
    <w:p w14:paraId="5DF6CDDA" w14:textId="77777777" w:rsidR="0025341A" w:rsidRPr="00E56D43" w:rsidRDefault="0025341A" w:rsidP="00E56D43">
      <w:pPr>
        <w:rPr>
          <w:sz w:val="18"/>
        </w:rPr>
      </w:pPr>
    </w:p>
    <w:p w14:paraId="4F3C8495" w14:textId="77777777" w:rsidR="0059608E" w:rsidRPr="00E56D43" w:rsidRDefault="0059608E" w:rsidP="00E56D43">
      <w:pPr>
        <w:sectPr w:rsidR="0059608E" w:rsidRPr="00E56D43" w:rsidSect="0025341A">
          <w:pgSz w:w="16840" w:h="11907" w:orient="landscape" w:code="9"/>
          <w:pgMar w:top="720" w:right="720" w:bottom="720" w:left="720" w:header="709" w:footer="709" w:gutter="0"/>
          <w:cols w:space="708"/>
          <w:docGrid w:linePitch="360"/>
        </w:sectPr>
      </w:pPr>
    </w:p>
    <w:p w14:paraId="5FB726B0" w14:textId="77777777" w:rsidR="0059608E" w:rsidRDefault="0059608E" w:rsidP="00B045E5">
      <w:pPr>
        <w:pStyle w:val="Heading3"/>
        <w:numPr>
          <w:ilvl w:val="2"/>
          <w:numId w:val="2"/>
        </w:numPr>
      </w:pPr>
      <w:bookmarkStart w:id="393" w:name="_Toc461457764"/>
      <w:bookmarkStart w:id="394" w:name="_Toc462651945"/>
      <w:r>
        <w:lastRenderedPageBreak/>
        <w:t>Cyclones</w:t>
      </w:r>
      <w:bookmarkEnd w:id="393"/>
      <w:bookmarkEnd w:id="394"/>
    </w:p>
    <w:p w14:paraId="1054109F" w14:textId="77777777" w:rsidR="0059608E" w:rsidRDefault="0059608E" w:rsidP="006130D4">
      <w:pPr>
        <w:spacing w:line="360" w:lineRule="auto"/>
      </w:pPr>
      <w:r>
        <w:t>Tropical cyclones in the Queensland region mostly form from lows within the monsoon trough, between November and April, producing damaging winds, heavy rainfall and often major flooding.</w:t>
      </w:r>
      <w:r w:rsidRPr="00353C7B">
        <w:t xml:space="preserve"> On average 4.7 tropical cyclones per year affect the Queensland Tropic</w:t>
      </w:r>
      <w:r>
        <w:t>s</w:t>
      </w:r>
      <w:r w:rsidRPr="00353C7B">
        <w:t>. There is a strong relationship with eastern Australian tropical cyclone impacts and the El Niño-Southern Oscillation phenomenon, with almost twice as many impacts during La Niña than during El Niño</w:t>
      </w:r>
      <w:r>
        <w:t>. In 2014</w:t>
      </w:r>
      <w:r w:rsidR="00E56D43">
        <w:t>-</w:t>
      </w:r>
      <w:r>
        <w:t xml:space="preserve"> 2015, two </w:t>
      </w:r>
      <w:r w:rsidRPr="00260E04">
        <w:t>severe tropical cyclones Marcia and Nathan</w:t>
      </w:r>
      <w:r>
        <w:t xml:space="preserve"> impacted the </w:t>
      </w:r>
      <w:r>
        <w:rPr>
          <w:lang w:val="en-AU"/>
        </w:rPr>
        <w:t>Reef</w:t>
      </w:r>
      <w:r w:rsidR="00E04174">
        <w:rPr>
          <w:lang w:val="en-AU"/>
        </w:rPr>
        <w:t xml:space="preserve"> </w:t>
      </w:r>
      <w:r w:rsidR="00E04174">
        <w:rPr>
          <w:lang w:val="en-AU"/>
        </w:rPr>
        <w:fldChar w:fldCharType="begin"/>
      </w:r>
      <w:r w:rsidR="00483FF1">
        <w:rPr>
          <w:lang w:val="en-AU"/>
        </w:rPr>
        <w:instrText xml:space="preserve"> ADDIN EN.CITE &lt;EndNote&gt;&lt;Cite&gt;&lt;Author&gt;BOM&lt;/Author&gt;&lt;Year&gt;2016&lt;/Year&gt;&lt;RecNum&gt;336&lt;/RecNum&gt;&lt;DisplayText&gt;(BOM, 2016e)&lt;/DisplayText&gt;&lt;record&gt;&lt;rec-number&gt;336&lt;/rec-number&gt;&lt;foreign-keys&gt;&lt;key app="EN" db-id="0zzrztwe5p59skesdrqpsfeu2s0xt5zd5v9p" timestamp="1466640410"&gt;336&lt;/key&gt;&lt;/foreign-keys&gt;&lt;ref-type name="Web Page"&gt;12&lt;/ref-type&gt;&lt;contributors&gt;&lt;authors&gt;&lt;author&gt;BOM&lt;/author&gt;&lt;/authors&gt;&lt;/contributors&gt;&lt;titles&gt;&lt;title&gt;Tropical Cyclones in Queensland&lt;/title&gt;&lt;/titles&gt;&lt;volume&gt;2016&lt;/volume&gt;&lt;number&gt;14 June &lt;/number&gt;&lt;dates&gt;&lt;year&gt;2016&lt;/year&gt;&lt;/dates&gt;&lt;pub-location&gt;Bureau of Meteorology, Canberra&lt;/pub-location&gt;&lt;urls&gt;&lt;related-urls&gt;&lt;url&gt;http://www.bom.gov.au/cyclone/about/eastern.shtml#history&lt;/url&gt;&lt;/related-urls&gt;&lt;/urls&gt;&lt;/record&gt;&lt;/Cite&gt;&lt;/EndNote&gt;</w:instrText>
      </w:r>
      <w:r w:rsidR="00E04174">
        <w:rPr>
          <w:lang w:val="en-AU"/>
        </w:rPr>
        <w:fldChar w:fldCharType="separate"/>
      </w:r>
      <w:r w:rsidR="00483FF1">
        <w:rPr>
          <w:noProof/>
          <w:lang w:val="en-AU"/>
        </w:rPr>
        <w:t>(BOM, 2016e)</w:t>
      </w:r>
      <w:r w:rsidR="00E04174">
        <w:rPr>
          <w:lang w:val="en-AU"/>
        </w:rPr>
        <w:fldChar w:fldCharType="end"/>
      </w:r>
      <w:r>
        <w:rPr>
          <w:lang w:val="en-AU"/>
        </w:rPr>
        <w:t>.</w:t>
      </w:r>
      <w:r>
        <w:t xml:space="preserve"> </w:t>
      </w:r>
    </w:p>
    <w:p w14:paraId="040E5FB5" w14:textId="77777777" w:rsidR="0059608E" w:rsidRDefault="0059608E" w:rsidP="006130D4">
      <w:pPr>
        <w:spacing w:line="360" w:lineRule="auto"/>
      </w:pPr>
    </w:p>
    <w:p w14:paraId="367A6238" w14:textId="77777777" w:rsidR="0059608E" w:rsidRDefault="0059608E" w:rsidP="006130D4">
      <w:pPr>
        <w:spacing w:line="360" w:lineRule="auto"/>
      </w:pPr>
      <w:r>
        <w:t>Tropical Cyclone Marcia made landfall near Yeppoon on the 20</w:t>
      </w:r>
      <w:r w:rsidRPr="001D5A0C">
        <w:rPr>
          <w:vertAlign w:val="superscript"/>
        </w:rPr>
        <w:t>th</w:t>
      </w:r>
      <w:r>
        <w:t xml:space="preserve"> February 2015 as a Category 5 system</w:t>
      </w:r>
      <w:r w:rsidR="00535FB5">
        <w:t xml:space="preserve"> </w:t>
      </w:r>
      <w:r w:rsidR="00535FB5">
        <w:fldChar w:fldCharType="begin"/>
      </w:r>
      <w:r w:rsidR="00535FB5">
        <w:instrText xml:space="preserve"> ADDIN EN.CITE &lt;EndNote&gt;&lt;Cite&gt;&lt;Author&gt;BOM&lt;/Author&gt;&lt;Year&gt;2016&lt;/Year&gt;&lt;RecNum&gt;337&lt;/RecNum&gt;&lt;DisplayText&gt;(BOM, 2016c)&lt;/DisplayText&gt;&lt;record&gt;&lt;rec-number&gt;337&lt;/rec-number&gt;&lt;foreign-keys&gt;&lt;key app="EN" db-id="0zzrztwe5p59skesdrqpsfeu2s0xt5zd5v9p" timestamp="1466640783"&gt;337&lt;/key&gt;&lt;/foreign-keys&gt;&lt;ref-type name="Web Page"&gt;12&lt;/ref-type&gt;&lt;contributors&gt;&lt;authors&gt;&lt;author&gt;BOM&lt;/author&gt;&lt;/authors&gt;&lt;/contributors&gt;&lt;titles&gt;&lt;title&gt;Severe Tropical Cyclone Marcia&lt;/title&gt;&lt;/titles&gt;&lt;volume&gt;2016&lt;/volume&gt;&lt;number&gt;6 June &lt;/number&gt;&lt;dates&gt;&lt;year&gt;2016&lt;/year&gt;&lt;/dates&gt;&lt;pub-location&gt;Bureau of Meteorology, Canberra&lt;/pub-location&gt;&lt;urls&gt;&lt;related-urls&gt;&lt;url&gt;http://www.bom.gov.au/cyclone/history/marcia.shtml&lt;/url&gt;&lt;/related-urls&gt;&lt;/urls&gt;&lt;/record&gt;&lt;/Cite&gt;&lt;/EndNote&gt;</w:instrText>
      </w:r>
      <w:r w:rsidR="00535FB5">
        <w:fldChar w:fldCharType="separate"/>
      </w:r>
      <w:r w:rsidR="00535FB5">
        <w:rPr>
          <w:noProof/>
        </w:rPr>
        <w:t>(BOM, 2016c)</w:t>
      </w:r>
      <w:r w:rsidR="00535FB5">
        <w:fldChar w:fldCharType="end"/>
      </w:r>
      <w:r w:rsidR="00535FB5">
        <w:t>. H</w:t>
      </w:r>
      <w:r>
        <w:t xml:space="preserve">eavy rainfall </w:t>
      </w:r>
      <w:r w:rsidR="00535FB5">
        <w:t xml:space="preserve">fell </w:t>
      </w:r>
      <w:r>
        <w:t xml:space="preserve">in </w:t>
      </w:r>
      <w:r w:rsidR="00535FB5">
        <w:t xml:space="preserve">the </w:t>
      </w:r>
      <w:r>
        <w:t>catchments between the Fitzroy River and Upper Brisbane River</w:t>
      </w:r>
      <w:r w:rsidR="003A6B8E">
        <w:t xml:space="preserve"> (Figure 6)</w:t>
      </w:r>
      <w:r>
        <w:t xml:space="preserve"> and flooding </w:t>
      </w:r>
      <w:r w:rsidR="001F3C67">
        <w:t xml:space="preserve">occurred </w:t>
      </w:r>
      <w:r>
        <w:t xml:space="preserve">in several rivers within the Fitzroy River catchment, and the Burnett-Mary region. Up to 300 mm of rainfall </w:t>
      </w:r>
      <w:r w:rsidR="00B045E5">
        <w:t xml:space="preserve">was recorded </w:t>
      </w:r>
      <w:r>
        <w:t xml:space="preserve">in </w:t>
      </w:r>
      <w:r w:rsidR="00CC411F">
        <w:t>six to eight</w:t>
      </w:r>
      <w:r>
        <w:t xml:space="preserve"> hours on the 20</w:t>
      </w:r>
      <w:r w:rsidRPr="00B3493E">
        <w:rPr>
          <w:vertAlign w:val="superscript"/>
        </w:rPr>
        <w:t>th</w:t>
      </w:r>
      <w:r>
        <w:t xml:space="preserve"> of February in parts of the Fitzroy River catchment.  </w:t>
      </w:r>
    </w:p>
    <w:p w14:paraId="1016D26B" w14:textId="77777777" w:rsidR="0059608E" w:rsidRDefault="0059608E" w:rsidP="006130D4">
      <w:pPr>
        <w:spacing w:line="360" w:lineRule="auto"/>
        <w:jc w:val="center"/>
      </w:pPr>
    </w:p>
    <w:p w14:paraId="5692FEB4" w14:textId="77777777" w:rsidR="0059608E" w:rsidRDefault="0059608E" w:rsidP="006130D4">
      <w:pPr>
        <w:spacing w:line="360" w:lineRule="auto"/>
      </w:pPr>
      <w:r>
        <w:t>Tropical Cyclone Nathan began as a slow moving tropical low on the 9</w:t>
      </w:r>
      <w:r w:rsidRPr="001D0A5E">
        <w:rPr>
          <w:vertAlign w:val="superscript"/>
        </w:rPr>
        <w:t>th</w:t>
      </w:r>
      <w:r>
        <w:t xml:space="preserve"> of March 2015, stalling off the Cape York Peninsula for several days as a Category 2 system</w:t>
      </w:r>
      <w:r w:rsidR="00897641">
        <w:t xml:space="preserve"> </w:t>
      </w:r>
      <w:r w:rsidR="00483FF1">
        <w:fldChar w:fldCharType="begin"/>
      </w:r>
      <w:r w:rsidR="00483FF1">
        <w:instrText xml:space="preserve"> ADDIN EN.CITE &lt;EndNote&gt;&lt;Cite&gt;&lt;Author&gt;BOM&lt;/Author&gt;&lt;Year&gt;2016&lt;/Year&gt;&lt;RecNum&gt;338&lt;/RecNum&gt;&lt;DisplayText&gt;(BOM, 2016d)&lt;/DisplayText&gt;&lt;record&gt;&lt;rec-number&gt;338&lt;/rec-number&gt;&lt;foreign-keys&gt;&lt;key app="EN" db-id="0zzrztwe5p59skesdrqpsfeu2s0xt5zd5v9p" timestamp="1466641229"&gt;338&lt;/key&gt;&lt;/foreign-keys&gt;&lt;ref-type name="Web Page"&gt;12&lt;/ref-type&gt;&lt;contributors&gt;&lt;authors&gt;&lt;author&gt;BOM&lt;/author&gt;&lt;/authors&gt;&lt;/contributors&gt;&lt;titles&gt;&lt;title&gt;Severe Tropical Cyclone Nathan&lt;/title&gt;&lt;/titles&gt;&lt;volume&gt;2016&lt;/volume&gt;&lt;number&gt;6 June&lt;/number&gt;&lt;dates&gt;&lt;year&gt;2016&lt;/year&gt;&lt;/dates&gt;&lt;pub-location&gt;Bureau of Meteorology, Canberra&lt;/pub-location&gt;&lt;urls&gt;&lt;related-urls&gt;&lt;url&gt;http://www.bom.gov.au/announcements/sevwx/qld/qldtc20150310.shtml&lt;/url&gt;&lt;/related-urls&gt;&lt;/urls&gt;&lt;/record&gt;&lt;/Cite&gt;&lt;/EndNote&gt;</w:instrText>
      </w:r>
      <w:r w:rsidR="00483FF1">
        <w:fldChar w:fldCharType="separate"/>
      </w:r>
      <w:r w:rsidR="00483FF1">
        <w:rPr>
          <w:noProof/>
        </w:rPr>
        <w:t>(BOM, 2016d)</w:t>
      </w:r>
      <w:r w:rsidR="00483FF1">
        <w:fldChar w:fldCharType="end"/>
      </w:r>
      <w:r>
        <w:t xml:space="preserve">. Rainfall totals in northern </w:t>
      </w:r>
      <w:r>
        <w:rPr>
          <w:lang w:val="en-AU"/>
        </w:rPr>
        <w:t xml:space="preserve">Reef </w:t>
      </w:r>
      <w:r>
        <w:t>catchments located in the Cape York and Wet Tropics regions during this period exceeded 200 mm</w:t>
      </w:r>
      <w:r w:rsidR="003A6B8E">
        <w:t xml:space="preserve"> (Figure 6)</w:t>
      </w:r>
      <w:r>
        <w:t>. Nathan finally made landfall north of Cooktown in the Cape York region on the 20</w:t>
      </w:r>
      <w:r w:rsidRPr="00096D58">
        <w:rPr>
          <w:vertAlign w:val="superscript"/>
        </w:rPr>
        <w:t>th</w:t>
      </w:r>
      <w:r>
        <w:t xml:space="preserve"> of March 2015 as a Category 4 system, before rapidly declin</w:t>
      </w:r>
      <w:r w:rsidR="00CC411F">
        <w:t>in</w:t>
      </w:r>
      <w:r>
        <w:t>g to a Category 1 as it entered the Gulf of Carpentaria on the 21</w:t>
      </w:r>
      <w:r w:rsidRPr="001407E7">
        <w:rPr>
          <w:vertAlign w:val="superscript"/>
        </w:rPr>
        <w:t>st</w:t>
      </w:r>
      <w:r>
        <w:t xml:space="preserve"> of March. </w:t>
      </w:r>
    </w:p>
    <w:p w14:paraId="60422332" w14:textId="77777777" w:rsidR="006178B2" w:rsidRDefault="0059608E" w:rsidP="006178B2">
      <w:pPr>
        <w:keepNext/>
        <w:spacing w:line="360" w:lineRule="auto"/>
      </w:pPr>
      <w:r>
        <w:rPr>
          <w:noProof/>
          <w:lang w:val="en-AU" w:eastAsia="en-AU" w:bidi="ar-SA"/>
        </w:rPr>
        <w:drawing>
          <wp:inline distT="0" distB="0" distL="0" distR="0" wp14:anchorId="0FF7B75A" wp14:editId="2D41A780">
            <wp:extent cx="6685807" cy="3310022"/>
            <wp:effectExtent l="0" t="0" r="1270" b="5080"/>
            <wp:docPr id="48" name="Picture 48" descr="Figure 6 Total rainfall recorded for the week ending 24th February 2015 (left) associated with TC Marcia; and for the week ending 17th March 2015 (right) prior to landfall of TC Nat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8886" t="13155" r="57375" b="38396"/>
                    <a:stretch/>
                  </pic:blipFill>
                  <pic:spPr bwMode="auto">
                    <a:xfrm>
                      <a:off x="0" y="0"/>
                      <a:ext cx="6701571" cy="3317826"/>
                    </a:xfrm>
                    <a:prstGeom prst="rect">
                      <a:avLst/>
                    </a:prstGeom>
                    <a:ln>
                      <a:noFill/>
                    </a:ln>
                    <a:extLst>
                      <a:ext uri="{53640926-AAD7-44D8-BBD7-CCE9431645EC}">
                        <a14:shadowObscured xmlns:a14="http://schemas.microsoft.com/office/drawing/2010/main"/>
                      </a:ext>
                    </a:extLst>
                  </pic:spPr>
                </pic:pic>
              </a:graphicData>
            </a:graphic>
          </wp:inline>
        </w:drawing>
      </w:r>
    </w:p>
    <w:p w14:paraId="644D0CE7" w14:textId="77777777" w:rsidR="0059608E" w:rsidRDefault="006178B2" w:rsidP="006178B2">
      <w:pPr>
        <w:pStyle w:val="Caption"/>
        <w:jc w:val="center"/>
      </w:pPr>
      <w:bookmarkStart w:id="395" w:name="_Toc462399466"/>
      <w:r>
        <w:t xml:space="preserve">Figure </w:t>
      </w:r>
      <w:r>
        <w:fldChar w:fldCharType="begin"/>
      </w:r>
      <w:r>
        <w:instrText xml:space="preserve"> SEQ Figure \* ARABIC </w:instrText>
      </w:r>
      <w:r>
        <w:fldChar w:fldCharType="separate"/>
      </w:r>
      <w:r w:rsidR="00E51A34">
        <w:rPr>
          <w:noProof/>
        </w:rPr>
        <w:t>6</w:t>
      </w:r>
      <w:r>
        <w:fldChar w:fldCharType="end"/>
      </w:r>
      <w:r w:rsidRPr="006178B2">
        <w:t xml:space="preserve"> Total rainfall recorded for the week ending 24th February 2015 (left) associated with TC Marcia; and for the week ending 17th March 2015 (right) prior to landfall of TC Nathan</w:t>
      </w:r>
      <w:bookmarkEnd w:id="395"/>
    </w:p>
    <w:p w14:paraId="7AF4EEA7" w14:textId="77777777" w:rsidR="004A4184" w:rsidRDefault="004A4184" w:rsidP="004A4184"/>
    <w:p w14:paraId="21747CB9" w14:textId="77777777" w:rsidR="00C564DC" w:rsidRDefault="00C564DC" w:rsidP="004A4184"/>
    <w:p w14:paraId="0CE18905" w14:textId="77777777" w:rsidR="00C564DC" w:rsidRPr="004A4184" w:rsidRDefault="00C564DC" w:rsidP="004A4184"/>
    <w:p w14:paraId="4352470E" w14:textId="77777777" w:rsidR="0059608E" w:rsidRDefault="0059608E" w:rsidP="0059608E">
      <w:pPr>
        <w:pStyle w:val="Heading3"/>
        <w:numPr>
          <w:ilvl w:val="2"/>
          <w:numId w:val="2"/>
        </w:numPr>
      </w:pPr>
      <w:bookmarkStart w:id="396" w:name="_Toc455069457"/>
      <w:bookmarkStart w:id="397" w:name="_Toc455070107"/>
      <w:bookmarkStart w:id="398" w:name="_Toc455070379"/>
      <w:bookmarkStart w:id="399" w:name="_Toc455151766"/>
      <w:bookmarkStart w:id="400" w:name="_Toc455069458"/>
      <w:bookmarkStart w:id="401" w:name="_Toc455070108"/>
      <w:bookmarkStart w:id="402" w:name="_Toc455070380"/>
      <w:bookmarkStart w:id="403" w:name="_Toc455151767"/>
      <w:bookmarkStart w:id="404" w:name="_Toc461457765"/>
      <w:bookmarkStart w:id="405" w:name="_Toc462651946"/>
      <w:bookmarkEnd w:id="396"/>
      <w:bookmarkEnd w:id="397"/>
      <w:bookmarkEnd w:id="398"/>
      <w:bookmarkEnd w:id="399"/>
      <w:bookmarkEnd w:id="400"/>
      <w:bookmarkEnd w:id="401"/>
      <w:bookmarkEnd w:id="402"/>
      <w:bookmarkEnd w:id="403"/>
      <w:r>
        <w:lastRenderedPageBreak/>
        <w:t>River discharge</w:t>
      </w:r>
      <w:bookmarkEnd w:id="404"/>
      <w:bookmarkEnd w:id="405"/>
    </w:p>
    <w:p w14:paraId="467CAD71" w14:textId="77777777" w:rsidR="0059608E" w:rsidRDefault="0059608E" w:rsidP="006130D4">
      <w:pPr>
        <w:spacing w:line="360" w:lineRule="auto"/>
      </w:pPr>
      <w:r>
        <w:rPr>
          <w:lang w:val="en-AU"/>
        </w:rPr>
        <w:t xml:space="preserve">For the fourth consecutive year, total annual discharge </w:t>
      </w:r>
      <w:r>
        <w:t>of freshwater into the Reef had decreased to approximately 18</w:t>
      </w:r>
      <w:r w:rsidR="00C647F4">
        <w:t>.5</w:t>
      </w:r>
      <w:r>
        <w:t xml:space="preserve"> x 10</w:t>
      </w:r>
      <w:r>
        <w:rPr>
          <w:vertAlign w:val="superscript"/>
        </w:rPr>
        <w:t>6</w:t>
      </w:r>
      <w:r>
        <w:t xml:space="preserve"> ML (Figure </w:t>
      </w:r>
      <w:r w:rsidR="00B07F1D">
        <w:t>7</w:t>
      </w:r>
      <w:r>
        <w:t xml:space="preserve">; Appendix C, Table </w:t>
      </w:r>
      <w:r w:rsidR="00B07F1D">
        <w:t>A12</w:t>
      </w:r>
      <w:r>
        <w:t>) and for the first time since 2004-2005, was below the long-term median discharge (approximately 2</w:t>
      </w:r>
      <w:r w:rsidR="00C647F4">
        <w:t>2</w:t>
      </w:r>
      <w:r>
        <w:t xml:space="preserve"> x 10</w:t>
      </w:r>
      <w:r>
        <w:rPr>
          <w:vertAlign w:val="superscript"/>
        </w:rPr>
        <w:t>6</w:t>
      </w:r>
      <w:r>
        <w:t xml:space="preserve"> ML).</w:t>
      </w:r>
    </w:p>
    <w:p w14:paraId="38169B39" w14:textId="77777777" w:rsidR="0059608E" w:rsidRDefault="0059608E" w:rsidP="006130D4">
      <w:pPr>
        <w:tabs>
          <w:tab w:val="left" w:pos="10065"/>
        </w:tabs>
        <w:spacing w:line="276" w:lineRule="auto"/>
      </w:pPr>
      <w:r>
        <w:rPr>
          <w:noProof/>
          <w:lang w:val="en-AU" w:eastAsia="en-AU" w:bidi="ar-SA"/>
        </w:rPr>
        <w:drawing>
          <wp:inline distT="0" distB="0" distL="0" distR="0" wp14:anchorId="4AC3AEFE" wp14:editId="501D29C7">
            <wp:extent cx="6626431" cy="3160356"/>
            <wp:effectExtent l="0" t="0" r="3175" b="2540"/>
            <wp:docPr id="72" name="Picture 72" descr="Figure 7 Total annual discharge of all gauged rivers located in Reef catchments into the inshore waters of the Reef (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39154" cy="3166424"/>
                    </a:xfrm>
                    <a:prstGeom prst="rect">
                      <a:avLst/>
                    </a:prstGeom>
                    <a:noFill/>
                  </pic:spPr>
                </pic:pic>
              </a:graphicData>
            </a:graphic>
          </wp:inline>
        </w:drawing>
      </w:r>
    </w:p>
    <w:p w14:paraId="564DA502" w14:textId="77777777" w:rsidR="0059608E" w:rsidRDefault="0059608E" w:rsidP="006130D4">
      <w:pPr>
        <w:pStyle w:val="Caption"/>
        <w:spacing w:line="276" w:lineRule="auto"/>
        <w:jc w:val="center"/>
      </w:pPr>
      <w:bookmarkStart w:id="406" w:name="_Toc462399467"/>
      <w:r w:rsidRPr="009351D6">
        <w:t xml:space="preserve">Figure </w:t>
      </w:r>
      <w:r w:rsidRPr="009351D6">
        <w:rPr>
          <w:bCs w:val="0"/>
        </w:rPr>
        <w:fldChar w:fldCharType="begin"/>
      </w:r>
      <w:r w:rsidRPr="009351D6">
        <w:rPr>
          <w:bCs w:val="0"/>
        </w:rPr>
        <w:instrText xml:space="preserve"> SEQ Figure \* ARABIC </w:instrText>
      </w:r>
      <w:r w:rsidRPr="009351D6">
        <w:rPr>
          <w:bCs w:val="0"/>
        </w:rPr>
        <w:fldChar w:fldCharType="separate"/>
      </w:r>
      <w:r w:rsidR="00E51A34">
        <w:rPr>
          <w:bCs w:val="0"/>
          <w:noProof/>
        </w:rPr>
        <w:t>7</w:t>
      </w:r>
      <w:r w:rsidRPr="009351D6">
        <w:rPr>
          <w:bCs w:val="0"/>
          <w:noProof/>
        </w:rPr>
        <w:fldChar w:fldCharType="end"/>
      </w:r>
      <w:r w:rsidRPr="009351D6">
        <w:t xml:space="preserve"> Total</w:t>
      </w:r>
      <w:r w:rsidRPr="002C65A0">
        <w:t xml:space="preserve"> annual discharge of </w:t>
      </w:r>
      <w:r>
        <w:t>all gauged</w:t>
      </w:r>
      <w:r w:rsidRPr="002C65A0">
        <w:t xml:space="preserve"> rivers </w:t>
      </w:r>
      <w:r>
        <w:t xml:space="preserve">located in </w:t>
      </w:r>
      <w:r>
        <w:rPr>
          <w:lang w:val="en-AU"/>
        </w:rPr>
        <w:t xml:space="preserve">Reef </w:t>
      </w:r>
      <w:r>
        <w:t xml:space="preserve">catchments </w:t>
      </w:r>
      <w:r w:rsidRPr="002C65A0">
        <w:t xml:space="preserve">into the inshore waters of the </w:t>
      </w:r>
      <w:r>
        <w:t>Reef</w:t>
      </w:r>
      <w:r w:rsidRPr="002C65A0">
        <w:t xml:space="preserve"> (ML)</w:t>
      </w:r>
      <w:bookmarkEnd w:id="406"/>
    </w:p>
    <w:p w14:paraId="7BC02C9E" w14:textId="77777777" w:rsidR="0059608E" w:rsidRDefault="0059608E" w:rsidP="006130D4">
      <w:pPr>
        <w:pStyle w:val="Caption"/>
        <w:spacing w:line="276" w:lineRule="auto"/>
        <w:jc w:val="center"/>
        <w:rPr>
          <w:b w:val="0"/>
        </w:rPr>
      </w:pPr>
      <w:r w:rsidRPr="002C6624">
        <w:rPr>
          <w:b w:val="0"/>
        </w:rPr>
        <w:t>Data provided by Michelle Devlin (unpublished).  The water year is considered October 1</w:t>
      </w:r>
      <w:r w:rsidRPr="002C6624">
        <w:rPr>
          <w:b w:val="0"/>
          <w:vertAlign w:val="superscript"/>
        </w:rPr>
        <w:t>st</w:t>
      </w:r>
      <w:r w:rsidRPr="002C6624">
        <w:rPr>
          <w:b w:val="0"/>
        </w:rPr>
        <w:t xml:space="preserve"> to September 30</w:t>
      </w:r>
      <w:r w:rsidRPr="002C6624">
        <w:rPr>
          <w:b w:val="0"/>
          <w:vertAlign w:val="superscript"/>
        </w:rPr>
        <w:t>th</w:t>
      </w:r>
      <w:r w:rsidRPr="002C6624">
        <w:rPr>
          <w:b w:val="0"/>
        </w:rPr>
        <w:t xml:space="preserve"> the following year</w:t>
      </w:r>
      <w:r>
        <w:rPr>
          <w:b w:val="0"/>
        </w:rPr>
        <w:t>. T</w:t>
      </w:r>
      <w:r w:rsidRPr="002C6624">
        <w:rPr>
          <w:b w:val="0"/>
        </w:rPr>
        <w:t>he discharge</w:t>
      </w:r>
      <w:r>
        <w:rPr>
          <w:b w:val="0"/>
        </w:rPr>
        <w:t xml:space="preserve"> data provided</w:t>
      </w:r>
      <w:r w:rsidRPr="002C6624">
        <w:rPr>
          <w:b w:val="0"/>
        </w:rPr>
        <w:t xml:space="preserve"> for the current year </w:t>
      </w:r>
      <w:r>
        <w:rPr>
          <w:b w:val="0"/>
        </w:rPr>
        <w:t xml:space="preserve">is </w:t>
      </w:r>
      <w:r w:rsidRPr="002C6624">
        <w:rPr>
          <w:b w:val="0"/>
        </w:rPr>
        <w:t>complete.</w:t>
      </w:r>
      <w:r>
        <w:rPr>
          <w:b w:val="0"/>
        </w:rPr>
        <w:t xml:space="preserve"> Dotted line represents the long-term median discharge.</w:t>
      </w:r>
    </w:p>
    <w:p w14:paraId="167CA303" w14:textId="77777777" w:rsidR="0059608E" w:rsidRDefault="0059608E" w:rsidP="006130D4">
      <w:pPr>
        <w:spacing w:line="360" w:lineRule="auto"/>
        <w:rPr>
          <w:lang w:val="en-AU"/>
        </w:rPr>
      </w:pPr>
    </w:p>
    <w:p w14:paraId="46865613" w14:textId="77777777" w:rsidR="0059608E" w:rsidRDefault="0059608E" w:rsidP="006130D4">
      <w:pPr>
        <w:spacing w:line="360" w:lineRule="auto"/>
        <w:rPr>
          <w:lang w:val="en-AU"/>
        </w:rPr>
      </w:pPr>
      <w:r>
        <w:rPr>
          <w:lang w:val="en-AU"/>
        </w:rPr>
        <w:t>The ratio of freshwater discharge in 2014-2015 of selected Reef catchment rivers potentially impacting fixed passive sampler sites to the long-term median discharge, ranged from 0.13 (O’Connell River) – 5.2 (Pioneer River), with the majority of individual rivers discharging less than the</w:t>
      </w:r>
      <w:r w:rsidR="00C564DC">
        <w:rPr>
          <w:lang w:val="en-AU"/>
        </w:rPr>
        <w:t>ir</w:t>
      </w:r>
      <w:r>
        <w:rPr>
          <w:lang w:val="en-AU"/>
        </w:rPr>
        <w:t xml:space="preserve"> long term median (Table </w:t>
      </w:r>
      <w:r w:rsidR="00B07F1D">
        <w:rPr>
          <w:lang w:val="en-AU"/>
        </w:rPr>
        <w:t>4</w:t>
      </w:r>
      <w:r>
        <w:rPr>
          <w:lang w:val="en-AU"/>
        </w:rPr>
        <w:t xml:space="preserve">). </w:t>
      </w:r>
    </w:p>
    <w:p w14:paraId="2AA0E248" w14:textId="77777777" w:rsidR="003A76CE" w:rsidRDefault="003A76CE" w:rsidP="003A76CE">
      <w:pPr>
        <w:pStyle w:val="Caption"/>
        <w:keepNext/>
        <w:jc w:val="center"/>
      </w:pPr>
      <w:bookmarkStart w:id="407" w:name="_Toc462652125"/>
      <w:r>
        <w:lastRenderedPageBreak/>
        <w:t xml:space="preserve">Table </w:t>
      </w:r>
      <w:r>
        <w:fldChar w:fldCharType="begin"/>
      </w:r>
      <w:r>
        <w:instrText xml:space="preserve"> SEQ Table \* ARABIC </w:instrText>
      </w:r>
      <w:r>
        <w:fldChar w:fldCharType="separate"/>
      </w:r>
      <w:r w:rsidR="00E51A34">
        <w:rPr>
          <w:noProof/>
        </w:rPr>
        <w:t>4</w:t>
      </w:r>
      <w:r>
        <w:fldChar w:fldCharType="end"/>
      </w:r>
      <w:r w:rsidR="004148D2">
        <w:t xml:space="preserve"> Comparison of long-term median flows in major rivers with total discharge in the 2014-2015 water year</w:t>
      </w:r>
      <w:bookmarkEnd w:id="407"/>
    </w:p>
    <w:p w14:paraId="7915B3A7" w14:textId="77777777" w:rsidR="0059608E" w:rsidRDefault="0059608E" w:rsidP="006130D4">
      <w:pPr>
        <w:spacing w:line="360" w:lineRule="auto"/>
        <w:jc w:val="center"/>
        <w:rPr>
          <w:lang w:val="en-AU"/>
        </w:rPr>
      </w:pPr>
      <w:r w:rsidRPr="00DF554B">
        <w:rPr>
          <w:noProof/>
          <w:lang w:val="en-AU" w:eastAsia="en-AU" w:bidi="ar-SA"/>
        </w:rPr>
        <w:drawing>
          <wp:inline distT="0" distB="0" distL="0" distR="0" wp14:anchorId="09D89987" wp14:editId="5586888A">
            <wp:extent cx="5179940" cy="3640347"/>
            <wp:effectExtent l="0" t="0" r="1905" b="0"/>
            <wp:docPr id="71" name="Picture 71" descr="Table 4 Comparison of long-term median flows in major rivers with total discharge in the 2014-2015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79940" cy="3640347"/>
                    </a:xfrm>
                    <a:prstGeom prst="rect">
                      <a:avLst/>
                    </a:prstGeom>
                    <a:noFill/>
                    <a:ln>
                      <a:noFill/>
                    </a:ln>
                  </pic:spPr>
                </pic:pic>
              </a:graphicData>
            </a:graphic>
          </wp:inline>
        </w:drawing>
      </w:r>
    </w:p>
    <w:p w14:paraId="509A0328" w14:textId="77777777" w:rsidR="0059608E" w:rsidRPr="00256CC7" w:rsidRDefault="0059608E" w:rsidP="006130D4">
      <w:pPr>
        <w:jc w:val="left"/>
        <w:rPr>
          <w:sz w:val="24"/>
          <w:lang w:val="en-AU"/>
        </w:rPr>
      </w:pPr>
      <w:r w:rsidRPr="00256CC7">
        <w:rPr>
          <w:sz w:val="18"/>
          <w:lang w:val="en-AU"/>
        </w:rPr>
        <w:t xml:space="preserve">River discharge data compiled by </w:t>
      </w:r>
      <w:r w:rsidR="00980E52">
        <w:rPr>
          <w:sz w:val="18"/>
          <w:lang w:val="en-AU"/>
        </w:rPr>
        <w:t>Eduardo da Silva (JCU)</w:t>
      </w:r>
      <w:r w:rsidRPr="00256CC7">
        <w:rPr>
          <w:sz w:val="18"/>
          <w:lang w:val="en-AU"/>
        </w:rPr>
        <w:t>. (Data Source Department of Environment and Resource Management, Stream Gauging Network). Long-term median flow data was provided by</w:t>
      </w:r>
      <w:r w:rsidR="00980E52">
        <w:rPr>
          <w:sz w:val="18"/>
          <w:lang w:val="en-AU"/>
        </w:rPr>
        <w:t xml:space="preserve"> </w:t>
      </w:r>
      <w:r w:rsidR="00980E52">
        <w:rPr>
          <w:sz w:val="18"/>
          <w:lang w:val="en-AU"/>
        </w:rPr>
        <w:fldChar w:fldCharType="begin"/>
      </w:r>
      <w:r w:rsidR="00980E52">
        <w:rPr>
          <w:sz w:val="18"/>
          <w:lang w:val="en-AU"/>
        </w:rPr>
        <w:instrText xml:space="preserve"> ADDIN EN.CITE &lt;EndNote&gt;&lt;Cite&gt;&lt;Author&gt;Schaffelke&lt;/Author&gt;&lt;Year&gt;2011&lt;/Year&gt;&lt;RecNum&gt;339&lt;/RecNum&gt;&lt;DisplayText&gt;(Schaffelke et al., 2011)&lt;/DisplayText&gt;&lt;record&gt;&lt;rec-number&gt;339&lt;/rec-number&gt;&lt;foreign-keys&gt;&lt;key app="EN" db-id="0zzrztwe5p59skesdrqpsfeu2s0xt5zd5v9p" timestamp="1466641530"&gt;339&lt;/key&gt;&lt;/foreign-keys&gt;&lt;ref-type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2010/11– Inshore Water Quality Monitoring.&lt;/title&gt;&lt;/titles&gt;&lt;dates&gt;&lt;year&gt;2011&lt;/year&gt;&lt;/dates&gt;&lt;pub-location&gt;Australian Institute of Marine Science, Townsville&lt;/pub-location&gt;&lt;urls&gt;&lt;/urls&gt;&lt;/record&gt;&lt;/Cite&gt;&lt;/EndNote&gt;</w:instrText>
      </w:r>
      <w:r w:rsidR="00980E52">
        <w:rPr>
          <w:sz w:val="18"/>
          <w:lang w:val="en-AU"/>
        </w:rPr>
        <w:fldChar w:fldCharType="separate"/>
      </w:r>
      <w:r w:rsidR="00980E52">
        <w:rPr>
          <w:noProof/>
          <w:sz w:val="18"/>
          <w:lang w:val="en-AU"/>
        </w:rPr>
        <w:t>(Schaffelke et al., 2011)</w:t>
      </w:r>
      <w:r w:rsidR="00980E52">
        <w:rPr>
          <w:sz w:val="18"/>
          <w:lang w:val="en-AU"/>
        </w:rPr>
        <w:fldChar w:fldCharType="end"/>
      </w:r>
      <w:r w:rsidRPr="00256CC7">
        <w:rPr>
          <w:sz w:val="18"/>
          <w:lang w:val="en-AU"/>
        </w:rPr>
        <w:t xml:space="preserve"> and determined from the commencement of river monitoring up to the year 2000.  </w:t>
      </w:r>
      <w:r w:rsidR="00980E52">
        <w:rPr>
          <w:sz w:val="18"/>
          <w:lang w:val="en-AU"/>
        </w:rPr>
        <w:t>W</w:t>
      </w:r>
      <w:r w:rsidRPr="00256CC7">
        <w:rPr>
          <w:sz w:val="18"/>
          <w:lang w:val="en-AU"/>
        </w:rPr>
        <w:t>ater year</w:t>
      </w:r>
      <w:r w:rsidR="00980E52">
        <w:rPr>
          <w:sz w:val="18"/>
          <w:lang w:val="en-AU"/>
        </w:rPr>
        <w:t>s</w:t>
      </w:r>
      <w:r w:rsidRPr="00256CC7">
        <w:rPr>
          <w:sz w:val="18"/>
          <w:lang w:val="en-AU"/>
        </w:rPr>
        <w:t xml:space="preserve"> </w:t>
      </w:r>
      <w:r w:rsidR="00980E52">
        <w:rPr>
          <w:sz w:val="18"/>
          <w:lang w:val="en-AU"/>
        </w:rPr>
        <w:t>are</w:t>
      </w:r>
      <w:r w:rsidRPr="00256CC7">
        <w:rPr>
          <w:sz w:val="18"/>
          <w:lang w:val="en-AU"/>
        </w:rPr>
        <w:t xml:space="preserve"> from October 1</w:t>
      </w:r>
      <w:r w:rsidRPr="00256CC7">
        <w:rPr>
          <w:sz w:val="18"/>
          <w:vertAlign w:val="superscript"/>
          <w:lang w:val="en-AU"/>
        </w:rPr>
        <w:t>st</w:t>
      </w:r>
      <w:r w:rsidRPr="00256CC7">
        <w:rPr>
          <w:sz w:val="18"/>
          <w:lang w:val="en-AU"/>
        </w:rPr>
        <w:t xml:space="preserve"> to September 30</w:t>
      </w:r>
      <w:r w:rsidRPr="00256CC7">
        <w:rPr>
          <w:sz w:val="18"/>
          <w:vertAlign w:val="superscript"/>
          <w:lang w:val="en-AU"/>
        </w:rPr>
        <w:t>th</w:t>
      </w:r>
      <w:r w:rsidRPr="00256CC7">
        <w:rPr>
          <w:sz w:val="18"/>
          <w:lang w:val="en-AU"/>
        </w:rPr>
        <w:t xml:space="preserve"> the following year. </w:t>
      </w:r>
    </w:p>
    <w:p w14:paraId="3F77E82D" w14:textId="77777777" w:rsidR="0059608E" w:rsidRDefault="0059608E" w:rsidP="006130D4"/>
    <w:p w14:paraId="7612ED99" w14:textId="77777777" w:rsidR="0059608E" w:rsidRDefault="0059608E" w:rsidP="006130D4">
      <w:pPr>
        <w:spacing w:line="360" w:lineRule="auto"/>
      </w:pPr>
      <w:r>
        <w:t xml:space="preserve">Rivers located in the northern catchments typically flow year-round, whereas rivers located in the southern drier catchments only flood periodically following large rain events during summer </w:t>
      </w:r>
      <w:r w:rsidR="00322E2A">
        <w:fldChar w:fldCharType="begin"/>
      </w:r>
      <w:r w:rsidR="00322E2A">
        <w:instrText xml:space="preserve"> ADDIN EN.CITE &lt;EndNote&gt;&lt;Cite&gt;&lt;Author&gt;Lewis&lt;/Author&gt;&lt;Year&gt;2006&lt;/Year&gt;&lt;RecNum&gt;315&lt;/RecNum&gt;&lt;DisplayText&gt;(Lewis et al., 2006, Larson et al., 2013)&lt;/DisplayText&gt;&lt;record&gt;&lt;rec-number&gt;315&lt;/rec-number&gt;&lt;foreign-keys&gt;&lt;key app="EN" db-id="0zzrztwe5p59skesdrqpsfeu2s0xt5zd5v9p" timestamp="1466338701"&gt;315&lt;/key&gt;&lt;/foreign-keys&gt;&lt;ref-type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NRM&lt;/pub-location&gt;&lt;urls&gt;&lt;/urls&gt;&lt;/record&gt;&lt;/Cite&gt;&lt;Cite&gt;&lt;Author&gt;Larson&lt;/Author&gt;&lt;Year&gt;2013&lt;/Year&gt;&lt;RecNum&gt;340&lt;/RecNum&gt;&lt;record&gt;&lt;rec-number&gt;340&lt;/rec-number&gt;&lt;foreign-keys&gt;&lt;key app="EN" db-id="0zzrztwe5p59skesdrqpsfeu2s0xt5zd5v9p" timestamp="1466642413"&gt;340&lt;/key&gt;&lt;/foreign-keys&gt;&lt;ref-type name="Report"&gt;27&lt;/ref-type&gt;&lt;contributors&gt;&lt;authors&gt;&lt;author&gt;Larson, J.&lt;/author&gt;&lt;author&gt;Leon, J.&lt;/author&gt;&lt;author&gt;McGrath, C.&lt;/author&gt;&lt;author&gt;Trancoso, R.&lt;/author&gt;&lt;/authors&gt;&lt;/contributors&gt;&lt;titles&gt;&lt;title&gt;Review of the catchment processes relevant to the Great Barrier Reef region&lt;/title&gt;&lt;/titles&gt;&lt;dates&gt;&lt;year&gt;2013&lt;/year&gt;&lt;/dates&gt;&lt;pub-location&gt;Great Barrier Reef Marine Park Authority, Townsville&lt;/pub-location&gt;&lt;urls&gt;&lt;related-urls&gt;&lt;url&gt;http://elibrary.gbrmpa.gov.au/jspui/bitstream/11017/2907/2/Hydrology_catchment_great_barrier_reef.pdf&lt;/url&gt;&lt;/related-urls&gt;&lt;/urls&gt;&lt;/record&gt;&lt;/Cite&gt;&lt;/EndNote&gt;</w:instrText>
      </w:r>
      <w:r w:rsidR="00322E2A">
        <w:fldChar w:fldCharType="separate"/>
      </w:r>
      <w:r w:rsidR="00322E2A">
        <w:rPr>
          <w:noProof/>
        </w:rPr>
        <w:t>(Lewis et al., 2006, Larson et al., 2013)</w:t>
      </w:r>
      <w:r w:rsidR="00322E2A">
        <w:fldChar w:fldCharType="end"/>
      </w:r>
      <w:r w:rsidR="00322E2A">
        <w:t xml:space="preserve">. </w:t>
      </w:r>
      <w:r>
        <w:t xml:space="preserve">This monitoring year, gauged rivers in the Wet Tropics contributed 37.5% of the total volume of freshwater discharge into the Reef, </w:t>
      </w:r>
      <w:r w:rsidR="003A0CB5">
        <w:t xml:space="preserve">rivers in the </w:t>
      </w:r>
      <w:r>
        <w:t xml:space="preserve">Burdekin </w:t>
      </w:r>
      <w:r w:rsidR="003A0CB5">
        <w:t>region</w:t>
      </w:r>
      <w:r>
        <w:t xml:space="preserve"> contributed 4.9%, </w:t>
      </w:r>
      <w:r w:rsidR="003A0CB5">
        <w:t xml:space="preserve">rivers in the </w:t>
      </w:r>
      <w:r>
        <w:t xml:space="preserve">Mackay Whitsunday </w:t>
      </w:r>
      <w:r w:rsidR="003A0CB5">
        <w:t xml:space="preserve">region </w:t>
      </w:r>
      <w:r>
        <w:t>contributed 9.4% and</w:t>
      </w:r>
      <w:r w:rsidR="003A0CB5">
        <w:t xml:space="preserve"> rivers in the </w:t>
      </w:r>
      <w:r>
        <w:t xml:space="preserve">Fitzroy </w:t>
      </w:r>
      <w:r w:rsidR="003A0CB5">
        <w:t>region</w:t>
      </w:r>
      <w:r>
        <w:t xml:space="preserve"> contributed 14.6%. The timing, duration and intensity of rainfall between the northern and southern Reef catchments differs significantly, driving river flow and thus delivery of pollutants to the marine environment over different time scales.</w:t>
      </w:r>
    </w:p>
    <w:p w14:paraId="4F31EBF6" w14:textId="77777777" w:rsidR="0059608E" w:rsidRDefault="0059608E" w:rsidP="0059608E">
      <w:pPr>
        <w:pStyle w:val="Heading3"/>
        <w:numPr>
          <w:ilvl w:val="2"/>
          <w:numId w:val="2"/>
        </w:numPr>
      </w:pPr>
      <w:bookmarkStart w:id="408" w:name="_Toc461457766"/>
      <w:bookmarkStart w:id="409" w:name="_Toc462651947"/>
      <w:r>
        <w:t>Pesticide loads</w:t>
      </w:r>
      <w:bookmarkEnd w:id="408"/>
      <w:bookmarkEnd w:id="409"/>
      <w:r>
        <w:t xml:space="preserve"> </w:t>
      </w:r>
    </w:p>
    <w:p w14:paraId="49360D11" w14:textId="75278527" w:rsidR="0059608E" w:rsidRDefault="0059608E" w:rsidP="006130D4">
      <w:pPr>
        <w:tabs>
          <w:tab w:val="left" w:pos="10065"/>
        </w:tabs>
        <w:spacing w:line="360" w:lineRule="auto"/>
      </w:pPr>
      <w:r>
        <w:t>Annual loads (kg) of five PSII herbicides (ametryn, atrazine, diuron, hexazinone and tebuthiuron) were monitored</w:t>
      </w:r>
      <w:r w:rsidR="00C82E7A">
        <w:t xml:space="preserve"> at</w:t>
      </w:r>
      <w:r>
        <w:t xml:space="preserve"> </w:t>
      </w:r>
      <w:r w:rsidR="00C82E7A" w:rsidRPr="00C82E7A">
        <w:t>10 end-of-system sites and six sub-catchment sites</w:t>
      </w:r>
      <w:r>
        <w:t xml:space="preserve"> by the Great Barrier Reef Catchment Loads Monitoring Program (GBRCLMP) as part of the Reef Plan, in </w:t>
      </w:r>
      <w:r w:rsidR="007838C2">
        <w:t>2014</w:t>
      </w:r>
      <w:r>
        <w:t>–</w:t>
      </w:r>
      <w:r w:rsidR="007838C2">
        <w:t xml:space="preserve">2015 </w:t>
      </w:r>
      <w:r w:rsidR="00611004">
        <w:fldChar w:fldCharType="begin"/>
      </w:r>
      <w:r w:rsidR="00611004">
        <w:instrText xml:space="preserve"> ADDIN EN.CITE &lt;EndNote&gt;&lt;Cite&gt;&lt;Author&gt;Wallace&lt;/Author&gt;&lt;Year&gt;2016&lt;/Year&gt;&lt;RecNum&gt;374&lt;/RecNum&gt;&lt;DisplayText&gt;(Wallace et al., 2016)&lt;/DisplayText&gt;&lt;record&gt;&lt;rec-number&gt;374&lt;/rec-number&gt;&lt;foreign-keys&gt;&lt;key app="EN" db-id="0zzrztwe5p59skesdrqpsfeu2s0xt5zd5v9p" timestamp="1474593580"&gt;374&lt;/key&gt;&lt;/foreign-keys&gt;&lt;ref-type name="Report"&gt;27&lt;/ref-type&gt;&lt;contributors&gt;&lt;authors&gt;&lt;author&gt;Wallace, R. &lt;/author&gt;&lt;author&gt;Huggins, R.&lt;/author&gt;&lt;author&gt;King, O.&lt;/author&gt;&lt;author&gt;Gardiner, R.&lt;/author&gt;&lt;author&gt;Thomson, B.&lt;/author&gt;&lt;author&gt;Orr, D.&lt;/author&gt;&lt;author&gt;Ferguson, B.&lt;/author&gt;&lt;author&gt;Taylor, C.&lt;/author&gt;&lt;author&gt;Severino, Z.&lt;/author&gt;&lt;author&gt;Smith, R.A.&lt;/author&gt;&lt;author&gt;St. J. Warne, M.&lt;/author&gt;&lt;author&gt;Turner, R.D.R.&lt;/author&gt;&lt;author&gt;Mann, M &lt;/author&gt;&lt;/authors&gt;&lt;/contributors&gt;&lt;titles&gt;&lt;title&gt;Total suspended solids, nutrient and pesticide loads (2014–2015) for rivers that discharge to the Great Barrier Reef – Great Barrier Reef Catchment Loads Monitoring Program&lt;/title&gt;&lt;/titles&gt;&lt;dates&gt;&lt;year&gt;2016&lt;/year&gt;&lt;/dates&gt;&lt;pub-location&gt;Department of Science, Information Technology and Innovation. Brisbane.&lt;/pub-location&gt;&lt;urls&gt;&lt;/urls&gt;&lt;/record&gt;&lt;/Cite&gt;&lt;/EndNote&gt;</w:instrText>
      </w:r>
      <w:r w:rsidR="00611004">
        <w:fldChar w:fldCharType="separate"/>
      </w:r>
      <w:r w:rsidR="00611004">
        <w:rPr>
          <w:noProof/>
        </w:rPr>
        <w:t>(Wallace et al., 2016)</w:t>
      </w:r>
      <w:r w:rsidR="00611004">
        <w:fldChar w:fldCharType="end"/>
      </w:r>
      <w:r>
        <w:t xml:space="preserve">. </w:t>
      </w:r>
      <w:r w:rsidRPr="00C82E7A">
        <w:t xml:space="preserve">In </w:t>
      </w:r>
      <w:r w:rsidR="00C82E7A" w:rsidRPr="00C82E7A">
        <w:t>201</w:t>
      </w:r>
      <w:r w:rsidR="00C82E7A" w:rsidRPr="00FB5EAD">
        <w:t>4</w:t>
      </w:r>
      <w:r w:rsidRPr="00C82E7A">
        <w:t>-</w:t>
      </w:r>
      <w:r w:rsidR="00C82E7A" w:rsidRPr="00C82E7A">
        <w:t>2015</w:t>
      </w:r>
      <w:r>
        <w:t>, t</w:t>
      </w:r>
      <w:r w:rsidRPr="00DC382C">
        <w:t>he total monitored annual load</w:t>
      </w:r>
      <w:r>
        <w:t>s</w:t>
      </w:r>
      <w:r w:rsidRPr="00DC382C">
        <w:t xml:space="preserve"> of </w:t>
      </w:r>
      <w:r>
        <w:t>PS</w:t>
      </w:r>
      <w:r w:rsidRPr="00DC382C">
        <w:t>I</w:t>
      </w:r>
      <w:r>
        <w:t>I</w:t>
      </w:r>
      <w:r w:rsidRPr="00DC382C">
        <w:t xml:space="preserve"> herbicides were: </w:t>
      </w:r>
      <w:r w:rsidR="0036022C">
        <w:t>1400</w:t>
      </w:r>
      <w:r w:rsidR="0036022C" w:rsidRPr="00DC382C">
        <w:t xml:space="preserve"> </w:t>
      </w:r>
      <w:r w:rsidRPr="00DC382C">
        <w:t xml:space="preserve">kg of total atrazine; </w:t>
      </w:r>
      <w:r w:rsidR="0036022C">
        <w:t>810</w:t>
      </w:r>
      <w:r w:rsidR="0036022C" w:rsidRPr="00DC382C">
        <w:t xml:space="preserve"> </w:t>
      </w:r>
      <w:r w:rsidRPr="00DC382C">
        <w:t xml:space="preserve">kg of total diuron; </w:t>
      </w:r>
      <w:r w:rsidR="0036022C">
        <w:t>280</w:t>
      </w:r>
      <w:r w:rsidR="0036022C" w:rsidRPr="00DC382C">
        <w:t xml:space="preserve"> </w:t>
      </w:r>
      <w:r w:rsidRPr="00DC382C">
        <w:t xml:space="preserve">kg of hexazinone; </w:t>
      </w:r>
      <w:r w:rsidR="0036022C">
        <w:t>410</w:t>
      </w:r>
      <w:r w:rsidR="0036022C" w:rsidRPr="00DC382C">
        <w:t xml:space="preserve"> </w:t>
      </w:r>
      <w:r w:rsidRPr="00DC382C">
        <w:t xml:space="preserve">kg of tebuthiuron; and </w:t>
      </w:r>
      <w:r w:rsidR="0036022C">
        <w:t>7.7</w:t>
      </w:r>
      <w:r w:rsidR="0036022C" w:rsidRPr="00DC382C">
        <w:t xml:space="preserve"> </w:t>
      </w:r>
      <w:r w:rsidRPr="00DC382C">
        <w:t>kg of ametryn.</w:t>
      </w:r>
      <w:r>
        <w:t xml:space="preserve"> </w:t>
      </w:r>
      <w:r w:rsidR="00C70F32">
        <w:t>Atrazine and d</w:t>
      </w:r>
      <w:r>
        <w:t xml:space="preserve">iuron </w:t>
      </w:r>
      <w:r w:rsidR="00BF204F">
        <w:t xml:space="preserve">were </w:t>
      </w:r>
      <w:r>
        <w:t>the only PSII herbicide</w:t>
      </w:r>
      <w:r w:rsidR="00BF204F">
        <w:t>s</w:t>
      </w:r>
      <w:r>
        <w:t xml:space="preserve"> detected at all monitoring sites. </w:t>
      </w:r>
      <w:r w:rsidR="00406CB8">
        <w:t xml:space="preserve">Compared to the previous year, loads of diuron and ametryn had decreased slightly </w:t>
      </w:r>
      <w:r w:rsidR="00611004">
        <w:t>(from 890 kg and 11 kg respectively)</w:t>
      </w:r>
      <w:r w:rsidR="0004744A">
        <w:t>.</w:t>
      </w:r>
      <w:r w:rsidR="00611004">
        <w:t xml:space="preserve"> </w:t>
      </w:r>
      <w:r w:rsidR="0004744A">
        <w:t>D</w:t>
      </w:r>
      <w:r w:rsidR="009E4C71">
        <w:t>espite the overall</w:t>
      </w:r>
      <w:r>
        <w:t xml:space="preserve"> decreased rainfall and river discharge observed this monitoring year, annual loads </w:t>
      </w:r>
      <w:r w:rsidR="00555C2C">
        <w:t xml:space="preserve">of atrazine, hexazinone and tebuthiuron </w:t>
      </w:r>
      <w:r>
        <w:t xml:space="preserve">had </w:t>
      </w:r>
      <w:r w:rsidR="00555C2C">
        <w:t xml:space="preserve">increased </w:t>
      </w:r>
      <w:r>
        <w:t xml:space="preserve">when compared to the previous year. </w:t>
      </w:r>
      <w:r w:rsidR="00D1553B" w:rsidRPr="00D1553B">
        <w:t xml:space="preserve">The Fitzroy River and Barratta Creek contributed over half of the total </w:t>
      </w:r>
      <w:r w:rsidR="00A553D2">
        <w:t xml:space="preserve">monitored </w:t>
      </w:r>
      <w:r w:rsidR="00D1553B" w:rsidRPr="00D1553B">
        <w:t>atrazine load</w:t>
      </w:r>
      <w:r w:rsidR="00A553D2">
        <w:t xml:space="preserve"> (520 kg and 260 kg respectively)</w:t>
      </w:r>
      <w:r w:rsidR="0087150E">
        <w:t>. The largest load of diuron (200 kg) was exported from the Russell</w:t>
      </w:r>
      <w:r w:rsidR="001D71F3">
        <w:t xml:space="preserve"> River</w:t>
      </w:r>
      <w:r w:rsidR="00F30B7B">
        <w:t>, followed by the Tully River (140 kg) and Pioneer River (100 kg)</w:t>
      </w:r>
      <w:r w:rsidR="001D71F3">
        <w:t>.</w:t>
      </w:r>
      <w:r w:rsidR="00D1553B" w:rsidRPr="00D1553B" w:rsidDel="00D1553B">
        <w:t xml:space="preserve"> </w:t>
      </w:r>
      <w:r w:rsidR="009C64DC">
        <w:t xml:space="preserve">The Tully River and Russell River were the largest contributors of total monitored </w:t>
      </w:r>
      <w:r w:rsidR="009C64DC">
        <w:lastRenderedPageBreak/>
        <w:t xml:space="preserve">hexazinone loads (48 % of total). </w:t>
      </w:r>
      <w:r w:rsidR="00F5466A">
        <w:t>Similarly to the previous year, t</w:t>
      </w:r>
      <w:r>
        <w:t>he largest annual load of tebuthiuron (</w:t>
      </w:r>
      <w:r w:rsidR="00F5466A">
        <w:t xml:space="preserve">390 </w:t>
      </w:r>
      <w:r>
        <w:t>kg) was derived from the Fitzroy River, which has historically been the largest contributor of tebuthiuron loads. The profiles of PSII herbicides loads varies significantly between catchments and reflects the known land uses occurring within the monitored catchment (e.g. increased tebuthiuron loads in catchments with high proportion</w:t>
      </w:r>
      <w:r w:rsidR="005D4778">
        <w:t>s</w:t>
      </w:r>
      <w:r>
        <w:t xml:space="preserve"> of grazing activities)</w:t>
      </w:r>
      <w:r w:rsidR="00807AA9">
        <w:t xml:space="preserve"> (Figure 8)</w:t>
      </w:r>
      <w:r>
        <w:t xml:space="preserve">. </w:t>
      </w:r>
    </w:p>
    <w:p w14:paraId="39A010B4" w14:textId="77777777" w:rsidR="0059608E" w:rsidRDefault="0059608E" w:rsidP="006130D4">
      <w:pPr>
        <w:tabs>
          <w:tab w:val="left" w:pos="10065"/>
        </w:tabs>
        <w:spacing w:line="360" w:lineRule="auto"/>
      </w:pPr>
    </w:p>
    <w:p w14:paraId="4CADA6D3" w14:textId="2E6ECBAC" w:rsidR="0059608E" w:rsidRDefault="0059608E" w:rsidP="006130D4">
      <w:pPr>
        <w:tabs>
          <w:tab w:val="left" w:pos="10065"/>
        </w:tabs>
        <w:spacing w:line="360" w:lineRule="auto"/>
      </w:pPr>
      <w:r>
        <w:t>A</w:t>
      </w:r>
      <w:r w:rsidR="00EB2A15">
        <w:t xml:space="preserve">n expanded suite of </w:t>
      </w:r>
      <w:r w:rsidR="00807AA9">
        <w:t>additional</w:t>
      </w:r>
      <w:r>
        <w:t xml:space="preserve"> PSII herbicides, herbicide metabolites and emerging ‘alternative’ pesticides and herbicides were also monitored as part of the program. Of the additional chemicals, </w:t>
      </w:r>
      <w:r w:rsidR="00C2404E">
        <w:t xml:space="preserve">metolachlor (570 kg), imidacloprid (310 kg) and 2,4-D (300 kg) had the highest monitored loads. </w:t>
      </w:r>
      <w:r w:rsidR="00B04CEC">
        <w:t>The Fitzroy River contributed the highest loads of both metolachlor (440 kg) and 2,4-D (50 kg)</w:t>
      </w:r>
      <w:r w:rsidR="00CD61CC">
        <w:t xml:space="preserve"> whereas the Tully River contributed almost half (120 kg) of the total monitored load of imidacloprid. </w:t>
      </w:r>
      <w:r w:rsidR="004119AE">
        <w:t xml:space="preserve">Similarly to the previous year, </w:t>
      </w:r>
      <w:r>
        <w:t>Sandy Creek in the Plane catchment had the highest number of additional chemicals detected (</w:t>
      </w:r>
      <w:r w:rsidR="004119AE">
        <w:t>19</w:t>
      </w:r>
      <w:r>
        <w:t>) with Barratta Creek in the Haughton catchment having the second highest (</w:t>
      </w:r>
      <w:r w:rsidR="004119AE">
        <w:t>16</w:t>
      </w:r>
      <w:r>
        <w:t>).</w:t>
      </w:r>
    </w:p>
    <w:p w14:paraId="3CE5D9E6" w14:textId="77777777" w:rsidR="0059608E" w:rsidRDefault="0059608E" w:rsidP="006130D4">
      <w:pPr>
        <w:tabs>
          <w:tab w:val="left" w:pos="10065"/>
        </w:tabs>
        <w:spacing w:line="360" w:lineRule="auto"/>
      </w:pPr>
    </w:p>
    <w:p w14:paraId="58E51FF3" w14:textId="6B884A1E" w:rsidR="0059608E" w:rsidRPr="00A032A4" w:rsidRDefault="00CD1EAB" w:rsidP="006130D4">
      <w:pPr>
        <w:tabs>
          <w:tab w:val="left" w:pos="10065"/>
        </w:tabs>
        <w:spacing w:line="360" w:lineRule="auto"/>
      </w:pPr>
      <w:r>
        <w:object w:dxaOrig="14825" w:dyaOrig="10771" w14:anchorId="66E85F1A">
          <v:shape id="_x0000_i1026" type="#_x0000_t75" alt="Figure 8 Historical PSII herbicide loads from monitored Reef catchment rivers (2009 – 2015)" style="width:524.25pt;height:379.5pt;mso-position-vertical:absolute" o:ole="">
            <v:imagedata r:id="rId31" o:title=""/>
          </v:shape>
          <o:OLEObject Type="Embed" ProgID="Prism7.Document" ShapeID="_x0000_i1026" DrawAspect="Content" ObjectID="_1536570139" r:id="rId32"/>
        </w:object>
      </w:r>
      <w:r w:rsidR="004119AE" w:rsidRPr="00A032A4" w:rsidDel="004119AE">
        <w:rPr>
          <w:noProof/>
          <w:lang w:val="en-AU" w:eastAsia="en-AU" w:bidi="ar-SA"/>
        </w:rPr>
        <w:t xml:space="preserve"> </w:t>
      </w:r>
    </w:p>
    <w:p w14:paraId="69078D7C" w14:textId="6690496C" w:rsidR="0059608E" w:rsidRPr="00A032A4" w:rsidRDefault="0059608E" w:rsidP="006130D4">
      <w:pPr>
        <w:jc w:val="center"/>
        <w:rPr>
          <w:bCs/>
          <w:sz w:val="18"/>
          <w:szCs w:val="18"/>
        </w:rPr>
      </w:pPr>
      <w:bookmarkStart w:id="410" w:name="_Toc462399468"/>
      <w:r w:rsidRPr="00A032A4">
        <w:rPr>
          <w:b/>
          <w:bCs/>
          <w:sz w:val="18"/>
          <w:szCs w:val="18"/>
        </w:rPr>
        <w:t xml:space="preserve">Figure </w:t>
      </w:r>
      <w:r w:rsidRPr="00A032A4">
        <w:rPr>
          <w:b/>
          <w:bCs/>
          <w:sz w:val="18"/>
          <w:szCs w:val="18"/>
        </w:rPr>
        <w:fldChar w:fldCharType="begin"/>
      </w:r>
      <w:r w:rsidRPr="00A032A4">
        <w:rPr>
          <w:b/>
          <w:bCs/>
          <w:sz w:val="18"/>
          <w:szCs w:val="18"/>
        </w:rPr>
        <w:instrText xml:space="preserve"> SEQ Figure \* ARABIC </w:instrText>
      </w:r>
      <w:r w:rsidRPr="00A032A4">
        <w:rPr>
          <w:b/>
          <w:bCs/>
          <w:sz w:val="18"/>
          <w:szCs w:val="18"/>
        </w:rPr>
        <w:fldChar w:fldCharType="separate"/>
      </w:r>
      <w:r w:rsidR="00E51A34">
        <w:rPr>
          <w:b/>
          <w:bCs/>
          <w:noProof/>
          <w:sz w:val="18"/>
          <w:szCs w:val="18"/>
        </w:rPr>
        <w:t>8</w:t>
      </w:r>
      <w:r w:rsidRPr="00A032A4">
        <w:rPr>
          <w:b/>
          <w:bCs/>
          <w:noProof/>
          <w:sz w:val="18"/>
          <w:szCs w:val="18"/>
        </w:rPr>
        <w:fldChar w:fldCharType="end"/>
      </w:r>
      <w:r w:rsidRPr="00A032A4">
        <w:rPr>
          <w:b/>
          <w:bCs/>
          <w:sz w:val="18"/>
          <w:szCs w:val="18"/>
        </w:rPr>
        <w:t xml:space="preserve"> Historical PSII herbicide loads from </w:t>
      </w:r>
      <w:r>
        <w:rPr>
          <w:b/>
          <w:bCs/>
          <w:sz w:val="18"/>
          <w:szCs w:val="18"/>
        </w:rPr>
        <w:t>monitored</w:t>
      </w:r>
      <w:r w:rsidRPr="00A032A4">
        <w:rPr>
          <w:b/>
          <w:bCs/>
          <w:sz w:val="18"/>
          <w:szCs w:val="18"/>
        </w:rPr>
        <w:t xml:space="preserve"> </w:t>
      </w:r>
      <w:r>
        <w:rPr>
          <w:b/>
          <w:bCs/>
          <w:sz w:val="18"/>
          <w:szCs w:val="18"/>
        </w:rPr>
        <w:t>Reef catchment</w:t>
      </w:r>
      <w:r w:rsidRPr="00A032A4">
        <w:rPr>
          <w:b/>
          <w:bCs/>
          <w:sz w:val="18"/>
          <w:szCs w:val="18"/>
        </w:rPr>
        <w:t xml:space="preserve"> rivers (2009 – 201</w:t>
      </w:r>
      <w:r w:rsidR="005D4778">
        <w:rPr>
          <w:b/>
          <w:bCs/>
          <w:sz w:val="18"/>
          <w:szCs w:val="18"/>
        </w:rPr>
        <w:t>5</w:t>
      </w:r>
      <w:r w:rsidRPr="00A032A4">
        <w:rPr>
          <w:b/>
          <w:bCs/>
          <w:sz w:val="18"/>
          <w:szCs w:val="18"/>
        </w:rPr>
        <w:t>)</w:t>
      </w:r>
      <w:bookmarkEnd w:id="410"/>
    </w:p>
    <w:p w14:paraId="61CBB093" w14:textId="485D9D0F" w:rsidR="0059608E" w:rsidRPr="00A032A4" w:rsidRDefault="0059608E" w:rsidP="006130D4">
      <w:pPr>
        <w:jc w:val="center"/>
        <w:rPr>
          <w:sz w:val="18"/>
        </w:rPr>
      </w:pPr>
      <w:r w:rsidRPr="00A032A4">
        <w:rPr>
          <w:sz w:val="18"/>
        </w:rPr>
        <w:t>Data collated from GBRCLMP reports (Turner et al. 2012, Turner et al. 2013, Wallace et al. 2014, Garzon-Garcia et al. 2015</w:t>
      </w:r>
      <w:r w:rsidR="005D4778">
        <w:rPr>
          <w:sz w:val="18"/>
        </w:rPr>
        <w:t>,</w:t>
      </w:r>
      <w:r w:rsidR="005D4778" w:rsidRPr="00A032A4">
        <w:rPr>
          <w:sz w:val="18"/>
        </w:rPr>
        <w:t xml:space="preserve"> </w:t>
      </w:r>
      <w:r w:rsidRPr="00A032A4">
        <w:rPr>
          <w:sz w:val="18"/>
        </w:rPr>
        <w:t>Wallace et al. 2015</w:t>
      </w:r>
      <w:r w:rsidR="005D4778">
        <w:rPr>
          <w:sz w:val="18"/>
        </w:rPr>
        <w:t>, Wallace et al. 2016</w:t>
      </w:r>
      <w:r w:rsidRPr="00A032A4">
        <w:rPr>
          <w:sz w:val="18"/>
        </w:rPr>
        <w:t>)</w:t>
      </w:r>
    </w:p>
    <w:p w14:paraId="5E41F222" w14:textId="77777777" w:rsidR="0059608E" w:rsidRDefault="0059608E" w:rsidP="0059608E">
      <w:pPr>
        <w:pStyle w:val="Heading3"/>
        <w:numPr>
          <w:ilvl w:val="2"/>
          <w:numId w:val="2"/>
        </w:numPr>
      </w:pPr>
      <w:bookmarkStart w:id="411" w:name="_Toc461457767"/>
      <w:bookmarkStart w:id="412" w:name="_Toc462651948"/>
      <w:r>
        <w:t>Land use</w:t>
      </w:r>
      <w:bookmarkEnd w:id="411"/>
      <w:bookmarkEnd w:id="412"/>
    </w:p>
    <w:p w14:paraId="22F2F06C" w14:textId="0D1183CE" w:rsidR="009C1453" w:rsidRDefault="0059608E" w:rsidP="006130D4">
      <w:pPr>
        <w:spacing w:line="360" w:lineRule="auto"/>
        <w:rPr>
          <w:lang w:val="en-GB" w:eastAsia="en-AU"/>
        </w:rPr>
      </w:pPr>
      <w:r>
        <w:rPr>
          <w:lang w:val="en-GB" w:eastAsia="en-AU"/>
        </w:rPr>
        <w:lastRenderedPageBreak/>
        <w:t>A wide range of land uses occur in the Reef catchments, with great diversity between NRM regions (</w:t>
      </w:r>
      <w:r w:rsidR="00807AA9">
        <w:rPr>
          <w:lang w:val="en-GB" w:eastAsia="en-AU"/>
        </w:rPr>
        <w:t xml:space="preserve">Figure 9; </w:t>
      </w:r>
      <w:r>
        <w:rPr>
          <w:lang w:val="en-GB" w:eastAsia="en-AU"/>
        </w:rPr>
        <w:t xml:space="preserve">Appendix </w:t>
      </w:r>
      <w:r w:rsidR="00806B12">
        <w:rPr>
          <w:lang w:val="en-GB" w:eastAsia="en-AU"/>
        </w:rPr>
        <w:t>H, Figure A37</w:t>
      </w:r>
      <w:r>
        <w:rPr>
          <w:lang w:val="en-GB" w:eastAsia="en-AU"/>
        </w:rPr>
        <w:t>).</w:t>
      </w:r>
      <w:r w:rsidR="009C1453">
        <w:rPr>
          <w:lang w:val="en-GB" w:eastAsia="en-AU"/>
        </w:rPr>
        <w:br w:type="page"/>
      </w:r>
    </w:p>
    <w:p w14:paraId="73FA1CB9" w14:textId="4B2EB6CD" w:rsidR="0059608E" w:rsidRDefault="009C1453" w:rsidP="009C1453">
      <w:pPr>
        <w:rPr>
          <w:lang w:val="en-GB" w:eastAsia="en-AU"/>
        </w:rPr>
      </w:pPr>
      <w:r>
        <w:rPr>
          <w:noProof/>
          <w:lang w:val="en-AU" w:eastAsia="en-AU" w:bidi="ar-SA"/>
        </w:rPr>
        <w:lastRenderedPageBreak/>
        <w:drawing>
          <wp:inline distT="0" distB="0" distL="0" distR="0" wp14:anchorId="5A27AC30" wp14:editId="176A5561">
            <wp:extent cx="6103970" cy="8829675"/>
            <wp:effectExtent l="0" t="0" r="0" b="0"/>
            <wp:docPr id="5" name="Picture 5" descr="A map and pie graphs showing the different types of land use in the six natural resource management areas in the Great Barrier Reef catchment.  The most recent information on land use north of Cooktown is from 1999. The most recent information on land use south of Cooktown is from 2009.  The predominant land uses north of Cooktown are conservation and grazing.  The predominant land use south of Cooktown is grazing.  Other significant land uses south of Cooktown include conservation, horticulture and forestry." title=" Land use in the Great Barrier Reef catchment , 2009 and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6_Landuse1999_2009_PieGraphs.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106495" cy="8833327"/>
                    </a:xfrm>
                    <a:prstGeom prst="rect">
                      <a:avLst/>
                    </a:prstGeom>
                  </pic:spPr>
                </pic:pic>
              </a:graphicData>
            </a:graphic>
          </wp:inline>
        </w:drawing>
      </w:r>
    </w:p>
    <w:p w14:paraId="5CFE328E" w14:textId="2093E9FA" w:rsidR="00D35437" w:rsidRDefault="00D35437" w:rsidP="009C1453"/>
    <w:p w14:paraId="1EE64AD4" w14:textId="77777777" w:rsidR="0059608E" w:rsidRDefault="00D35437" w:rsidP="00D35437">
      <w:pPr>
        <w:pStyle w:val="Caption"/>
        <w:jc w:val="center"/>
      </w:pPr>
      <w:bookmarkStart w:id="413" w:name="_Toc462399469"/>
      <w:r>
        <w:t xml:space="preserve">Figure </w:t>
      </w:r>
      <w:r>
        <w:fldChar w:fldCharType="begin"/>
      </w:r>
      <w:r>
        <w:instrText xml:space="preserve"> SEQ Figure \* ARABIC </w:instrText>
      </w:r>
      <w:r>
        <w:fldChar w:fldCharType="separate"/>
      </w:r>
      <w:r w:rsidR="00E51A34">
        <w:rPr>
          <w:noProof/>
        </w:rPr>
        <w:t>9</w:t>
      </w:r>
      <w:r>
        <w:fldChar w:fldCharType="end"/>
      </w:r>
      <w:r>
        <w:t xml:space="preserve"> Land use in the Reef catchments.</w:t>
      </w:r>
      <w:bookmarkEnd w:id="413"/>
    </w:p>
    <w:p w14:paraId="03D1674F" w14:textId="77777777" w:rsidR="00D35437" w:rsidRPr="00D35437" w:rsidRDefault="00EC64C3" w:rsidP="00EC64C3">
      <w:pPr>
        <w:jc w:val="center"/>
        <w:rPr>
          <w:sz w:val="18"/>
        </w:rPr>
      </w:pPr>
      <w:r>
        <w:rPr>
          <w:sz w:val="18"/>
        </w:rPr>
        <w:t xml:space="preserve">Source: </w:t>
      </w:r>
      <w:r>
        <w:rPr>
          <w:sz w:val="18"/>
        </w:rPr>
        <w:fldChar w:fldCharType="begin"/>
      </w:r>
      <w:r>
        <w:rPr>
          <w:sz w:val="18"/>
        </w:rPr>
        <w:instrText xml:space="preserve"> ADDIN EN.CITE &lt;EndNote&gt;&lt;Cite&gt;&lt;Author&gt;GBRMPA&lt;/Author&gt;&lt;Year&gt;2014&lt;/Year&gt;&lt;RecNum&gt;284&lt;/RecNum&gt;&lt;DisplayText&gt;(GBRMPA, 2014)&lt;/DisplayText&gt;&lt;record&gt;&lt;rec-number&gt;284&lt;/rec-number&gt;&lt;foreign-keys&gt;&lt;key app="EN" db-id="0zzrztwe5p59skesdrqpsfeu2s0xt5zd5v9p" timestamp="1466319249"&gt;284&lt;/key&gt;&lt;/foreign-keys&gt;&lt;ref-type name="Report"&gt;27&lt;/ref-type&gt;&lt;contributors&gt;&lt;authors&gt;&lt;author&gt;GBRMPA&lt;/author&gt;&lt;/authors&gt;&lt;/contributors&gt;&lt;titles&gt;&lt;title&gt;Great Barrier Reef Outlook Report 2014&lt;/title&gt;&lt;/titles&gt;&lt;dates&gt;&lt;year&gt;2014&lt;/year&gt;&lt;/dates&gt;&lt;pub-location&gt;Great Barrier Reef Marine Park Authority, Townsville&lt;/pub-location&gt;&lt;urls&gt;&lt;/urls&gt;&lt;/record&gt;&lt;/Cite&gt;&lt;/EndNote&gt;</w:instrText>
      </w:r>
      <w:r>
        <w:rPr>
          <w:sz w:val="18"/>
        </w:rPr>
        <w:fldChar w:fldCharType="separate"/>
      </w:r>
      <w:r>
        <w:rPr>
          <w:noProof/>
          <w:sz w:val="18"/>
        </w:rPr>
        <w:t>(GBRMPA, 2014)</w:t>
      </w:r>
      <w:r>
        <w:rPr>
          <w:sz w:val="18"/>
        </w:rPr>
        <w:fldChar w:fldCharType="end"/>
      </w:r>
    </w:p>
    <w:p w14:paraId="080E5B1C" w14:textId="3CF7FDA9" w:rsidR="0059608E" w:rsidRPr="00013167" w:rsidRDefault="0059608E" w:rsidP="006130D4">
      <w:pPr>
        <w:spacing w:line="360" w:lineRule="auto"/>
        <w:rPr>
          <w:lang w:val="en-GB" w:eastAsia="en-AU"/>
        </w:rPr>
      </w:pPr>
      <w:bookmarkStart w:id="414" w:name="OLE_LINK11"/>
      <w:r>
        <w:rPr>
          <w:lang w:val="en-GB" w:eastAsia="en-AU"/>
        </w:rPr>
        <w:lastRenderedPageBreak/>
        <w:t xml:space="preserve">Certain regions and/or smaller coastal catchments can represent areas of higher localised risk of pesticide run-off due to high rainfall as well as the intensity and nature of agricultural activities (such as sugar cane cropping) occurring in coastal areas </w:t>
      </w:r>
      <w:r w:rsidR="00D54AF8">
        <w:rPr>
          <w:lang w:val="en-GB" w:eastAsia="en-AU"/>
        </w:rPr>
        <w:fldChar w:fldCharType="begin"/>
      </w:r>
      <w:r w:rsidR="00D54AF8">
        <w:rPr>
          <w:lang w:val="en-GB" w:eastAsia="en-AU"/>
        </w:rPr>
        <w:instrText xml:space="preserve"> ADDIN EN.CITE &lt;EndNote&gt;&lt;Cite&gt;&lt;Author&gt;Brodie&lt;/Author&gt;&lt;Year&gt;2013&lt;/Year&gt;&lt;RecNum&gt;332&lt;/RecNum&gt;&lt;DisplayText&gt;(Brodie et al., 2013)&lt;/DisplayText&gt;&lt;record&gt;&lt;rec-number&gt;332&lt;/rec-number&gt;&lt;foreign-keys&gt;&lt;key app="EN" db-id="0zzrztwe5p59skesdrqpsfeu2s0xt5zd5v9p" timestamp="1466578719"&gt;332&lt;/key&gt;&lt;/foreign-keys&gt;&lt;ref-type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D54AF8">
        <w:rPr>
          <w:lang w:val="en-GB" w:eastAsia="en-AU"/>
        </w:rPr>
        <w:fldChar w:fldCharType="separate"/>
      </w:r>
      <w:r w:rsidR="00D54AF8">
        <w:rPr>
          <w:noProof/>
          <w:lang w:val="en-GB" w:eastAsia="en-AU"/>
        </w:rPr>
        <w:t>(Brodie et al., 2013)</w:t>
      </w:r>
      <w:r w:rsidR="00D54AF8">
        <w:rPr>
          <w:lang w:val="en-GB" w:eastAsia="en-AU"/>
        </w:rPr>
        <w:fldChar w:fldCharType="end"/>
      </w:r>
      <w:bookmarkEnd w:id="414"/>
      <w:r w:rsidR="00D54AF8">
        <w:rPr>
          <w:lang w:val="en-GB" w:eastAsia="en-AU"/>
        </w:rPr>
        <w:t>.</w:t>
      </w:r>
      <w:r w:rsidR="00806B12">
        <w:rPr>
          <w:lang w:val="en-GB" w:eastAsia="en-AU"/>
        </w:rPr>
        <w:t xml:space="preserve"> </w:t>
      </w:r>
      <w:r>
        <w:rPr>
          <w:lang w:val="en-GB" w:eastAsia="en-AU"/>
        </w:rPr>
        <w:t>In total, 80</w:t>
      </w:r>
      <w:r w:rsidR="003C20CC">
        <w:rPr>
          <w:lang w:val="en-GB" w:eastAsia="en-AU"/>
        </w:rPr>
        <w:t xml:space="preserve"> </w:t>
      </w:r>
      <w:r>
        <w:rPr>
          <w:lang w:val="en-GB" w:eastAsia="en-AU"/>
        </w:rPr>
        <w:t>% of the Reef catchments support agricultural activities with cattle grazing the most extensive land use,  particularly in the drier Burdekin and Fitzroy regions of which 90 % and 77% respectively are uti</w:t>
      </w:r>
      <w:r w:rsidR="00027377">
        <w:rPr>
          <w:lang w:val="en-GB" w:eastAsia="en-AU"/>
        </w:rPr>
        <w:t>li</w:t>
      </w:r>
      <w:r>
        <w:rPr>
          <w:lang w:val="en-GB" w:eastAsia="en-AU"/>
        </w:rPr>
        <w:t>sed for this purpose</w:t>
      </w:r>
      <w:r w:rsidR="00027377">
        <w:rPr>
          <w:lang w:val="en-GB" w:eastAsia="en-AU"/>
        </w:rPr>
        <w:t xml:space="preserve"> </w:t>
      </w:r>
      <w:r w:rsidR="00027377">
        <w:rPr>
          <w:lang w:val="en-GB" w:eastAsia="en-AU"/>
        </w:rPr>
        <w:fldChar w:fldCharType="begin"/>
      </w:r>
      <w:r w:rsidR="00027377">
        <w:rPr>
          <w:lang w:val="en-GB" w:eastAsia="en-AU"/>
        </w:rPr>
        <w:instrText xml:space="preserve"> ADDIN EN.CITE &lt;EndNote&gt;&lt;Cite&gt;&lt;Author&gt;DSITIA&lt;/Author&gt;&lt;Year&gt;2012&lt;/Year&gt;&lt;RecNum&gt;293&lt;/RecNum&gt;&lt;DisplayText&gt;(DSITIA, 2012c, DSITIA, 2012a)&lt;/DisplayText&gt;&lt;record&gt;&lt;rec-number&gt;293&lt;/rec-number&gt;&lt;foreign-keys&gt;&lt;key app="EN" db-id="0zzrztwe5p59skesdrqpsfeu2s0xt5zd5v9p" timestamp="1466321055"&gt;293&lt;/key&gt;&lt;/foreign-keys&gt;&lt;ref-type name="Report"&gt;27&lt;/ref-type&gt;&lt;contributors&gt;&lt;authors&gt;&lt;author&gt;DSITIA&lt;/author&gt;&lt;/authors&gt;&lt;/contributors&gt;&lt;titles&gt;&lt;title&gt;Land use summary 1999–2009: Burdekin NRM region&lt;/title&gt;&lt;/titles&gt;&lt;dates&gt;&lt;year&gt;2012&lt;/year&gt;&lt;/dates&gt;&lt;pub-location&gt;Queensland Department of Science, Information Technology, Innovation and the Arts, Brisbane.&lt;/pub-location&gt;&lt;urls&gt;&lt;/urls&gt;&lt;/record&gt;&lt;/Cite&gt;&lt;Cite&gt;&lt;Author&gt;DSITIA&lt;/Author&gt;&lt;Year&gt;2012&lt;/Year&gt;&lt;RecNum&gt;330&lt;/RecNum&gt;&lt;record&gt;&lt;rec-number&gt;330&lt;/rec-number&gt;&lt;foreign-keys&gt;&lt;key app="EN" db-id="0zzrztwe5p59skesdrqpsfeu2s0xt5zd5v9p" timestamp="1466577723"&gt;330&lt;/key&gt;&lt;/foreign-keys&gt;&lt;ref-type name="Report"&gt;27&lt;/ref-type&gt;&lt;contributors&gt;&lt;authors&gt;&lt;author&gt;DSITIA&lt;/author&gt;&lt;/authors&gt;&lt;/contributors&gt;&lt;titles&gt;&lt;title&gt;Land use summary 1999–2009 for the Fitzroy NRM region&lt;/title&gt;&lt;/titles&gt;&lt;dates&gt;&lt;year&gt;2012&lt;/year&gt;&lt;/dates&gt;&lt;pub-location&gt;Queensland Department of Science, Information Technology, Innovation and the Arts, Brisbane.&lt;/pub-location&gt;&lt;urls&gt;&lt;/urls&gt;&lt;/record&gt;&lt;/Cite&gt;&lt;/EndNote&gt;</w:instrText>
      </w:r>
      <w:r w:rsidR="00027377">
        <w:rPr>
          <w:lang w:val="en-GB" w:eastAsia="en-AU"/>
        </w:rPr>
        <w:fldChar w:fldCharType="separate"/>
      </w:r>
      <w:r w:rsidR="00027377">
        <w:rPr>
          <w:noProof/>
          <w:lang w:val="en-GB" w:eastAsia="en-AU"/>
        </w:rPr>
        <w:t>(DSITIA, 2012c, DSITIA, 2012a)</w:t>
      </w:r>
      <w:r w:rsidR="00027377">
        <w:rPr>
          <w:lang w:val="en-GB" w:eastAsia="en-AU"/>
        </w:rPr>
        <w:fldChar w:fldCharType="end"/>
      </w:r>
      <w:r>
        <w:rPr>
          <w:lang w:val="en-GB" w:eastAsia="en-AU"/>
        </w:rPr>
        <w:t>. The Wet Tropics and Mackay Whitsunday regions also have grazing activities (31</w:t>
      </w:r>
      <w:r w:rsidR="003C20CC">
        <w:rPr>
          <w:lang w:val="en-GB" w:eastAsia="en-AU"/>
        </w:rPr>
        <w:t xml:space="preserve"> </w:t>
      </w:r>
      <w:r>
        <w:rPr>
          <w:lang w:val="en-GB" w:eastAsia="en-AU"/>
        </w:rPr>
        <w:t>% and 42</w:t>
      </w:r>
      <w:r w:rsidR="003C20CC">
        <w:rPr>
          <w:lang w:val="en-GB" w:eastAsia="en-AU"/>
        </w:rPr>
        <w:t xml:space="preserve"> </w:t>
      </w:r>
      <w:r>
        <w:rPr>
          <w:lang w:val="en-GB" w:eastAsia="en-AU"/>
        </w:rPr>
        <w:t>% respectively) however other uses such as nature conservation (33</w:t>
      </w:r>
      <w:r w:rsidR="003C20CC">
        <w:rPr>
          <w:lang w:val="en-GB" w:eastAsia="en-AU"/>
        </w:rPr>
        <w:t xml:space="preserve"> </w:t>
      </w:r>
      <w:r>
        <w:rPr>
          <w:lang w:val="en-GB" w:eastAsia="en-AU"/>
        </w:rPr>
        <w:t>% of land use in the Wet Tropics) and irrigated cropping (sugarcane) (18% of land use in the Mackay Whitsundays) are also significant</w:t>
      </w:r>
      <w:r w:rsidR="00027377">
        <w:rPr>
          <w:lang w:val="en-GB" w:eastAsia="en-AU"/>
        </w:rPr>
        <w:t xml:space="preserve"> </w:t>
      </w:r>
      <w:r w:rsidR="00027377">
        <w:rPr>
          <w:lang w:val="en-GB" w:eastAsia="en-AU"/>
        </w:rPr>
        <w:fldChar w:fldCharType="begin"/>
      </w:r>
      <w:r w:rsidR="00D4195D">
        <w:rPr>
          <w:lang w:val="en-GB" w:eastAsia="en-AU"/>
        </w:rPr>
        <w:instrText xml:space="preserve"> ADDIN EN.CITE &lt;EndNote&gt;&lt;Cite&gt;&lt;Author&gt;DSITIA&lt;/Author&gt;&lt;Year&gt;2012&lt;/Year&gt;&lt;RecNum&gt;329&lt;/RecNum&gt;&lt;DisplayText&gt;(DSITIA, 2012e, DSITIA, 2012b)&lt;/DisplayText&gt;&lt;record&gt;&lt;rec-number&gt;329&lt;/rec-number&gt;&lt;foreign-keys&gt;&lt;key app="EN" db-id="0zzrztwe5p59skesdrqpsfeu2s0xt5zd5v9p" timestamp="1466577635"&gt;329&lt;/key&gt;&lt;/foreign-keys&gt;&lt;ref-type name="Report"&gt;27&lt;/ref-type&gt;&lt;contributors&gt;&lt;authors&gt;&lt;author&gt;DSITIA&lt;/author&gt;&lt;/authors&gt;&lt;/contributors&gt;&lt;titles&gt;&lt;title&gt;Land use Summary 1999–2009: Mackay–Whitsunday NRM Region&lt;/title&gt;&lt;/titles&gt;&lt;dates&gt;&lt;year&gt;2012&lt;/year&gt;&lt;/dates&gt;&lt;pub-location&gt;Queensland Department of Science, Information Technology, Innovation and the Arts, Brisbane.&lt;/pub-location&gt;&lt;urls&gt;&lt;/urls&gt;&lt;/record&gt;&lt;/Cite&gt;&lt;Cite&gt;&lt;Author&gt;DSITIA&lt;/Author&gt;&lt;Year&gt;2012&lt;/Year&gt;&lt;RecNum&gt;328&lt;/RecNum&gt;&lt;record&gt;&lt;rec-number&gt;328&lt;/rec-number&gt;&lt;foreign-keys&gt;&lt;key app="EN" db-id="0zzrztwe5p59skesdrqpsfeu2s0xt5zd5v9p" timestamp="1466577332"&gt;328&lt;/key&gt;&lt;/foreign-keys&gt;&lt;ref-type name="Report"&gt;27&lt;/ref-type&gt;&lt;contributors&gt;&lt;authors&gt;&lt;author&gt;DSITIA&lt;/author&gt;&lt;/authors&gt;&lt;/contributors&gt;&lt;titles&gt;&lt;title&gt;Land use summary 1999–2009 for the Wet Tropics NRM region&lt;/title&gt;&lt;/titles&gt;&lt;dates&gt;&lt;year&gt;2012&lt;/year&gt;&lt;/dates&gt;&lt;pub-location&gt;Queensland Department of Science, Information Technology, Innovation and the Arts, Brisbane.&lt;/pub-location&gt;&lt;urls&gt;&lt;/urls&gt;&lt;/record&gt;&lt;/Cite&gt;&lt;/EndNote&gt;</w:instrText>
      </w:r>
      <w:r w:rsidR="00027377">
        <w:rPr>
          <w:lang w:val="en-GB" w:eastAsia="en-AU"/>
        </w:rPr>
        <w:fldChar w:fldCharType="separate"/>
      </w:r>
      <w:r w:rsidR="00D4195D">
        <w:rPr>
          <w:noProof/>
          <w:lang w:val="en-GB" w:eastAsia="en-AU"/>
        </w:rPr>
        <w:t>(DSITIA, 2012e, DSITIA, 2012b)</w:t>
      </w:r>
      <w:r w:rsidR="00027377">
        <w:rPr>
          <w:lang w:val="en-GB" w:eastAsia="en-AU"/>
        </w:rPr>
        <w:fldChar w:fldCharType="end"/>
      </w:r>
      <w:r>
        <w:rPr>
          <w:lang w:val="en-GB" w:eastAsia="en-AU"/>
        </w:rPr>
        <w:t xml:space="preserve">. </w:t>
      </w:r>
    </w:p>
    <w:p w14:paraId="29CA02BC" w14:textId="77777777" w:rsidR="0059608E" w:rsidRDefault="0059608E" w:rsidP="0059608E">
      <w:pPr>
        <w:pStyle w:val="Heading3"/>
        <w:numPr>
          <w:ilvl w:val="2"/>
          <w:numId w:val="2"/>
        </w:numPr>
      </w:pPr>
      <w:bookmarkStart w:id="415" w:name="_Toc461457768"/>
      <w:bookmarkStart w:id="416" w:name="_Toc462651949"/>
      <w:r>
        <w:t>Other pressures</w:t>
      </w:r>
      <w:bookmarkEnd w:id="415"/>
      <w:bookmarkEnd w:id="416"/>
    </w:p>
    <w:p w14:paraId="45D7BDAA" w14:textId="77777777" w:rsidR="0059608E" w:rsidRPr="00AB5384" w:rsidRDefault="0059608E" w:rsidP="006130D4">
      <w:pPr>
        <w:spacing w:line="360" w:lineRule="auto"/>
      </w:pPr>
      <w:r>
        <w:t>Following considerable paddock-scale research in the past five to ten years, the date of herbicide application, and timing of rainfall or irrigation following application continues to be one of the most critical factors in herbicide losses into waterways and subsequent detection in marine environments</w:t>
      </w:r>
      <w:r w:rsidR="008B0D5D">
        <w:t xml:space="preserve"> </w:t>
      </w:r>
      <w:r w:rsidR="008B0D5D">
        <w:fldChar w:fldCharType="begin"/>
      </w:r>
      <w:r w:rsidR="008B0D5D">
        <w:instrText xml:space="preserve"> ADDIN EN.CITE &lt;EndNote&gt;&lt;Cite&gt;&lt;Author&gt;Devlin&lt;/Author&gt;&lt;Year&gt;2015&lt;/Year&gt;&lt;RecNum&gt;341&lt;/RecNum&gt;&lt;DisplayText&gt;(Devlin et al., 2015)&lt;/DisplayText&gt;&lt;record&gt;&lt;rec-number&gt;341&lt;/rec-number&gt;&lt;foreign-keys&gt;&lt;key app="EN" db-id="0zzrztwe5p59skesdrqpsfeu2s0xt5zd5v9p" timestamp="1466642838"&gt;341&lt;/key&gt;&lt;/foreign-keys&gt;&lt;ref-type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8B0D5D">
        <w:fldChar w:fldCharType="separate"/>
      </w:r>
      <w:r w:rsidR="008B0D5D">
        <w:rPr>
          <w:noProof/>
        </w:rPr>
        <w:t>(Devlin et al., 2015)</w:t>
      </w:r>
      <w:r w:rsidR="008B0D5D">
        <w:fldChar w:fldCharType="end"/>
      </w:r>
      <w:r>
        <w:t>. However the proportion of run-off is additionally influenced by soil type, climate and overall farming systems (on</w:t>
      </w:r>
      <w:r>
        <w:rPr>
          <w:rFonts w:ascii="Cambria Math" w:hAnsi="Cambria Math" w:cs="Cambria Math"/>
        </w:rPr>
        <w:t>‐</w:t>
      </w:r>
      <w:r>
        <w:t xml:space="preserve">farm hygiene, timing of application and product selection, getting on top of weeds early in the plant crop cycle and precision/ targeted application) which differ between geographical regions and crop types. Further work to understand the persistence of herbicides under local tropical conditions is necessary to accurately predict the transport, fate and ecological risk to marine aquatic life, as Reef field data is limited </w:t>
      </w:r>
      <w:r w:rsidR="008B0D5D">
        <w:fldChar w:fldCharType="begin"/>
      </w:r>
      <w:r w:rsidR="008B0D5D">
        <w:instrText xml:space="preserve"> ADDIN EN.CITE &lt;EndNote&gt;&lt;Cite&gt;&lt;Author&gt;Smith&lt;/Author&gt;&lt;Year&gt;2015&lt;/Year&gt;&lt;RecNum&gt;307&lt;/RecNum&gt;&lt;DisplayText&gt;(Smith et al., 2015)&lt;/DisplayText&gt;&lt;record&gt;&lt;rec-number&gt;307&lt;/rec-number&gt;&lt;foreign-keys&gt;&lt;key app="EN" db-id="0zzrztwe5p59skesdrqpsfeu2s0xt5zd5v9p" timestamp="1466325031"&gt;307&lt;/key&gt;&lt;/foreign-keys&gt;&lt;ref-type name="Report"&gt;27&lt;/ref-type&gt;&lt;contributors&gt;&lt;authors&gt;&lt;author&gt;Smith, R.&lt;/author&gt;&lt;author&gt;Turner, R.&lt;/author&gt;&lt;author&gt;Vardy, S.&lt;/author&gt;&lt;author&gt;Huggins, R.&lt;/author&gt;&lt;author&gt;Wallace, R.&lt;/author&gt;&lt;author&gt;Warne, M. St J.&lt;/author&gt;&lt;/authors&gt;&lt;/contributors&gt;&lt;titles&gt;&lt;title&gt;An evaluation of the prevalence of alternate pesticides of environmental concern in Great Barrier Reef catchments: RP57C. &lt;/title&gt;&lt;/titles&gt;&lt;dates&gt;&lt;year&gt;2015&lt;/year&gt;&lt;/dates&gt;&lt;pub-location&gt;Department of Science, Information Technology, Innovation and the Arts. Brisbane&lt;/pub-location&gt;&lt;urls&gt;&lt;/urls&gt;&lt;/record&gt;&lt;/Cite&gt;&lt;/EndNote&gt;</w:instrText>
      </w:r>
      <w:r w:rsidR="008B0D5D">
        <w:fldChar w:fldCharType="separate"/>
      </w:r>
      <w:r w:rsidR="008B0D5D">
        <w:rPr>
          <w:noProof/>
        </w:rPr>
        <w:t>(Smith et al., 2015)</w:t>
      </w:r>
      <w:r w:rsidR="008B0D5D">
        <w:fldChar w:fldCharType="end"/>
      </w:r>
      <w:r>
        <w:t>.</w:t>
      </w:r>
    </w:p>
    <w:p w14:paraId="0093F4A9" w14:textId="77777777" w:rsidR="0059608E" w:rsidRPr="0062446E" w:rsidRDefault="0059608E" w:rsidP="006130D4">
      <w:pPr>
        <w:spacing w:line="276" w:lineRule="auto"/>
        <w:rPr>
          <w:rFonts w:cs="Arial"/>
          <w:lang w:val="en-AU"/>
        </w:rPr>
      </w:pPr>
    </w:p>
    <w:p w14:paraId="471D98F6" w14:textId="77777777" w:rsidR="0059608E" w:rsidRDefault="0059608E" w:rsidP="0059608E">
      <w:pPr>
        <w:pStyle w:val="Heading2"/>
        <w:numPr>
          <w:ilvl w:val="1"/>
          <w:numId w:val="2"/>
        </w:numPr>
        <w:ind w:left="567"/>
        <w:rPr>
          <w:lang w:val="en-AU"/>
        </w:rPr>
      </w:pPr>
      <w:bookmarkStart w:id="417" w:name="_Toc455069463"/>
      <w:bookmarkStart w:id="418" w:name="_Toc455070113"/>
      <w:bookmarkStart w:id="419" w:name="_Toc455070385"/>
      <w:bookmarkStart w:id="420" w:name="_Toc455151772"/>
      <w:bookmarkStart w:id="421" w:name="_Toc455069464"/>
      <w:bookmarkStart w:id="422" w:name="_Toc455070114"/>
      <w:bookmarkStart w:id="423" w:name="_Toc455070386"/>
      <w:bookmarkStart w:id="424" w:name="_Toc455151773"/>
      <w:bookmarkStart w:id="425" w:name="_Toc461457769"/>
      <w:bookmarkStart w:id="426" w:name="_Toc462651950"/>
      <w:bookmarkEnd w:id="417"/>
      <w:bookmarkEnd w:id="418"/>
      <w:bookmarkEnd w:id="419"/>
      <w:bookmarkEnd w:id="420"/>
      <w:bookmarkEnd w:id="421"/>
      <w:bookmarkEnd w:id="422"/>
      <w:bookmarkEnd w:id="423"/>
      <w:bookmarkEnd w:id="424"/>
      <w:r>
        <w:rPr>
          <w:lang w:val="en-AU"/>
        </w:rPr>
        <w:t>Reef-wide results 2014-2015</w:t>
      </w:r>
      <w:bookmarkEnd w:id="425"/>
      <w:bookmarkEnd w:id="426"/>
    </w:p>
    <w:p w14:paraId="5581FD98" w14:textId="77777777" w:rsidR="0059608E" w:rsidRDefault="0059608E" w:rsidP="0059608E">
      <w:pPr>
        <w:pStyle w:val="Heading3"/>
        <w:numPr>
          <w:ilvl w:val="2"/>
          <w:numId w:val="2"/>
        </w:numPr>
      </w:pPr>
      <w:bookmarkStart w:id="427" w:name="_Toc461457770"/>
      <w:bookmarkStart w:id="428" w:name="_Toc462651951"/>
      <w:r>
        <w:t>Fixed site passive sampler return record</w:t>
      </w:r>
      <w:bookmarkEnd w:id="427"/>
      <w:bookmarkEnd w:id="428"/>
    </w:p>
    <w:p w14:paraId="76EA888E" w14:textId="77777777" w:rsidR="0059608E" w:rsidRDefault="0059608E" w:rsidP="006130D4">
      <w:pPr>
        <w:spacing w:line="360" w:lineRule="auto"/>
        <w:rPr>
          <w:lang w:val="en-GB" w:eastAsia="en-AU"/>
        </w:rPr>
      </w:pPr>
      <w:r>
        <w:rPr>
          <w:lang w:val="en-GB" w:eastAsia="en-AU"/>
        </w:rPr>
        <w:t>This monitoring year, 83</w:t>
      </w:r>
      <w:r w:rsidR="001445C6">
        <w:rPr>
          <w:lang w:val="en-GB" w:eastAsia="en-AU"/>
        </w:rPr>
        <w:t xml:space="preserve"> </w:t>
      </w:r>
      <w:r>
        <w:rPr>
          <w:lang w:val="en-GB" w:eastAsia="en-AU"/>
        </w:rPr>
        <w:t xml:space="preserve">% of fixed site passive sampler sets sent to volunteers were successfully deployed and returned (Table </w:t>
      </w:r>
      <w:r w:rsidR="008A0FE9">
        <w:rPr>
          <w:lang w:val="en-GB" w:eastAsia="en-AU"/>
        </w:rPr>
        <w:t>5</w:t>
      </w:r>
      <w:r>
        <w:rPr>
          <w:lang w:val="en-GB" w:eastAsia="en-AU"/>
        </w:rPr>
        <w:t>). (In comparison, successful sampler returns for the two years previous were 75</w:t>
      </w:r>
      <w:r w:rsidR="001445C6">
        <w:rPr>
          <w:lang w:val="en-GB" w:eastAsia="en-AU"/>
        </w:rPr>
        <w:t xml:space="preserve"> </w:t>
      </w:r>
      <w:r>
        <w:rPr>
          <w:lang w:val="en-GB" w:eastAsia="en-AU"/>
        </w:rPr>
        <w:t>% and 84</w:t>
      </w:r>
      <w:r w:rsidR="001445C6">
        <w:rPr>
          <w:lang w:val="en-GB" w:eastAsia="en-AU"/>
        </w:rPr>
        <w:t xml:space="preserve"> </w:t>
      </w:r>
      <w:r>
        <w:rPr>
          <w:lang w:val="en-GB" w:eastAsia="en-AU"/>
        </w:rPr>
        <w:t xml:space="preserve">%). The remainder of samplers were unsuccessful for a number of reasons, but were typically as a result of a lost mooring following bad weather. Four sites (Green Island, Lucinda, Orpheus Island) had excellent sampling records in 2014-2015, with no missed deployments. </w:t>
      </w:r>
    </w:p>
    <w:p w14:paraId="1E85B5B6" w14:textId="77777777" w:rsidR="0059608E" w:rsidRDefault="0059608E" w:rsidP="006130D4">
      <w:pPr>
        <w:spacing w:line="360" w:lineRule="auto"/>
        <w:rPr>
          <w:lang w:val="en-GB" w:eastAsia="en-AU"/>
        </w:rPr>
      </w:pPr>
    </w:p>
    <w:p w14:paraId="0A98BFFE" w14:textId="77777777" w:rsidR="0059608E" w:rsidRDefault="0059608E" w:rsidP="006130D4">
      <w:pPr>
        <w:spacing w:line="360" w:lineRule="auto"/>
        <w:rPr>
          <w:lang w:val="en-AU" w:eastAsia="en-AU"/>
        </w:rPr>
      </w:pPr>
      <w:r>
        <w:rPr>
          <w:lang w:val="en-AU" w:eastAsia="en-AU"/>
        </w:rPr>
        <w:t>Due to various issues, Normanby Island had only three successful deployments in the wet season and none in the dry season</w:t>
      </w:r>
      <w:r w:rsidR="008A0FE9">
        <w:rPr>
          <w:lang w:val="en-AU" w:eastAsia="en-AU"/>
        </w:rPr>
        <w:t>,</w:t>
      </w:r>
      <w:r>
        <w:rPr>
          <w:lang w:val="en-AU" w:eastAsia="en-AU"/>
        </w:rPr>
        <w:t xml:space="preserve"> whilst only two successful deployments occurred at Barratta Creek mouth due to sampler losses and late return of equipment.  Both Outer Whitsunday and Sarina Inlet experienced several long deployments of samplers, and due to the late establishment of sites, only wet season sampling occurred at the new sites. There was only one sampler loss this year at the site located in the Fitzroy region.</w:t>
      </w:r>
    </w:p>
    <w:p w14:paraId="210A2195" w14:textId="77777777" w:rsidR="0059608E" w:rsidRDefault="0059608E" w:rsidP="006130D4">
      <w:pPr>
        <w:pStyle w:val="Caption"/>
        <w:spacing w:line="276" w:lineRule="auto"/>
        <w:jc w:val="center"/>
      </w:pPr>
      <w:r>
        <w:br w:type="page"/>
      </w:r>
    </w:p>
    <w:p w14:paraId="1CB70E59" w14:textId="77777777" w:rsidR="0059608E" w:rsidRDefault="0059608E" w:rsidP="006130D4">
      <w:pPr>
        <w:pStyle w:val="Caption"/>
        <w:spacing w:line="276" w:lineRule="auto"/>
        <w:jc w:val="center"/>
        <w:rPr>
          <w:lang w:val="en-AU"/>
        </w:rPr>
      </w:pPr>
      <w:bookmarkStart w:id="429" w:name="_Toc462652126"/>
      <w:r>
        <w:lastRenderedPageBreak/>
        <w:t xml:space="preserve">Table </w:t>
      </w:r>
      <w:r>
        <w:fldChar w:fldCharType="begin"/>
      </w:r>
      <w:r>
        <w:instrText xml:space="preserve"> SEQ Table \* ARABIC </w:instrText>
      </w:r>
      <w:r>
        <w:fldChar w:fldCharType="separate"/>
      </w:r>
      <w:r w:rsidR="00E51A34">
        <w:rPr>
          <w:noProof/>
        </w:rPr>
        <w:t>5</w:t>
      </w:r>
      <w:r>
        <w:rPr>
          <w:noProof/>
        </w:rPr>
        <w:fldChar w:fldCharType="end"/>
      </w:r>
      <w:r>
        <w:t xml:space="preserve"> </w:t>
      </w:r>
      <w:r w:rsidR="004A4184">
        <w:t>Passive s</w:t>
      </w:r>
      <w:r>
        <w:t>ampli</w:t>
      </w:r>
      <w:r>
        <w:rPr>
          <w:lang w:val="en-AU"/>
        </w:rPr>
        <w:t>ng return record for the 2014-2015 monitoring year</w:t>
      </w:r>
      <w:bookmarkEnd w:id="429"/>
    </w:p>
    <w:p w14:paraId="35AE2F2B" w14:textId="77777777" w:rsidR="0059608E" w:rsidRDefault="0059608E" w:rsidP="006130D4">
      <w:pPr>
        <w:spacing w:line="360" w:lineRule="auto"/>
        <w:jc w:val="center"/>
        <w:rPr>
          <w:lang w:val="en-AU" w:eastAsia="en-AU"/>
        </w:rPr>
      </w:pPr>
      <w:r w:rsidRPr="00784A44">
        <w:rPr>
          <w:noProof/>
          <w:lang w:val="en-AU" w:eastAsia="en-AU" w:bidi="ar-SA"/>
        </w:rPr>
        <w:drawing>
          <wp:inline distT="0" distB="0" distL="0" distR="0" wp14:anchorId="6FA2E5DD" wp14:editId="57593AA8">
            <wp:extent cx="5880538" cy="8952254"/>
            <wp:effectExtent l="19050" t="19050" r="25400" b="20320"/>
            <wp:docPr id="63" name="Picture 63" descr="Table 5 Passive sampling return record for the 2014-2015 monitoring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82694" cy="8955536"/>
                    </a:xfrm>
                    <a:prstGeom prst="rect">
                      <a:avLst/>
                    </a:prstGeom>
                    <a:noFill/>
                    <a:ln>
                      <a:solidFill>
                        <a:schemeClr val="tx1"/>
                      </a:solidFill>
                    </a:ln>
                  </pic:spPr>
                </pic:pic>
              </a:graphicData>
            </a:graphic>
          </wp:inline>
        </w:drawing>
      </w:r>
    </w:p>
    <w:p w14:paraId="76545F5B" w14:textId="77777777" w:rsidR="0059608E" w:rsidRDefault="0059608E" w:rsidP="0059608E">
      <w:pPr>
        <w:pStyle w:val="Heading3"/>
        <w:numPr>
          <w:ilvl w:val="2"/>
          <w:numId w:val="2"/>
        </w:numPr>
      </w:pPr>
      <w:bookmarkStart w:id="430" w:name="_Toc461457771"/>
      <w:bookmarkStart w:id="431" w:name="_Toc462651952"/>
      <w:r>
        <w:lastRenderedPageBreak/>
        <w:t>Reef-wide summary pesticide results</w:t>
      </w:r>
      <w:bookmarkEnd w:id="430"/>
      <w:bookmarkEnd w:id="431"/>
    </w:p>
    <w:p w14:paraId="1DDB24FD" w14:textId="77777777" w:rsidR="0059608E" w:rsidRDefault="0059608E" w:rsidP="006130D4">
      <w:pPr>
        <w:spacing w:line="360" w:lineRule="auto"/>
        <w:rPr>
          <w:lang w:val="en-AU"/>
        </w:rPr>
      </w:pPr>
      <w:r>
        <w:rPr>
          <w:lang w:val="en-AU"/>
        </w:rPr>
        <w:t>The PSII herbicides detected at inshore reef locations in the current monitoring year using EDs were ametryn, atrazine (and its breakdown products), bromacil (detected once only), diuron, hexazinone, prometryn (detected twice), simazine and tebuthiuron. Other non-PSII emerging ‘alternative’ herbicides detected were metolachlor, 2,4-D, MCPA, imidacloprid, propazine, haloxyfop (detected three times) and metribuzin (detected three times), and metsulfuron-methyl (detected twice). Fluazifop and imazapic were detected once only. Using PDMS samplers, chlorpyrifos, pendimethalin and propazine were frequently detected at all sites where samplers were deployed. Trifluralin was detected five</w:t>
      </w:r>
      <w:r w:rsidR="008A0FE9">
        <w:rPr>
          <w:lang w:val="en-AU"/>
        </w:rPr>
        <w:t xml:space="preserve"> times</w:t>
      </w:r>
      <w:r>
        <w:rPr>
          <w:lang w:val="en-AU"/>
        </w:rPr>
        <w:t xml:space="preserve">. </w:t>
      </w:r>
    </w:p>
    <w:p w14:paraId="7B26CC5B" w14:textId="77777777" w:rsidR="0059608E" w:rsidRDefault="0059608E" w:rsidP="006130D4">
      <w:pPr>
        <w:spacing w:line="360" w:lineRule="auto"/>
        <w:rPr>
          <w:lang w:val="en-AU"/>
        </w:rPr>
      </w:pPr>
    </w:p>
    <w:p w14:paraId="1A7AC615" w14:textId="77777777" w:rsidR="0059608E" w:rsidRDefault="0059608E" w:rsidP="006130D4">
      <w:pPr>
        <w:spacing w:line="360" w:lineRule="auto"/>
        <w:rPr>
          <w:lang w:val="en-AU"/>
        </w:rPr>
      </w:pPr>
      <w:r>
        <w:rPr>
          <w:lang w:val="en-AU" w:eastAsia="en-AU"/>
        </w:rPr>
        <w:t>T</w:t>
      </w:r>
      <w:r>
        <w:rPr>
          <w:lang w:val="en-AU"/>
        </w:rPr>
        <w:t>he most frequently detected and highest concentration herbicides in this current monitoring year were diuron (maximum concentration of 59 ng L</w:t>
      </w:r>
      <w:r w:rsidRPr="00F62CD7">
        <w:rPr>
          <w:vertAlign w:val="superscript"/>
          <w:lang w:val="en-AU"/>
        </w:rPr>
        <w:t>-1</w:t>
      </w:r>
      <w:r>
        <w:rPr>
          <w:lang w:val="en-AU"/>
        </w:rPr>
        <w:t>), atrazine (maximum concentration of 24 ng L</w:t>
      </w:r>
      <w:r w:rsidRPr="00F62CD7">
        <w:rPr>
          <w:vertAlign w:val="superscript"/>
          <w:lang w:val="en-AU"/>
        </w:rPr>
        <w:t>-1</w:t>
      </w:r>
      <w:r>
        <w:rPr>
          <w:lang w:val="en-AU"/>
        </w:rPr>
        <w:t>) and hexazinone (maximum concentration of 16 ng L</w:t>
      </w:r>
      <w:r w:rsidRPr="00F62CD7">
        <w:rPr>
          <w:vertAlign w:val="superscript"/>
          <w:lang w:val="en-AU"/>
        </w:rPr>
        <w:t>-1</w:t>
      </w:r>
      <w:r>
        <w:rPr>
          <w:lang w:val="en-AU"/>
        </w:rPr>
        <w:t xml:space="preserve">), all detected at Sandy Creek. </w:t>
      </w:r>
      <w:r w:rsidR="001445C6">
        <w:rPr>
          <w:lang w:val="en-AU"/>
        </w:rPr>
        <w:t xml:space="preserve">The alternative herbicides </w:t>
      </w:r>
      <w:r>
        <w:rPr>
          <w:lang w:val="en-AU"/>
        </w:rPr>
        <w:t>2,4-D, imidacloprid, MCPA and metolachlor were also detected frequently although at relatively low concentrations (typically &lt; 1 ng L</w:t>
      </w:r>
      <w:r>
        <w:rPr>
          <w:vertAlign w:val="superscript"/>
          <w:lang w:val="en-AU"/>
        </w:rPr>
        <w:t>-1</w:t>
      </w:r>
      <w:r>
        <w:rPr>
          <w:lang w:val="en-AU"/>
        </w:rPr>
        <w:t xml:space="preserve">). At fixed monitoring sites, no herbicides with an individual </w:t>
      </w:r>
      <w:r w:rsidR="001445C6">
        <w:rPr>
          <w:lang w:val="en-AU"/>
        </w:rPr>
        <w:t>GV</w:t>
      </w:r>
      <w:r>
        <w:rPr>
          <w:lang w:val="en-AU"/>
        </w:rPr>
        <w:t xml:space="preserve"> to assess again</w:t>
      </w:r>
      <w:r w:rsidR="00C5227A">
        <w:rPr>
          <w:lang w:val="en-AU"/>
        </w:rPr>
        <w:t xml:space="preserve">st exceeded its </w:t>
      </w:r>
      <w:r w:rsidR="00BA689A">
        <w:rPr>
          <w:lang w:val="en-AU"/>
        </w:rPr>
        <w:t>GV</w:t>
      </w:r>
      <w:r w:rsidR="00C5227A">
        <w:rPr>
          <w:lang w:val="en-AU"/>
        </w:rPr>
        <w:t xml:space="preserve"> (Figure 10)</w:t>
      </w:r>
      <w:r>
        <w:rPr>
          <w:lang w:val="en-AU"/>
        </w:rPr>
        <w:t>.</w:t>
      </w:r>
    </w:p>
    <w:p w14:paraId="730DD364" w14:textId="77777777" w:rsidR="0059608E" w:rsidRDefault="0059608E" w:rsidP="006130D4">
      <w:pPr>
        <w:spacing w:line="360" w:lineRule="auto"/>
      </w:pPr>
    </w:p>
    <w:p w14:paraId="74739345" w14:textId="77777777" w:rsidR="0059608E" w:rsidRDefault="0059608E" w:rsidP="006130D4">
      <w:pPr>
        <w:spacing w:line="360" w:lineRule="auto"/>
        <w:rPr>
          <w:lang w:val="en-AU" w:eastAsia="en-AU"/>
        </w:rPr>
      </w:pPr>
      <w:r>
        <w:rPr>
          <w:lang w:val="en-AU" w:eastAsia="en-AU"/>
        </w:rPr>
        <w:t xml:space="preserve">Diuron was the dominant contributor to the PSII-HEq Max at every fixed monitoring site due to its potency as a PSII inhibitor and its relatively higher concentrations (Figure </w:t>
      </w:r>
      <w:r w:rsidR="00C5227A">
        <w:rPr>
          <w:lang w:val="en-AU" w:eastAsia="en-AU"/>
        </w:rPr>
        <w:t>1</w:t>
      </w:r>
      <w:r>
        <w:rPr>
          <w:lang w:val="en-AU" w:eastAsia="en-AU"/>
        </w:rPr>
        <w:t>). Diuron contributed an average of 81 % to the PSII-Max in the Wet Tropics, 73 % in the Burdekin, 82 % in the Mackay Whitsundays and 47 % at North Keppel Island in the Fitzroy region. The contribution of diuron was similar between the individual sites within the Wet Tropics (72 % - 80 %) and Burdekin regions (65 % - 78 %), and varied slightly more in the Mackay Whitsunday region (73 %</w:t>
      </w:r>
      <w:r w:rsidR="00BA689A">
        <w:rPr>
          <w:lang w:val="en-AU" w:eastAsia="en-AU"/>
        </w:rPr>
        <w:t xml:space="preserve"> </w:t>
      </w:r>
      <w:r>
        <w:rPr>
          <w:lang w:val="en-AU" w:eastAsia="en-AU"/>
        </w:rPr>
        <w:t>- 88 %).</w:t>
      </w:r>
    </w:p>
    <w:p w14:paraId="10E5A64B" w14:textId="77777777" w:rsidR="0059608E" w:rsidRDefault="0059608E" w:rsidP="006130D4">
      <w:pPr>
        <w:spacing w:line="360" w:lineRule="auto"/>
        <w:rPr>
          <w:lang w:val="en-AU" w:eastAsia="en-AU"/>
        </w:rPr>
      </w:pPr>
    </w:p>
    <w:p w14:paraId="55295832" w14:textId="77777777" w:rsidR="0059608E" w:rsidRPr="006C28F8" w:rsidRDefault="0059608E" w:rsidP="006130D4">
      <w:pPr>
        <w:spacing w:line="276" w:lineRule="auto"/>
        <w:rPr>
          <w:lang w:val="en-AU"/>
        </w:rPr>
        <w:sectPr w:rsidR="0059608E" w:rsidRPr="006C28F8" w:rsidSect="006130D4">
          <w:pgSz w:w="11907" w:h="16840" w:code="9"/>
          <w:pgMar w:top="720" w:right="720" w:bottom="720" w:left="720" w:header="709" w:footer="709" w:gutter="0"/>
          <w:cols w:space="708"/>
          <w:docGrid w:linePitch="360"/>
        </w:sectPr>
      </w:pPr>
    </w:p>
    <w:p w14:paraId="2E2964E9" w14:textId="77777777" w:rsidR="0059608E" w:rsidRDefault="0059608E" w:rsidP="006130D4">
      <w:pPr>
        <w:keepNext/>
        <w:spacing w:line="276" w:lineRule="auto"/>
        <w:jc w:val="center"/>
      </w:pPr>
      <w:r>
        <w:rPr>
          <w:noProof/>
          <w:lang w:val="en-AU" w:eastAsia="en-AU" w:bidi="ar-SA"/>
        </w:rPr>
        <w:lastRenderedPageBreak/>
        <w:drawing>
          <wp:inline distT="0" distB="0" distL="0" distR="0" wp14:anchorId="152C241D" wp14:editId="59722149">
            <wp:extent cx="8348987" cy="5842659"/>
            <wp:effectExtent l="19050" t="19050" r="13970" b="24765"/>
            <wp:docPr id="29" name="Picture 29" descr="Figure 10 Maximum concentrations of individual herbicides at fixed monitoring sites from the commencement of sampling to 2014-20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408274" cy="5884148"/>
                    </a:xfrm>
                    <a:prstGeom prst="rect">
                      <a:avLst/>
                    </a:prstGeom>
                    <a:noFill/>
                    <a:ln>
                      <a:solidFill>
                        <a:schemeClr val="tx1"/>
                      </a:solidFill>
                    </a:ln>
                  </pic:spPr>
                </pic:pic>
              </a:graphicData>
            </a:graphic>
          </wp:inline>
        </w:drawing>
      </w:r>
    </w:p>
    <w:p w14:paraId="051103F5" w14:textId="77777777" w:rsidR="0059608E" w:rsidRDefault="0059608E" w:rsidP="006130D4">
      <w:pPr>
        <w:pStyle w:val="Caption"/>
        <w:spacing w:line="276" w:lineRule="auto"/>
        <w:jc w:val="center"/>
      </w:pPr>
      <w:bookmarkStart w:id="432" w:name="_Toc462399470"/>
      <w:bookmarkStart w:id="433" w:name="OLE_LINK14"/>
      <w:r>
        <w:t xml:space="preserve">Figure </w:t>
      </w:r>
      <w:r>
        <w:fldChar w:fldCharType="begin"/>
      </w:r>
      <w:r>
        <w:instrText xml:space="preserve"> SEQ Figure \* ARABIC </w:instrText>
      </w:r>
      <w:r>
        <w:fldChar w:fldCharType="separate"/>
      </w:r>
      <w:r w:rsidR="00E51A34">
        <w:rPr>
          <w:noProof/>
        </w:rPr>
        <w:t>10</w:t>
      </w:r>
      <w:r>
        <w:rPr>
          <w:noProof/>
        </w:rPr>
        <w:fldChar w:fldCharType="end"/>
      </w:r>
      <w:r w:rsidRPr="00E409FB">
        <w:t xml:space="preserve"> Maximum concentrations of individual herbicide</w:t>
      </w:r>
      <w:r>
        <w:t>s</w:t>
      </w:r>
      <w:r w:rsidRPr="00E409FB">
        <w:t xml:space="preserve"> at </w:t>
      </w:r>
      <w:r>
        <w:t>fixed</w:t>
      </w:r>
      <w:r w:rsidRPr="00E409FB">
        <w:t xml:space="preserve"> monitoring sites from the commencement of sampling to 201</w:t>
      </w:r>
      <w:r>
        <w:t>4</w:t>
      </w:r>
      <w:r w:rsidRPr="00E409FB">
        <w:t>-201</w:t>
      </w:r>
      <w:r>
        <w:t>5</w:t>
      </w:r>
      <w:bookmarkEnd w:id="432"/>
    </w:p>
    <w:bookmarkEnd w:id="433"/>
    <w:p w14:paraId="78D18227" w14:textId="77777777" w:rsidR="0059608E" w:rsidRPr="006C28F8" w:rsidRDefault="0059608E" w:rsidP="006130D4">
      <w:pPr>
        <w:spacing w:line="276" w:lineRule="auto"/>
        <w:sectPr w:rsidR="0059608E" w:rsidRPr="006C28F8" w:rsidSect="00CD24D2">
          <w:pgSz w:w="16840" w:h="11907" w:orient="landscape" w:code="9"/>
          <w:pgMar w:top="720" w:right="720" w:bottom="720" w:left="720" w:header="709" w:footer="709" w:gutter="0"/>
          <w:cols w:space="708"/>
          <w:docGrid w:linePitch="360"/>
        </w:sectPr>
      </w:pPr>
    </w:p>
    <w:p w14:paraId="187AFC32" w14:textId="77777777" w:rsidR="0059608E" w:rsidRDefault="0059608E" w:rsidP="006130D4">
      <w:pPr>
        <w:spacing w:line="360" w:lineRule="auto"/>
      </w:pPr>
      <w:r>
        <w:lastRenderedPageBreak/>
        <w:t xml:space="preserve">There was a possible decrease in the maximum concentrations of herbicides detected at five sites (Low Isles, Green Island, Fitzroy Island, Dunk Island and Orpheus Island) when compared to the previous monitoring year (Figure </w:t>
      </w:r>
      <w:r w:rsidR="00C62365">
        <w:t>10</w:t>
      </w:r>
      <w:r>
        <w:t xml:space="preserve">). Four sites (Cape Cleveland, Outer Whitsunday, Sarina Inlet and North Keppel Island) had similar or possibly increased maximum concentrations. </w:t>
      </w:r>
    </w:p>
    <w:p w14:paraId="4129BE8A" w14:textId="77777777" w:rsidR="0059608E" w:rsidRDefault="0059608E" w:rsidP="006130D4">
      <w:pPr>
        <w:spacing w:line="276" w:lineRule="auto"/>
        <w:ind w:firstLine="357"/>
        <w:jc w:val="left"/>
      </w:pPr>
    </w:p>
    <w:p w14:paraId="797F8CB2" w14:textId="77777777" w:rsidR="0059608E" w:rsidRDefault="0059608E" w:rsidP="006130D4">
      <w:pPr>
        <w:keepNext/>
        <w:spacing w:line="276" w:lineRule="auto"/>
        <w:jc w:val="center"/>
      </w:pPr>
      <w:r>
        <w:rPr>
          <w:noProof/>
          <w:lang w:val="en-AU" w:eastAsia="en-AU" w:bidi="ar-SA"/>
        </w:rPr>
        <w:drawing>
          <wp:inline distT="0" distB="0" distL="0" distR="0" wp14:anchorId="0A73C291" wp14:editId="15FBEE60">
            <wp:extent cx="6638290" cy="4704715"/>
            <wp:effectExtent l="19050" t="19050" r="10160" b="19685"/>
            <wp:docPr id="45" name="Picture 45" descr="Figure 11 PSII-HEq Max at each fixed monitoring site since monitoring commenced to 2014-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38290" cy="4704715"/>
                    </a:xfrm>
                    <a:prstGeom prst="rect">
                      <a:avLst/>
                    </a:prstGeom>
                    <a:noFill/>
                    <a:ln>
                      <a:solidFill>
                        <a:schemeClr val="tx1"/>
                      </a:solidFill>
                    </a:ln>
                  </pic:spPr>
                </pic:pic>
              </a:graphicData>
            </a:graphic>
          </wp:inline>
        </w:drawing>
      </w:r>
    </w:p>
    <w:p w14:paraId="2D457D54" w14:textId="77777777" w:rsidR="0059608E" w:rsidRDefault="0059608E" w:rsidP="006130D4">
      <w:pPr>
        <w:pStyle w:val="Caption"/>
        <w:spacing w:line="276" w:lineRule="auto"/>
        <w:jc w:val="center"/>
      </w:pPr>
      <w:bookmarkStart w:id="434" w:name="_Toc462399471"/>
      <w:r>
        <w:t xml:space="preserve">Figure </w:t>
      </w:r>
      <w:r>
        <w:fldChar w:fldCharType="begin"/>
      </w:r>
      <w:r>
        <w:instrText xml:space="preserve"> SEQ Figure \* ARABIC </w:instrText>
      </w:r>
      <w:r>
        <w:fldChar w:fldCharType="separate"/>
      </w:r>
      <w:r w:rsidR="00E51A34">
        <w:rPr>
          <w:noProof/>
        </w:rPr>
        <w:t>11</w:t>
      </w:r>
      <w:r>
        <w:rPr>
          <w:noProof/>
        </w:rPr>
        <w:fldChar w:fldCharType="end"/>
      </w:r>
      <w:r w:rsidRPr="000052CB">
        <w:t xml:space="preserve"> </w:t>
      </w:r>
      <w:r w:rsidRPr="00312313">
        <w:t xml:space="preserve">PSII-HEq Max at each </w:t>
      </w:r>
      <w:r>
        <w:t xml:space="preserve">fixed monitoring </w:t>
      </w:r>
      <w:r w:rsidRPr="00312313">
        <w:t xml:space="preserve">site </w:t>
      </w:r>
      <w:r>
        <w:t>since monitoring commenced</w:t>
      </w:r>
      <w:r w:rsidRPr="00312313">
        <w:t xml:space="preserve"> to 201</w:t>
      </w:r>
      <w:r>
        <w:t>4</w:t>
      </w:r>
      <w:r w:rsidRPr="00312313">
        <w:t>-201</w:t>
      </w:r>
      <w:r>
        <w:t>5</w:t>
      </w:r>
      <w:bookmarkEnd w:id="434"/>
    </w:p>
    <w:p w14:paraId="5DE5D24F" w14:textId="77777777" w:rsidR="0059608E" w:rsidRDefault="0059608E" w:rsidP="006130D4">
      <w:pPr>
        <w:spacing w:line="276" w:lineRule="auto"/>
        <w:rPr>
          <w:lang w:val="en-AU"/>
        </w:rPr>
      </w:pPr>
    </w:p>
    <w:p w14:paraId="54C215E3" w14:textId="77777777" w:rsidR="0059608E" w:rsidRDefault="0059608E" w:rsidP="006130D4">
      <w:pPr>
        <w:spacing w:line="360" w:lineRule="auto"/>
        <w:rPr>
          <w:lang w:val="en-AU"/>
        </w:rPr>
      </w:pPr>
      <w:r>
        <w:rPr>
          <w:lang w:val="en-AU"/>
        </w:rPr>
        <w:t>In 2014-2015, the PSII-HEq Max for the regions ranged from 0.88 – 3.7 ng L</w:t>
      </w:r>
      <w:r w:rsidRPr="00096606">
        <w:rPr>
          <w:vertAlign w:val="superscript"/>
          <w:lang w:val="en-AU"/>
        </w:rPr>
        <w:t>-1</w:t>
      </w:r>
      <w:r>
        <w:rPr>
          <w:lang w:val="en-AU"/>
        </w:rPr>
        <w:t xml:space="preserve"> in the Wet Tropics, 1.3 – 8.8 ng L</w:t>
      </w:r>
      <w:r w:rsidRPr="00096606">
        <w:rPr>
          <w:vertAlign w:val="superscript"/>
          <w:lang w:val="en-AU"/>
        </w:rPr>
        <w:t>-1</w:t>
      </w:r>
      <w:r>
        <w:rPr>
          <w:lang w:val="en-AU"/>
        </w:rPr>
        <w:t xml:space="preserve"> in the Burdekin Region, 2.2 - 70 ng L</w:t>
      </w:r>
      <w:r w:rsidRPr="00D05767">
        <w:rPr>
          <w:vertAlign w:val="superscript"/>
          <w:lang w:val="en-AU"/>
        </w:rPr>
        <w:t>-1</w:t>
      </w:r>
      <w:r>
        <w:rPr>
          <w:lang w:val="en-AU"/>
        </w:rPr>
        <w:t xml:space="preserve"> in the Mackay Whitsunday and was 0.66 ng L</w:t>
      </w:r>
      <w:r w:rsidRPr="00096606">
        <w:rPr>
          <w:vertAlign w:val="superscript"/>
          <w:lang w:val="en-AU"/>
        </w:rPr>
        <w:t>-1</w:t>
      </w:r>
      <w:r>
        <w:rPr>
          <w:lang w:val="en-AU"/>
        </w:rPr>
        <w:t xml:space="preserve"> in the Fitzroy region. These values indicate maximum PSII-HEq Index Categories of 5 for the Wet Tropics, Burdekin and Fitzroy regions; and Category 3 in the Mackay Whitsunday region</w:t>
      </w:r>
      <w:r w:rsidR="00C62365">
        <w:rPr>
          <w:lang w:val="en-AU"/>
        </w:rPr>
        <w:t xml:space="preserve"> (Figure 11)</w:t>
      </w:r>
      <w:r>
        <w:rPr>
          <w:lang w:val="en-AU"/>
        </w:rPr>
        <w:t xml:space="preserve">. </w:t>
      </w:r>
    </w:p>
    <w:p w14:paraId="34CE829A" w14:textId="77777777" w:rsidR="0059608E" w:rsidRDefault="0059608E" w:rsidP="006130D4">
      <w:pPr>
        <w:rPr>
          <w:lang w:val="en-AU"/>
        </w:rPr>
      </w:pPr>
      <w:bookmarkStart w:id="435" w:name="_Toc335638013"/>
      <w:bookmarkStart w:id="436" w:name="_Toc335638108"/>
      <w:bookmarkStart w:id="437" w:name="_Toc335638267"/>
      <w:bookmarkStart w:id="438" w:name="_Toc335640877"/>
      <w:bookmarkStart w:id="439" w:name="_Toc335661322"/>
      <w:bookmarkStart w:id="440" w:name="_Toc335638268"/>
      <w:bookmarkStart w:id="441" w:name="_Toc335640878"/>
      <w:bookmarkStart w:id="442" w:name="_Toc335638276"/>
      <w:bookmarkStart w:id="443" w:name="_Toc335640886"/>
      <w:bookmarkStart w:id="444" w:name="_Toc335638371"/>
      <w:bookmarkStart w:id="445" w:name="_Toc335640981"/>
      <w:bookmarkStart w:id="446" w:name="_Toc335638447"/>
      <w:bookmarkStart w:id="447" w:name="_Toc335641057"/>
      <w:bookmarkStart w:id="448" w:name="_Toc335638523"/>
      <w:bookmarkStart w:id="449" w:name="_Toc335641133"/>
      <w:bookmarkStart w:id="450" w:name="_Toc335638561"/>
      <w:bookmarkStart w:id="451" w:name="_Toc335641171"/>
      <w:bookmarkStart w:id="452" w:name="_Toc335638562"/>
      <w:bookmarkStart w:id="453" w:name="_Toc335641172"/>
      <w:bookmarkStart w:id="454" w:name="_Toc335638563"/>
      <w:bookmarkStart w:id="455" w:name="_Toc335641173"/>
      <w:bookmarkStart w:id="456" w:name="_Toc335638564"/>
      <w:bookmarkStart w:id="457" w:name="_Toc335641174"/>
      <w:bookmarkStart w:id="458" w:name="_Toc335638565"/>
      <w:bookmarkStart w:id="459" w:name="_Toc335641175"/>
      <w:bookmarkStart w:id="460" w:name="_Toc335638566"/>
      <w:bookmarkStart w:id="461" w:name="_Toc335641176"/>
      <w:bookmarkStart w:id="462" w:name="_Toc335638567"/>
      <w:bookmarkStart w:id="463" w:name="_Toc335641177"/>
      <w:bookmarkStart w:id="464" w:name="_Toc335638568"/>
      <w:bookmarkStart w:id="465" w:name="_Toc335641178"/>
      <w:bookmarkStart w:id="466" w:name="_Toc335638569"/>
      <w:bookmarkStart w:id="467" w:name="_Toc335641179"/>
      <w:bookmarkStart w:id="468" w:name="_Toc335638570"/>
      <w:bookmarkStart w:id="469" w:name="_Toc335641180"/>
      <w:bookmarkStart w:id="470" w:name="_Toc335638573"/>
      <w:bookmarkStart w:id="471" w:name="_Toc335641183"/>
      <w:bookmarkStart w:id="472" w:name="_Toc378277506"/>
      <w:bookmarkStart w:id="473" w:name="_Toc378278127"/>
      <w:bookmarkStart w:id="474" w:name="_Toc378278209"/>
      <w:bookmarkStart w:id="475" w:name="_Toc378287091"/>
      <w:bookmarkStart w:id="476" w:name="_Toc378277507"/>
      <w:bookmarkStart w:id="477" w:name="_Toc378278128"/>
      <w:bookmarkStart w:id="478" w:name="_Toc378278210"/>
      <w:bookmarkStart w:id="479" w:name="_Toc378287092"/>
      <w:bookmarkStart w:id="480" w:name="_Toc378277508"/>
      <w:bookmarkStart w:id="481" w:name="_Toc378278129"/>
      <w:bookmarkStart w:id="482" w:name="_Toc378278211"/>
      <w:bookmarkStart w:id="483" w:name="_Toc378287093"/>
      <w:bookmarkStart w:id="484" w:name="_Toc378277509"/>
      <w:bookmarkStart w:id="485" w:name="_Toc378278130"/>
      <w:bookmarkStart w:id="486" w:name="_Toc378278212"/>
      <w:bookmarkStart w:id="487" w:name="_Toc378287094"/>
      <w:bookmarkStart w:id="488" w:name="_Toc378277510"/>
      <w:bookmarkStart w:id="489" w:name="_Toc378278131"/>
      <w:bookmarkStart w:id="490" w:name="_Toc378278213"/>
      <w:bookmarkStart w:id="491" w:name="_Toc378287095"/>
      <w:bookmarkStart w:id="492" w:name="_Toc378277511"/>
      <w:bookmarkStart w:id="493" w:name="_Toc378278132"/>
      <w:bookmarkStart w:id="494" w:name="_Toc378278214"/>
      <w:bookmarkStart w:id="495" w:name="_Toc378287096"/>
      <w:bookmarkStart w:id="496" w:name="_Toc378277512"/>
      <w:bookmarkStart w:id="497" w:name="_Toc378278133"/>
      <w:bookmarkStart w:id="498" w:name="_Toc378278215"/>
      <w:bookmarkStart w:id="499" w:name="_Toc378287097"/>
      <w:bookmarkStart w:id="500" w:name="_Toc378277513"/>
      <w:bookmarkStart w:id="501" w:name="_Toc378278134"/>
      <w:bookmarkStart w:id="502" w:name="_Toc378278216"/>
      <w:bookmarkStart w:id="503" w:name="_Toc378287098"/>
      <w:bookmarkStart w:id="504" w:name="_Toc378277514"/>
      <w:bookmarkStart w:id="505" w:name="_Toc378278135"/>
      <w:bookmarkStart w:id="506" w:name="_Toc378278217"/>
      <w:bookmarkStart w:id="507" w:name="_Toc378287099"/>
      <w:bookmarkStart w:id="508" w:name="_Toc378277515"/>
      <w:bookmarkStart w:id="509" w:name="_Toc378278136"/>
      <w:bookmarkStart w:id="510" w:name="_Toc378278218"/>
      <w:bookmarkStart w:id="511" w:name="_Toc378287100"/>
      <w:bookmarkStart w:id="512" w:name="_Toc378277516"/>
      <w:bookmarkStart w:id="513" w:name="_Toc378278137"/>
      <w:bookmarkStart w:id="514" w:name="_Toc378278219"/>
      <w:bookmarkStart w:id="515" w:name="_Toc378287101"/>
      <w:bookmarkStart w:id="516" w:name="_Toc378277517"/>
      <w:bookmarkStart w:id="517" w:name="_Toc378278138"/>
      <w:bookmarkStart w:id="518" w:name="_Toc378278220"/>
      <w:bookmarkStart w:id="519" w:name="_Toc378287102"/>
      <w:bookmarkStart w:id="520" w:name="_Toc378277518"/>
      <w:bookmarkStart w:id="521" w:name="_Toc378278139"/>
      <w:bookmarkStart w:id="522" w:name="_Toc378278221"/>
      <w:bookmarkStart w:id="523" w:name="_Toc378287103"/>
      <w:bookmarkStart w:id="524" w:name="_Toc378277519"/>
      <w:bookmarkStart w:id="525" w:name="_Toc378278140"/>
      <w:bookmarkStart w:id="526" w:name="_Toc378278222"/>
      <w:bookmarkStart w:id="527" w:name="_Toc378287104"/>
      <w:bookmarkStart w:id="528" w:name="_Toc378277520"/>
      <w:bookmarkStart w:id="529" w:name="_Toc378278141"/>
      <w:bookmarkStart w:id="530" w:name="_Toc378278223"/>
      <w:bookmarkStart w:id="531" w:name="_Toc378287105"/>
      <w:bookmarkStart w:id="532" w:name="_Toc378277526"/>
      <w:bookmarkStart w:id="533" w:name="_Toc378278147"/>
      <w:bookmarkStart w:id="534" w:name="_Toc378278229"/>
      <w:bookmarkStart w:id="535" w:name="_Toc378287111"/>
      <w:bookmarkStart w:id="536" w:name="_Toc257115762"/>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14:paraId="71751F51" w14:textId="77777777" w:rsidR="0059608E" w:rsidRDefault="0059608E" w:rsidP="0059608E">
      <w:pPr>
        <w:pStyle w:val="Heading2"/>
        <w:numPr>
          <w:ilvl w:val="1"/>
          <w:numId w:val="2"/>
        </w:numPr>
        <w:ind w:left="0" w:hanging="10"/>
        <w:rPr>
          <w:lang w:val="en-AU"/>
        </w:rPr>
      </w:pPr>
      <w:bookmarkStart w:id="537" w:name="_Toc461457772"/>
      <w:bookmarkStart w:id="538" w:name="_Toc462651953"/>
      <w:r>
        <w:rPr>
          <w:lang w:val="en-AU"/>
        </w:rPr>
        <w:t>Regional results and discussion</w:t>
      </w:r>
      <w:bookmarkEnd w:id="537"/>
      <w:bookmarkEnd w:id="538"/>
    </w:p>
    <w:p w14:paraId="353F4A4E" w14:textId="77777777" w:rsidR="0059608E" w:rsidRDefault="0059608E" w:rsidP="0059608E">
      <w:pPr>
        <w:pStyle w:val="Heading3"/>
        <w:numPr>
          <w:ilvl w:val="2"/>
          <w:numId w:val="2"/>
        </w:numPr>
      </w:pPr>
      <w:bookmarkStart w:id="539" w:name="_Toc461457773"/>
      <w:bookmarkStart w:id="540" w:name="_Toc462651954"/>
      <w:r>
        <w:t>Wet Tropics</w:t>
      </w:r>
      <w:bookmarkEnd w:id="539"/>
      <w:bookmarkEnd w:id="540"/>
    </w:p>
    <w:p w14:paraId="5812711E" w14:textId="77777777" w:rsidR="0059608E" w:rsidRDefault="0059608E" w:rsidP="006130D4">
      <w:pPr>
        <w:spacing w:line="360" w:lineRule="auto"/>
        <w:rPr>
          <w:lang w:val="en-AU" w:eastAsia="en-AU"/>
        </w:rPr>
      </w:pPr>
      <w:r>
        <w:rPr>
          <w:lang w:val="en-AU" w:eastAsia="en-AU"/>
        </w:rPr>
        <w:t xml:space="preserve">In 2014-2015, concentrations of PSII herbicides during the wet season were generally equal to or lower than concentrations detected in the previous monitoring year (Table </w:t>
      </w:r>
      <w:r w:rsidR="005F31CE">
        <w:rPr>
          <w:lang w:val="en-AU" w:eastAsia="en-AU"/>
        </w:rPr>
        <w:t>6</w:t>
      </w:r>
      <w:r>
        <w:rPr>
          <w:lang w:val="en-AU" w:eastAsia="en-AU"/>
        </w:rPr>
        <w:t xml:space="preserve">; for historical data, see Appendix G, Figures </w:t>
      </w:r>
      <w:r w:rsidR="006D6377">
        <w:rPr>
          <w:lang w:val="en-AU" w:eastAsia="en-AU"/>
        </w:rPr>
        <w:t>A21</w:t>
      </w:r>
      <w:r>
        <w:rPr>
          <w:lang w:val="en-AU" w:eastAsia="en-AU"/>
        </w:rPr>
        <w:t xml:space="preserve"> – </w:t>
      </w:r>
      <w:r w:rsidR="006D6377">
        <w:rPr>
          <w:lang w:val="en-AU" w:eastAsia="en-AU"/>
        </w:rPr>
        <w:t>A26</w:t>
      </w:r>
      <w:r>
        <w:rPr>
          <w:lang w:val="en-AU" w:eastAsia="en-AU"/>
        </w:rPr>
        <w:t xml:space="preserve">). The overall </w:t>
      </w:r>
      <w:r w:rsidR="00BA689A">
        <w:rPr>
          <w:lang w:val="en-AU" w:eastAsia="en-AU"/>
        </w:rPr>
        <w:t>low</w:t>
      </w:r>
      <w:r>
        <w:rPr>
          <w:lang w:val="en-AU" w:eastAsia="en-AU"/>
        </w:rPr>
        <w:t xml:space="preserve"> concentrations of herbicides coincided with reduced flows of major rivers influencing the passive samplers that were below the long-term median</w:t>
      </w:r>
      <w:r w:rsidR="001B634A">
        <w:rPr>
          <w:lang w:val="en-AU" w:eastAsia="en-AU"/>
        </w:rPr>
        <w:t xml:space="preserve"> (Appendix F, Figures A5 – A10)</w:t>
      </w:r>
      <w:r>
        <w:rPr>
          <w:lang w:val="en-AU" w:eastAsia="en-AU"/>
        </w:rPr>
        <w:t xml:space="preserve">. </w:t>
      </w:r>
    </w:p>
    <w:p w14:paraId="568A837C" w14:textId="77777777" w:rsidR="0059608E" w:rsidRDefault="0059608E" w:rsidP="006130D4">
      <w:pPr>
        <w:spacing w:line="360" w:lineRule="auto"/>
        <w:rPr>
          <w:lang w:val="en-AU" w:eastAsia="en-AU"/>
        </w:rPr>
      </w:pPr>
      <w:r>
        <w:rPr>
          <w:lang w:val="en-AU" w:eastAsia="en-AU"/>
        </w:rPr>
        <w:lastRenderedPageBreak/>
        <w:t>PSII herbicides (and transformation products) detected using EDs in the Wet Tropics region in 2014-2015 include ametryn, atrazine, desethyl atrazine, desisopropyl atrazine, diuron, hexazinone, simazine (two detections only) and tebuthiuron (Appendix D, Table</w:t>
      </w:r>
      <w:r w:rsidR="006D6377">
        <w:rPr>
          <w:lang w:val="en-AU" w:eastAsia="en-AU"/>
        </w:rPr>
        <w:t>s</w:t>
      </w:r>
      <w:r>
        <w:rPr>
          <w:lang w:val="en-AU" w:eastAsia="en-AU"/>
        </w:rPr>
        <w:t xml:space="preserve"> </w:t>
      </w:r>
      <w:r w:rsidR="006D6377">
        <w:rPr>
          <w:lang w:val="en-AU" w:eastAsia="en-AU"/>
        </w:rPr>
        <w:t>A14</w:t>
      </w:r>
      <w:r>
        <w:rPr>
          <w:lang w:val="en-AU" w:eastAsia="en-AU"/>
        </w:rPr>
        <w:t xml:space="preserve"> – </w:t>
      </w:r>
      <w:r w:rsidR="006D6377">
        <w:rPr>
          <w:lang w:val="en-AU" w:eastAsia="en-AU"/>
        </w:rPr>
        <w:t>19</w:t>
      </w:r>
      <w:r>
        <w:rPr>
          <w:lang w:val="en-AU" w:eastAsia="en-AU"/>
        </w:rPr>
        <w:t>). The most frequently detected PSII herbicides in the Wet Tropics were diuron (detected in 81 % of samplers; maximum concentration 3.3 ng L</w:t>
      </w:r>
      <w:r>
        <w:rPr>
          <w:vertAlign w:val="superscript"/>
          <w:lang w:val="en-AU" w:eastAsia="en-AU"/>
        </w:rPr>
        <w:t>-1</w:t>
      </w:r>
      <w:r>
        <w:rPr>
          <w:lang w:val="en-AU" w:eastAsia="en-AU"/>
        </w:rPr>
        <w:t xml:space="preserve"> at Lucinda), hexazinone (detected in 69 % of samplers; 0.98 ng L</w:t>
      </w:r>
      <w:r>
        <w:rPr>
          <w:vertAlign w:val="superscript"/>
          <w:lang w:val="en-AU" w:eastAsia="en-AU"/>
        </w:rPr>
        <w:t>-1</w:t>
      </w:r>
      <w:r>
        <w:rPr>
          <w:lang w:val="en-AU" w:eastAsia="en-AU"/>
        </w:rPr>
        <w:t xml:space="preserve"> at Dunk Island) and atrazine (detected in 67 % of samplers; 1.5 ng L</w:t>
      </w:r>
      <w:r>
        <w:rPr>
          <w:vertAlign w:val="superscript"/>
          <w:lang w:val="en-AU" w:eastAsia="en-AU"/>
        </w:rPr>
        <w:t>-1</w:t>
      </w:r>
      <w:r>
        <w:rPr>
          <w:lang w:val="en-AU" w:eastAsia="en-AU"/>
        </w:rPr>
        <w:t xml:space="preserve"> at Lucinda). </w:t>
      </w:r>
      <w:r w:rsidR="001D2C8C">
        <w:rPr>
          <w:lang w:val="en-AU" w:eastAsia="en-AU"/>
        </w:rPr>
        <w:t xml:space="preserve">The alternatives </w:t>
      </w:r>
      <w:r>
        <w:rPr>
          <w:lang w:val="en-AU" w:eastAsia="en-AU"/>
        </w:rPr>
        <w:t>2,4-D, imidacloprid, MCPA and metolachlor were also detected in the region (38 % - 12 % of samplers respectively). The spike in tebuthiuron concentrations observed in the 2013-2014 dry season at Green Island, Low Isles, Fitzroy Island and Dunk Island was absent in this monitoring year.</w:t>
      </w:r>
    </w:p>
    <w:p w14:paraId="1AE301FE" w14:textId="77777777" w:rsidR="0059608E" w:rsidRDefault="0059608E" w:rsidP="006130D4">
      <w:pPr>
        <w:spacing w:line="276" w:lineRule="auto"/>
        <w:rPr>
          <w:lang w:val="en-AU" w:eastAsia="en-AU"/>
        </w:rPr>
      </w:pPr>
    </w:p>
    <w:p w14:paraId="11D02DDD" w14:textId="6133CA95" w:rsidR="0059608E" w:rsidRDefault="0059608E" w:rsidP="006130D4">
      <w:pPr>
        <w:spacing w:line="360" w:lineRule="auto"/>
        <w:rPr>
          <w:lang w:val="en-AU" w:eastAsia="en-AU"/>
        </w:rPr>
      </w:pPr>
      <w:r>
        <w:rPr>
          <w:lang w:val="en-AU" w:eastAsia="en-AU"/>
        </w:rPr>
        <w:t>Annual flood plume frequencies (i.e. the proportion of weeks a site was exposed to primary or secondary plume waters as determined by ocean colour class) were calculated for 22 weeks of the wet season (beginning 1 December 2014)</w:t>
      </w:r>
      <w:r w:rsidR="001D2C8C">
        <w:rPr>
          <w:lang w:val="en-AU" w:eastAsia="en-AU"/>
        </w:rPr>
        <w:t xml:space="preserve"> (Table 6)</w:t>
      </w:r>
      <w:r>
        <w:rPr>
          <w:lang w:val="en-AU" w:eastAsia="en-AU"/>
        </w:rPr>
        <w:t>. Plume frequencies ranged from low (0.18 at Normanby Island) to high (1.0 at Dunk Island) with the northernmost sites (Low Isles to Normanby Island) experiencing the lowest plume frequencies of all monitored sites</w:t>
      </w:r>
      <w:r w:rsidR="00932C06">
        <w:rPr>
          <w:lang w:val="en-AU" w:eastAsia="en-AU"/>
        </w:rPr>
        <w:t>, consistent with the below long-term median river discharge this monitoring year</w:t>
      </w:r>
      <w:r>
        <w:rPr>
          <w:lang w:val="en-AU" w:eastAsia="en-AU"/>
        </w:rPr>
        <w:t xml:space="preserve">. Of the 34 rivers where flow is monitored by gauging stations, the </w:t>
      </w:r>
      <w:r w:rsidR="00753900">
        <w:rPr>
          <w:lang w:val="en-AU" w:eastAsia="en-AU"/>
        </w:rPr>
        <w:t>ten</w:t>
      </w:r>
      <w:r>
        <w:rPr>
          <w:lang w:val="en-AU" w:eastAsia="en-AU"/>
        </w:rPr>
        <w:t xml:space="preserve"> rivers in the Wet Tropics contributed 37.5</w:t>
      </w:r>
      <w:r w:rsidR="009C6D4A">
        <w:rPr>
          <w:lang w:val="en-AU" w:eastAsia="en-AU"/>
        </w:rPr>
        <w:t xml:space="preserve"> </w:t>
      </w:r>
      <w:r>
        <w:rPr>
          <w:lang w:val="en-AU" w:eastAsia="en-AU"/>
        </w:rPr>
        <w:t>% of the total volume of freshwater discharged into the Reef</w:t>
      </w:r>
      <w:r w:rsidR="00753900">
        <w:rPr>
          <w:lang w:val="en-AU" w:eastAsia="en-AU"/>
        </w:rPr>
        <w:t>, the highest contribution of all NRM regions</w:t>
      </w:r>
      <w:r>
        <w:rPr>
          <w:lang w:val="en-AU" w:eastAsia="en-AU"/>
        </w:rPr>
        <w:t>.</w:t>
      </w:r>
    </w:p>
    <w:p w14:paraId="7A7C40C9" w14:textId="77777777" w:rsidR="0059608E" w:rsidRDefault="0059608E" w:rsidP="006130D4">
      <w:pPr>
        <w:spacing w:line="360" w:lineRule="auto"/>
        <w:rPr>
          <w:lang w:val="en-AU" w:eastAsia="en-AU"/>
        </w:rPr>
      </w:pPr>
    </w:p>
    <w:p w14:paraId="0BCE667E" w14:textId="5F2D924A" w:rsidR="0006758A" w:rsidRDefault="0059608E" w:rsidP="006130D4">
      <w:pPr>
        <w:spacing w:line="360" w:lineRule="auto"/>
        <w:rPr>
          <w:lang w:val="en-AU" w:eastAsia="en-AU"/>
        </w:rPr>
      </w:pPr>
      <w:r>
        <w:rPr>
          <w:lang w:val="en-AU" w:eastAsia="en-AU"/>
        </w:rPr>
        <w:t xml:space="preserve">Land use in the Wet Tropics differs between </w:t>
      </w:r>
      <w:r w:rsidR="00537818">
        <w:rPr>
          <w:lang w:val="en-AU" w:eastAsia="en-AU"/>
        </w:rPr>
        <w:t>its</w:t>
      </w:r>
      <w:r>
        <w:rPr>
          <w:lang w:val="en-AU" w:eastAsia="en-AU"/>
        </w:rPr>
        <w:t xml:space="preserve"> northern and southern catchments with the northern Daintree and Mossman River catchments largely comprised of national parks and state forests</w:t>
      </w:r>
      <w:r w:rsidR="00537818">
        <w:rPr>
          <w:lang w:val="en-AU" w:eastAsia="en-AU"/>
        </w:rPr>
        <w:t>;</w:t>
      </w:r>
      <w:r>
        <w:rPr>
          <w:lang w:val="en-AU" w:eastAsia="en-AU"/>
        </w:rPr>
        <w:t xml:space="preserve"> and large areas of land used for sugarcane growing clustered around Cairns, Innisfail, Tully and Ingham in the southern catchments (ABS, 2013). Although Dunk Island and Lucinda appear to be impacted by plumes more frequently than other sites located in the Wet Tropics (Appendix </w:t>
      </w:r>
      <w:r w:rsidR="00C637BB">
        <w:rPr>
          <w:lang w:val="en-AU" w:eastAsia="en-AU"/>
        </w:rPr>
        <w:t>C</w:t>
      </w:r>
      <w:r>
        <w:rPr>
          <w:lang w:val="en-AU" w:eastAsia="en-AU"/>
        </w:rPr>
        <w:t xml:space="preserve">, </w:t>
      </w:r>
      <w:r w:rsidR="00C637BB">
        <w:rPr>
          <w:lang w:val="en-AU" w:eastAsia="en-AU"/>
        </w:rPr>
        <w:t>Table A13</w:t>
      </w:r>
      <w:r>
        <w:rPr>
          <w:lang w:val="en-AU" w:eastAsia="en-AU"/>
        </w:rPr>
        <w:t xml:space="preserve">), the PSII herbicide profiles (Figure </w:t>
      </w:r>
      <w:r w:rsidR="009A6E54">
        <w:rPr>
          <w:lang w:val="en-AU" w:eastAsia="en-AU"/>
        </w:rPr>
        <w:t>10</w:t>
      </w:r>
      <w:r>
        <w:rPr>
          <w:lang w:val="en-AU" w:eastAsia="en-AU"/>
        </w:rPr>
        <w:t xml:space="preserve">) and PSII-Max values (Table </w:t>
      </w:r>
      <w:r w:rsidR="0006758A">
        <w:rPr>
          <w:lang w:val="en-AU" w:eastAsia="en-AU"/>
        </w:rPr>
        <w:t>6</w:t>
      </w:r>
      <w:r>
        <w:rPr>
          <w:lang w:val="en-AU" w:eastAsia="en-AU"/>
        </w:rPr>
        <w:t xml:space="preserve">) did not differ significantly from the other fixed Wet Tropics monitoring sites and remain low overall. </w:t>
      </w:r>
      <w:r w:rsidR="00684ACA">
        <w:rPr>
          <w:lang w:val="en-AU" w:eastAsia="en-AU"/>
        </w:rPr>
        <w:t>W</w:t>
      </w:r>
      <w:r w:rsidR="00684ACA" w:rsidRPr="00684ACA">
        <w:rPr>
          <w:lang w:val="en-AU" w:eastAsia="en-AU"/>
        </w:rPr>
        <w:t xml:space="preserve">ind or wave-induced resuspension of sediments, dredging and other activities and the location of samplers in shallow water may </w:t>
      </w:r>
      <w:r w:rsidR="00F9246A">
        <w:rPr>
          <w:lang w:val="en-AU" w:eastAsia="en-AU"/>
        </w:rPr>
        <w:t xml:space="preserve">have </w:t>
      </w:r>
      <w:r w:rsidR="00684ACA" w:rsidRPr="00684ACA">
        <w:rPr>
          <w:lang w:val="en-AU" w:eastAsia="en-AU"/>
        </w:rPr>
        <w:t>contribute</w:t>
      </w:r>
      <w:r w:rsidR="00F9246A">
        <w:rPr>
          <w:lang w:val="en-AU" w:eastAsia="en-AU"/>
        </w:rPr>
        <w:t>d to the high plume frequency values at these sites</w:t>
      </w:r>
      <w:r w:rsidR="00684ACA" w:rsidRPr="00684ACA">
        <w:rPr>
          <w:lang w:val="en-AU" w:eastAsia="en-AU"/>
        </w:rPr>
        <w:t>.</w:t>
      </w:r>
    </w:p>
    <w:p w14:paraId="083EB2D7" w14:textId="77777777" w:rsidR="0059608E" w:rsidRDefault="0006758A" w:rsidP="0006758A">
      <w:pPr>
        <w:ind w:firstLine="357"/>
        <w:jc w:val="left"/>
        <w:rPr>
          <w:lang w:val="en-AU" w:eastAsia="en-AU"/>
        </w:rPr>
      </w:pPr>
      <w:r>
        <w:rPr>
          <w:lang w:val="en-AU" w:eastAsia="en-AU"/>
        </w:rPr>
        <w:br w:type="page"/>
      </w:r>
    </w:p>
    <w:p w14:paraId="685F8505" w14:textId="77777777" w:rsidR="0059608E" w:rsidRPr="0014418E" w:rsidRDefault="0059608E" w:rsidP="004216B6">
      <w:pPr>
        <w:pStyle w:val="Caption"/>
        <w:spacing w:line="276" w:lineRule="auto"/>
        <w:jc w:val="center"/>
      </w:pPr>
      <w:bookmarkStart w:id="541" w:name="_Toc462652127"/>
      <w:r>
        <w:lastRenderedPageBreak/>
        <w:t xml:space="preserve">Table </w:t>
      </w:r>
      <w:r>
        <w:fldChar w:fldCharType="begin"/>
      </w:r>
      <w:r>
        <w:instrText xml:space="preserve"> SEQ Table \* ARABIC </w:instrText>
      </w:r>
      <w:r>
        <w:fldChar w:fldCharType="separate"/>
      </w:r>
      <w:r w:rsidR="00E51A34">
        <w:rPr>
          <w:noProof/>
        </w:rPr>
        <w:t>6</w:t>
      </w:r>
      <w:r>
        <w:rPr>
          <w:noProof/>
        </w:rPr>
        <w:fldChar w:fldCharType="end"/>
      </w:r>
      <w:r>
        <w:t xml:space="preserve"> Summary </w:t>
      </w:r>
      <w:r w:rsidR="00116D87">
        <w:t>statistics for the PSII-HEq Max and</w:t>
      </w:r>
      <w:r>
        <w:t xml:space="preserve"> PSII-HEq Wet Avg (ng L</w:t>
      </w:r>
      <w:r w:rsidRPr="00597E81">
        <w:rPr>
          <w:vertAlign w:val="superscript"/>
        </w:rPr>
        <w:t>-1</w:t>
      </w:r>
      <w:r w:rsidR="002D69E3">
        <w:t>)</w:t>
      </w:r>
      <w:r w:rsidR="00116D87">
        <w:t xml:space="preserve"> since</w:t>
      </w:r>
      <w:r>
        <w:t xml:space="preserve"> monitoring </w:t>
      </w:r>
      <w:r w:rsidR="00116D87">
        <w:t xml:space="preserve">commenced </w:t>
      </w:r>
      <w:r>
        <w:t>in the Wet Tropics.</w:t>
      </w:r>
      <w:bookmarkEnd w:id="541"/>
    </w:p>
    <w:p w14:paraId="337F0362" w14:textId="77777777" w:rsidR="0059608E" w:rsidRDefault="00FF07A4" w:rsidP="006130D4">
      <w:pPr>
        <w:spacing w:line="276" w:lineRule="auto"/>
        <w:jc w:val="center"/>
        <w:rPr>
          <w:sz w:val="18"/>
          <w:szCs w:val="18"/>
          <w:vertAlign w:val="superscript"/>
          <w:lang w:val="en-AU" w:eastAsia="en-AU"/>
        </w:rPr>
      </w:pPr>
      <w:r w:rsidRPr="00FF07A4">
        <w:rPr>
          <w:noProof/>
          <w:lang w:val="en-AU" w:eastAsia="en-AU" w:bidi="ar-SA"/>
        </w:rPr>
        <w:drawing>
          <wp:inline distT="0" distB="0" distL="0" distR="0" wp14:anchorId="7CF4871A" wp14:editId="4BEFF36B">
            <wp:extent cx="6646545" cy="2975855"/>
            <wp:effectExtent l="0" t="0" r="1905" b="0"/>
            <wp:docPr id="31" name="Picture 31" descr="Table 6 Summary statistics for the PSII-HEq Max and PSII-HEq Wet Avg (ng L-1) since monitoring commence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646545" cy="2975855"/>
                    </a:xfrm>
                    <a:prstGeom prst="rect">
                      <a:avLst/>
                    </a:prstGeom>
                    <a:noFill/>
                    <a:ln>
                      <a:noFill/>
                    </a:ln>
                  </pic:spPr>
                </pic:pic>
              </a:graphicData>
            </a:graphic>
          </wp:inline>
        </w:drawing>
      </w:r>
    </w:p>
    <w:p w14:paraId="2AB19607" w14:textId="77777777" w:rsidR="0059608E" w:rsidRPr="00B21E00" w:rsidRDefault="0059608E" w:rsidP="006130D4">
      <w:pPr>
        <w:spacing w:line="276" w:lineRule="auto"/>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w:t>
      </w:r>
      <w:r w:rsidRPr="00B21E00">
        <w:rPr>
          <w:sz w:val="18"/>
          <w:szCs w:val="18"/>
          <w:lang w:val="en-AU" w:eastAsia="en-AU"/>
        </w:rPr>
        <w:t xml:space="preserve"> </w:t>
      </w:r>
      <w:r>
        <w:rPr>
          <w:sz w:val="18"/>
          <w:szCs w:val="18"/>
          <w:lang w:val="en-AU" w:eastAsia="en-AU"/>
        </w:rPr>
        <w:t>Block colours indicate the maximum PSII-Heq Index category for that year. Values in italics indicate a single measurement for that year</w:t>
      </w:r>
    </w:p>
    <w:p w14:paraId="79D552B2" w14:textId="77777777" w:rsidR="0059608E" w:rsidRDefault="0059608E" w:rsidP="006130D4">
      <w:pPr>
        <w:spacing w:line="276" w:lineRule="auto"/>
        <w:rPr>
          <w:lang w:val="en-AU" w:eastAsia="en-AU"/>
        </w:rPr>
      </w:pPr>
    </w:p>
    <w:p w14:paraId="07D273CC" w14:textId="77777777" w:rsidR="0059608E" w:rsidRDefault="0059608E" w:rsidP="006130D4">
      <w:pPr>
        <w:spacing w:line="360" w:lineRule="auto"/>
        <w:rPr>
          <w:lang w:val="en-AU" w:eastAsia="en-AU"/>
        </w:rPr>
      </w:pPr>
      <w:r>
        <w:t xml:space="preserve">Since monitoring commenced, 74 % of PSII-HEq Max values in the Wet Tropics have been Category 5, and 26% have been Category 4 (Figure </w:t>
      </w:r>
      <w:r w:rsidR="009A6E54">
        <w:t>11</w:t>
      </w:r>
      <w:r>
        <w:t xml:space="preserve">). Maximum concentrations of diuron at sites were lower than the previous year, by </w:t>
      </w:r>
      <w:r w:rsidR="009A6E54">
        <w:t xml:space="preserve">approximately </w:t>
      </w:r>
      <w:r>
        <w:t xml:space="preserve">1.8 to 4.5 times (excluding sites that were established only this year). </w:t>
      </w:r>
      <w:r>
        <w:rPr>
          <w:lang w:val="en-AU" w:eastAsia="en-AU"/>
        </w:rPr>
        <w:t xml:space="preserve">The PSII-HEq Max and Wet Avg values in 2014-2015 were all Category 5 on the PSII-HEq Index, with no clear trend apparent since monitoring commenced (Table </w:t>
      </w:r>
      <w:r w:rsidR="004149C8">
        <w:rPr>
          <w:lang w:val="en-AU" w:eastAsia="en-AU"/>
        </w:rPr>
        <w:t>6</w:t>
      </w:r>
      <w:r>
        <w:rPr>
          <w:lang w:val="en-AU" w:eastAsia="en-AU"/>
        </w:rPr>
        <w:t xml:space="preserve">, Figure </w:t>
      </w:r>
      <w:r w:rsidR="004149C8">
        <w:rPr>
          <w:lang w:val="en-AU" w:eastAsia="en-AU"/>
        </w:rPr>
        <w:t>12</w:t>
      </w:r>
      <w:r>
        <w:rPr>
          <w:lang w:val="en-AU" w:eastAsia="en-AU"/>
        </w:rPr>
        <w:t xml:space="preserve">). </w:t>
      </w:r>
    </w:p>
    <w:p w14:paraId="2FB119C6" w14:textId="77777777" w:rsidR="0059608E" w:rsidRDefault="0059608E" w:rsidP="006130D4">
      <w:pPr>
        <w:spacing w:line="276" w:lineRule="auto"/>
        <w:rPr>
          <w:lang w:val="en-AU" w:eastAsia="en-AU"/>
        </w:rPr>
      </w:pPr>
      <w:r>
        <w:rPr>
          <w:lang w:val="en-AU" w:eastAsia="en-AU"/>
        </w:rPr>
        <w:t xml:space="preserve"> </w:t>
      </w:r>
    </w:p>
    <w:p w14:paraId="38369167" w14:textId="77777777" w:rsidR="0059608E" w:rsidRDefault="0059608E" w:rsidP="006130D4">
      <w:pPr>
        <w:pStyle w:val="Caption"/>
        <w:keepNext/>
        <w:spacing w:line="276" w:lineRule="auto"/>
        <w:jc w:val="center"/>
      </w:pPr>
      <w:bookmarkStart w:id="542" w:name="OLE_LINK5"/>
      <w:r>
        <w:rPr>
          <w:noProof/>
          <w:lang w:val="en-AU" w:eastAsia="en-AU" w:bidi="ar-SA"/>
        </w:rPr>
        <w:lastRenderedPageBreak/>
        <w:drawing>
          <wp:inline distT="0" distB="0" distL="0" distR="0" wp14:anchorId="4F5A3D31" wp14:editId="53EA5B2A">
            <wp:extent cx="6633210" cy="4420235"/>
            <wp:effectExtent l="19050" t="19050" r="15240" b="18415"/>
            <wp:docPr id="49" name="Picture 49" descr="Figure 12 Seasonal average PSII-HEq for Wet Tropics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633210" cy="4420235"/>
                    </a:xfrm>
                    <a:prstGeom prst="rect">
                      <a:avLst/>
                    </a:prstGeom>
                    <a:noFill/>
                    <a:ln>
                      <a:solidFill>
                        <a:schemeClr val="tx1"/>
                      </a:solidFill>
                    </a:ln>
                  </pic:spPr>
                </pic:pic>
              </a:graphicData>
            </a:graphic>
          </wp:inline>
        </w:drawing>
      </w:r>
    </w:p>
    <w:p w14:paraId="2074F968" w14:textId="77777777" w:rsidR="0059608E" w:rsidRDefault="0059608E" w:rsidP="006130D4">
      <w:pPr>
        <w:pStyle w:val="Caption"/>
        <w:spacing w:line="276" w:lineRule="auto"/>
        <w:jc w:val="center"/>
      </w:pPr>
      <w:bookmarkStart w:id="543" w:name="_Toc462399472"/>
      <w:r>
        <w:t xml:space="preserve">Figure </w:t>
      </w:r>
      <w:r>
        <w:fldChar w:fldCharType="begin"/>
      </w:r>
      <w:r>
        <w:instrText xml:space="preserve"> SEQ Figure \* ARABIC </w:instrText>
      </w:r>
      <w:r>
        <w:fldChar w:fldCharType="separate"/>
      </w:r>
      <w:r w:rsidR="00E51A34">
        <w:rPr>
          <w:noProof/>
        </w:rPr>
        <w:t>12</w:t>
      </w:r>
      <w:r>
        <w:rPr>
          <w:noProof/>
        </w:rPr>
        <w:fldChar w:fldCharType="end"/>
      </w:r>
      <w:r>
        <w:t xml:space="preserve"> </w:t>
      </w:r>
      <w:r w:rsidRPr="00312313">
        <w:t>Seasonal average PSII-HEq for Wet Tropics sites since monitoring commenced</w:t>
      </w:r>
      <w:bookmarkEnd w:id="543"/>
    </w:p>
    <w:p w14:paraId="4290CE38" w14:textId="77777777" w:rsidR="0059608E" w:rsidRPr="00D550E8" w:rsidRDefault="0059608E" w:rsidP="006130D4"/>
    <w:bookmarkEnd w:id="542"/>
    <w:p w14:paraId="4844001A" w14:textId="77777777" w:rsidR="0059608E" w:rsidRDefault="0059608E" w:rsidP="006130D4">
      <w:pPr>
        <w:spacing w:line="360" w:lineRule="auto"/>
        <w:rPr>
          <w:lang w:val="en-AU" w:eastAsia="en-AU"/>
        </w:rPr>
      </w:pPr>
      <w:r>
        <w:rPr>
          <w:lang w:val="en-AU" w:eastAsia="en-AU"/>
        </w:rPr>
        <w:t>The chemicals detected using PDMS samplers (none deployed at Low Isles) were chlorpyrifos, pendimethalin, propazine and trifluralin. All were detected at concentrations &lt;1 ng L</w:t>
      </w:r>
      <w:r>
        <w:rPr>
          <w:vertAlign w:val="superscript"/>
          <w:lang w:val="en-AU" w:eastAsia="en-AU"/>
        </w:rPr>
        <w:t>-1</w:t>
      </w:r>
      <w:r>
        <w:rPr>
          <w:lang w:val="en-AU" w:eastAsia="en-AU"/>
        </w:rPr>
        <w:t xml:space="preserve"> (data summarised in Appendix</w:t>
      </w:r>
      <w:r w:rsidRPr="00D85416">
        <w:t xml:space="preserve"> </w:t>
      </w:r>
      <w:r w:rsidRPr="00D85416">
        <w:rPr>
          <w:lang w:val="en-AU" w:eastAsia="en-AU"/>
        </w:rPr>
        <w:t>D, Table</w:t>
      </w:r>
      <w:r>
        <w:rPr>
          <w:lang w:val="en-AU" w:eastAsia="en-AU"/>
        </w:rPr>
        <w:t>s</w:t>
      </w:r>
      <w:r w:rsidRPr="00D85416">
        <w:rPr>
          <w:lang w:val="en-AU" w:eastAsia="en-AU"/>
        </w:rPr>
        <w:t xml:space="preserve"> </w:t>
      </w:r>
      <w:r w:rsidR="004149C8">
        <w:rPr>
          <w:lang w:val="en-AU" w:eastAsia="en-AU"/>
        </w:rPr>
        <w:t>A14 – A19</w:t>
      </w:r>
      <w:r>
        <w:rPr>
          <w:lang w:val="en-AU" w:eastAsia="en-AU"/>
        </w:rPr>
        <w:t>). Chlorpyrifos and pendimethalin were very frequently detected at very low levels in 92 % and 87 % of samplers respectively.</w:t>
      </w:r>
    </w:p>
    <w:p w14:paraId="73C4C367" w14:textId="77777777" w:rsidR="0059608E" w:rsidRDefault="0059608E" w:rsidP="006130D4">
      <w:pPr>
        <w:spacing w:line="360" w:lineRule="auto"/>
        <w:rPr>
          <w:lang w:val="en-GB" w:eastAsia="en-AU"/>
        </w:rPr>
      </w:pPr>
      <w:bookmarkStart w:id="544" w:name="_Toc335638578"/>
      <w:bookmarkStart w:id="545" w:name="_Toc335641188"/>
      <w:bookmarkStart w:id="546" w:name="_Toc335638579"/>
      <w:bookmarkStart w:id="547" w:name="_Toc335641189"/>
      <w:bookmarkStart w:id="548" w:name="_Toc335638580"/>
      <w:bookmarkStart w:id="549" w:name="_Toc335641190"/>
      <w:bookmarkStart w:id="550" w:name="_Toc335638581"/>
      <w:bookmarkStart w:id="551" w:name="_Toc335641191"/>
      <w:bookmarkStart w:id="552" w:name="_Toc335638582"/>
      <w:bookmarkStart w:id="553" w:name="_Toc335641192"/>
      <w:bookmarkStart w:id="554" w:name="_Toc335638583"/>
      <w:bookmarkStart w:id="555" w:name="_Toc335641193"/>
      <w:bookmarkStart w:id="556" w:name="_Toc335638584"/>
      <w:bookmarkStart w:id="557" w:name="_Toc335641194"/>
      <w:bookmarkStart w:id="558" w:name="_Toc335638585"/>
      <w:bookmarkStart w:id="559" w:name="_Toc335641195"/>
      <w:bookmarkStart w:id="560" w:name="_Toc335638586"/>
      <w:bookmarkStart w:id="561" w:name="_Toc335641196"/>
      <w:bookmarkStart w:id="562" w:name="_Toc335638587"/>
      <w:bookmarkStart w:id="563" w:name="_Toc335641197"/>
      <w:bookmarkStart w:id="564" w:name="_Toc335638588"/>
      <w:bookmarkStart w:id="565" w:name="_Toc335641198"/>
      <w:bookmarkStart w:id="566" w:name="_Toc335638589"/>
      <w:bookmarkStart w:id="567" w:name="_Toc335641199"/>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p>
    <w:p w14:paraId="5E893E14" w14:textId="77777777" w:rsidR="0059608E" w:rsidRDefault="0059608E" w:rsidP="006130D4">
      <w:pPr>
        <w:spacing w:line="360" w:lineRule="auto"/>
        <w:rPr>
          <w:lang w:val="en-GB" w:eastAsia="en-AU"/>
        </w:rPr>
      </w:pPr>
      <w:r>
        <w:rPr>
          <w:lang w:val="en-GB" w:eastAsia="en-AU"/>
        </w:rPr>
        <w:t xml:space="preserve">This year, a passive sampler was deployed at a single location </w:t>
      </w:r>
      <w:r w:rsidR="00801E6E">
        <w:rPr>
          <w:lang w:val="en-GB" w:eastAsia="en-AU"/>
        </w:rPr>
        <w:t>(High Island West)</w:t>
      </w:r>
      <w:r w:rsidR="001B634A">
        <w:rPr>
          <w:lang w:val="en-GB" w:eastAsia="en-AU"/>
        </w:rPr>
        <w:t xml:space="preserve"> </w:t>
      </w:r>
      <w:r>
        <w:rPr>
          <w:lang w:val="en-GB" w:eastAsia="en-AU"/>
        </w:rPr>
        <w:t xml:space="preserve">on </w:t>
      </w:r>
      <w:r w:rsidR="00641DE5">
        <w:rPr>
          <w:lang w:val="en-GB" w:eastAsia="en-AU"/>
        </w:rPr>
        <w:t>a</w:t>
      </w:r>
      <w:r>
        <w:rPr>
          <w:lang w:val="en-GB" w:eastAsia="en-AU"/>
        </w:rPr>
        <w:t xml:space="preserve"> transect</w:t>
      </w:r>
      <w:r w:rsidR="00641DE5">
        <w:rPr>
          <w:lang w:val="en-GB" w:eastAsia="en-AU"/>
        </w:rPr>
        <w:t xml:space="preserve"> extending from the Russell-Mulgrave River</w:t>
      </w:r>
      <w:r>
        <w:rPr>
          <w:lang w:val="en-GB" w:eastAsia="en-AU"/>
        </w:rPr>
        <w:t>, closely following the second major flow event of the season. Two grab samples were collected from the river mouth (on the 7</w:t>
      </w:r>
      <w:r w:rsidRPr="00951A7A">
        <w:rPr>
          <w:vertAlign w:val="superscript"/>
          <w:lang w:val="en-GB" w:eastAsia="en-AU"/>
        </w:rPr>
        <w:t>th</w:t>
      </w:r>
      <w:r>
        <w:rPr>
          <w:lang w:val="en-GB" w:eastAsia="en-AU"/>
        </w:rPr>
        <w:t xml:space="preserve"> of January and 12</w:t>
      </w:r>
      <w:r w:rsidRPr="00951A7A">
        <w:rPr>
          <w:vertAlign w:val="superscript"/>
          <w:lang w:val="en-GB" w:eastAsia="en-AU"/>
        </w:rPr>
        <w:t>th</w:t>
      </w:r>
      <w:r>
        <w:rPr>
          <w:lang w:val="en-GB" w:eastAsia="en-AU"/>
        </w:rPr>
        <w:t xml:space="preserve"> of February 2015). The PSII herbicides hexazinone (0.75 ng L</w:t>
      </w:r>
      <w:r>
        <w:rPr>
          <w:vertAlign w:val="superscript"/>
          <w:lang w:val="en-GB" w:eastAsia="en-AU"/>
        </w:rPr>
        <w:t>-1</w:t>
      </w:r>
      <w:r>
        <w:rPr>
          <w:lang w:val="en-GB" w:eastAsia="en-AU"/>
        </w:rPr>
        <w:t>), diuron (0.64 ng L</w:t>
      </w:r>
      <w:r>
        <w:rPr>
          <w:vertAlign w:val="superscript"/>
          <w:lang w:val="en-GB" w:eastAsia="en-AU"/>
        </w:rPr>
        <w:t>-1</w:t>
      </w:r>
      <w:r>
        <w:rPr>
          <w:lang w:val="en-GB" w:eastAsia="en-AU"/>
        </w:rPr>
        <w:t>) and atrazine (0.40 ng L</w:t>
      </w:r>
      <w:r>
        <w:rPr>
          <w:vertAlign w:val="superscript"/>
          <w:lang w:val="en-GB" w:eastAsia="en-AU"/>
        </w:rPr>
        <w:t>-1</w:t>
      </w:r>
      <w:r>
        <w:rPr>
          <w:lang w:val="en-GB" w:eastAsia="en-AU"/>
        </w:rPr>
        <w:t xml:space="preserve">) were the dominant herbicides detected in both the passive and grab samples (Appendix E, Tables </w:t>
      </w:r>
      <w:r w:rsidR="0058761E">
        <w:rPr>
          <w:lang w:val="en-GB" w:eastAsia="en-AU"/>
        </w:rPr>
        <w:t>A30 – A31) although t</w:t>
      </w:r>
      <w:r>
        <w:rPr>
          <w:lang w:val="en-GB" w:eastAsia="en-AU"/>
        </w:rPr>
        <w:t xml:space="preserve">he PSII-HEq </w:t>
      </w:r>
      <w:r w:rsidR="0058761E">
        <w:rPr>
          <w:lang w:val="en-GB" w:eastAsia="en-AU"/>
        </w:rPr>
        <w:t xml:space="preserve">concentrations were </w:t>
      </w:r>
      <w:r>
        <w:rPr>
          <w:lang w:val="en-GB" w:eastAsia="en-AU"/>
        </w:rPr>
        <w:t xml:space="preserve">very low (Category 5). Grab samples and passive samplers collected in previous monitoring years have reached maximum PSII-HEq Index </w:t>
      </w:r>
      <w:r w:rsidR="00DD3C09">
        <w:rPr>
          <w:lang w:val="en-GB" w:eastAsia="en-AU"/>
        </w:rPr>
        <w:t>C</w:t>
      </w:r>
      <w:r>
        <w:rPr>
          <w:lang w:val="en-GB" w:eastAsia="en-AU"/>
        </w:rPr>
        <w:t>ategories of 2 and 4 respectively (</w:t>
      </w:r>
      <w:r w:rsidR="00801E6E">
        <w:rPr>
          <w:lang w:val="en-GB" w:eastAsia="en-AU"/>
        </w:rPr>
        <w:t xml:space="preserve">Appendix D, </w:t>
      </w:r>
      <w:r>
        <w:rPr>
          <w:lang w:val="en-GB" w:eastAsia="en-AU"/>
        </w:rPr>
        <w:t xml:space="preserve">Figure </w:t>
      </w:r>
      <w:r w:rsidR="00801E6E">
        <w:rPr>
          <w:lang w:val="en-GB" w:eastAsia="en-AU"/>
        </w:rPr>
        <w:t>A3</w:t>
      </w:r>
      <w:r>
        <w:rPr>
          <w:lang w:val="en-GB" w:eastAsia="en-AU"/>
        </w:rPr>
        <w:t>).</w:t>
      </w:r>
    </w:p>
    <w:p w14:paraId="521F6240" w14:textId="77777777" w:rsidR="0059608E" w:rsidRDefault="0059608E" w:rsidP="006130D4">
      <w:pPr>
        <w:spacing w:line="360" w:lineRule="auto"/>
        <w:jc w:val="center"/>
        <w:rPr>
          <w:lang w:val="en-GB" w:eastAsia="en-AU"/>
        </w:rPr>
      </w:pPr>
    </w:p>
    <w:p w14:paraId="19091B0D" w14:textId="77777777" w:rsidR="002257D2" w:rsidRPr="00EB0E9C" w:rsidRDefault="0059608E" w:rsidP="002257D2">
      <w:pPr>
        <w:spacing w:line="360" w:lineRule="auto"/>
        <w:rPr>
          <w:lang w:val="en-GB" w:eastAsia="en-AU"/>
        </w:rPr>
      </w:pPr>
      <w:r>
        <w:rPr>
          <w:lang w:val="en-GB" w:eastAsia="en-AU"/>
        </w:rPr>
        <w:t>This year, passive samplers were deployed at three locations (Tully River mouth, Bedarra Island and Dunk Island North)</w:t>
      </w:r>
      <w:r w:rsidR="00801E6E">
        <w:rPr>
          <w:lang w:val="en-GB" w:eastAsia="en-AU"/>
        </w:rPr>
        <w:t xml:space="preserve"> along </w:t>
      </w:r>
      <w:r w:rsidR="002257D2">
        <w:rPr>
          <w:lang w:val="en-GB" w:eastAsia="en-AU"/>
        </w:rPr>
        <w:t>a transect extending from the Tully River</w:t>
      </w:r>
      <w:r>
        <w:rPr>
          <w:lang w:val="en-GB" w:eastAsia="en-AU"/>
        </w:rPr>
        <w:t>. Five grab samples were collected on the 6</w:t>
      </w:r>
      <w:r w:rsidRPr="00860DC5">
        <w:rPr>
          <w:vertAlign w:val="superscript"/>
          <w:lang w:val="en-GB" w:eastAsia="en-AU"/>
        </w:rPr>
        <w:t>th</w:t>
      </w:r>
      <w:r>
        <w:rPr>
          <w:lang w:val="en-GB" w:eastAsia="en-AU"/>
        </w:rPr>
        <w:t xml:space="preserve"> of January and 20</w:t>
      </w:r>
      <w:r w:rsidRPr="00860DC5">
        <w:rPr>
          <w:vertAlign w:val="superscript"/>
          <w:lang w:val="en-GB" w:eastAsia="en-AU"/>
        </w:rPr>
        <w:t>th</w:t>
      </w:r>
      <w:r>
        <w:rPr>
          <w:lang w:val="en-GB" w:eastAsia="en-AU"/>
        </w:rPr>
        <w:t xml:space="preserve"> of February 2015).</w:t>
      </w:r>
      <w:r w:rsidR="002257D2" w:rsidRPr="002257D2">
        <w:rPr>
          <w:lang w:val="en-GB" w:eastAsia="en-AU"/>
        </w:rPr>
        <w:t xml:space="preserve"> </w:t>
      </w:r>
      <w:r w:rsidR="002257D2">
        <w:rPr>
          <w:lang w:val="en-GB" w:eastAsia="en-AU"/>
        </w:rPr>
        <w:t xml:space="preserve">There was only a single detection of prometryn in grab samples, and the maximum PSII-HEq concentration detected </w:t>
      </w:r>
      <w:r w:rsidR="00593816">
        <w:rPr>
          <w:lang w:val="en-GB" w:eastAsia="en-AU"/>
        </w:rPr>
        <w:t xml:space="preserve">in passive samplers </w:t>
      </w:r>
      <w:r w:rsidR="002257D2">
        <w:rPr>
          <w:lang w:val="en-GB" w:eastAsia="en-AU"/>
        </w:rPr>
        <w:t>was 21 ng L</w:t>
      </w:r>
      <w:r w:rsidR="002257D2">
        <w:rPr>
          <w:vertAlign w:val="superscript"/>
          <w:lang w:val="en-GB" w:eastAsia="en-AU"/>
        </w:rPr>
        <w:t>-1</w:t>
      </w:r>
      <w:r w:rsidR="002257D2">
        <w:rPr>
          <w:lang w:val="en-GB" w:eastAsia="en-AU"/>
        </w:rPr>
        <w:t xml:space="preserve"> at the Tully River mouth</w:t>
      </w:r>
      <w:r w:rsidR="00593816">
        <w:rPr>
          <w:lang w:val="en-GB" w:eastAsia="en-AU"/>
        </w:rPr>
        <w:t xml:space="preserve"> (Appendix E, Tables A30 – A31)</w:t>
      </w:r>
      <w:r w:rsidR="002257D2">
        <w:rPr>
          <w:lang w:val="en-GB" w:eastAsia="en-AU"/>
        </w:rPr>
        <w:t xml:space="preserve">. </w:t>
      </w:r>
    </w:p>
    <w:p w14:paraId="0D5F877C" w14:textId="77777777" w:rsidR="0059608E" w:rsidRDefault="0059608E" w:rsidP="006130D4">
      <w:pPr>
        <w:spacing w:line="360" w:lineRule="auto"/>
        <w:rPr>
          <w:lang w:val="en-GB" w:eastAsia="en-AU"/>
        </w:rPr>
      </w:pPr>
    </w:p>
    <w:p w14:paraId="24DD57A5" w14:textId="77777777" w:rsidR="0059608E" w:rsidRDefault="0059608E" w:rsidP="006130D4">
      <w:pPr>
        <w:spacing w:line="360" w:lineRule="auto"/>
        <w:rPr>
          <w:lang w:val="en-GB" w:eastAsia="en-AU"/>
        </w:rPr>
      </w:pPr>
      <w:r>
        <w:rPr>
          <w:lang w:val="en-GB" w:eastAsia="en-AU"/>
        </w:rPr>
        <w:t>Since monitoring commenced, PSII herbicides have been detected in grab samples collected at all transect locations, with the highest PSII-HEq concentration of 390 ng L</w:t>
      </w:r>
      <w:r>
        <w:rPr>
          <w:vertAlign w:val="superscript"/>
          <w:lang w:val="en-GB" w:eastAsia="en-AU"/>
        </w:rPr>
        <w:t>-1</w:t>
      </w:r>
      <w:r>
        <w:rPr>
          <w:lang w:val="en-GB" w:eastAsia="en-AU"/>
        </w:rPr>
        <w:t xml:space="preserve"> detected at the Tully River mouth in 2013-14 (</w:t>
      </w:r>
      <w:r w:rsidR="008C46E3">
        <w:rPr>
          <w:lang w:val="en-GB" w:eastAsia="en-AU"/>
        </w:rPr>
        <w:t>Appendix D, Figure A4</w:t>
      </w:r>
      <w:r>
        <w:rPr>
          <w:lang w:val="en-GB" w:eastAsia="en-AU"/>
        </w:rPr>
        <w:t xml:space="preserve">) where PSII-HEq Categories ranged from Category 5 to Category 2. Other non-PSII indexed herbicides have been frequently detected including metolachlor, imidacloprid and metribuzin. Both diuron and metolachlor have exceeded the low reliability </w:t>
      </w:r>
      <w:r w:rsidR="008B0D5D">
        <w:rPr>
          <w:lang w:val="en-GB" w:eastAsia="en-AU"/>
        </w:rPr>
        <w:t>IWLs</w:t>
      </w:r>
      <w:r>
        <w:rPr>
          <w:lang w:val="en-GB" w:eastAsia="en-AU"/>
        </w:rPr>
        <w:t xml:space="preserve"> for marine waters collected at the Tully River mouth </w:t>
      </w:r>
      <w:r w:rsidR="008B0D5D">
        <w:rPr>
          <w:lang w:val="en-GB" w:eastAsia="en-AU"/>
        </w:rPr>
        <w:t xml:space="preserve">in previous monitoring years </w:t>
      </w:r>
      <w:r w:rsidR="008B0D5D">
        <w:rPr>
          <w:lang w:val="en-GB" w:eastAsia="en-AU"/>
        </w:rPr>
        <w:fldChar w:fldCharType="begin"/>
      </w:r>
      <w:r w:rsidR="005A1DD8">
        <w:rPr>
          <w:lang w:val="en-GB" w:eastAsia="en-AU"/>
        </w:rPr>
        <w:instrText xml:space="preserve"> ADDIN EN.CITE &lt;EndNote&gt;&lt;Cite&gt;&lt;Author&gt;ANZECC&lt;/Author&gt;&lt;Year&gt;2000&lt;/Year&gt;&lt;RecNum&gt;129&lt;/RecNum&gt;&lt;DisplayText&gt;(ANZECC and ARMCANZ, 2000, Gallen et al., 2014)&lt;/DisplayText&gt;&lt;record&gt;&lt;rec-number&gt;129&lt;/rec-number&gt;&lt;foreign-keys&gt;&lt;key app="EN" db-id="0zzrztwe5p59skesdrqpsfeu2s0xt5zd5v9p" timestamp="1429588307"&gt;129&lt;/key&gt;&lt;/foreign-keys&gt;&lt;ref-type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4.&lt;/title&gt;&lt;/titles&gt;&lt;volume&gt;1&lt;/volume&gt;&lt;dates&gt;&lt;year&gt;2000&lt;/year&gt;&lt;/dates&gt;&lt;pub-location&gt;Australian &amp;amp; New Zealand Environment &amp;amp; Conservation Council and the Agriculture &amp;amp; Resource Management Council of Australia &amp;amp; New Zealand.&lt;/pub-location&gt;&lt;urls&gt;&lt;/urls&gt;&lt;/record&gt;&lt;/Cite&gt;&lt;Cite&gt;&lt;Author&gt;Gallen&lt;/Author&gt;&lt;Year&gt;2014&lt;/Year&gt;&lt;RecNum&gt;289&lt;/RecNum&gt;&lt;record&gt;&lt;rec-number&gt;289&lt;/rec-number&gt;&lt;foreign-keys&gt;&lt;key app="EN" db-id="0zzrztwe5p59skesdrqpsfeu2s0xt5zd5v9p" timestamp="1466320062"&gt;289&lt;/key&gt;&lt;/foreign-keys&gt;&lt;ref-type name="Report"&gt;27&lt;/ref-type&gt;&lt;contributors&gt;&lt;authors&gt;&lt;author&gt;Gallen, C&lt;/author&gt;&lt;author&gt;Devlin, M&lt;/author&gt;&lt;author&gt;Thompson, K&lt;/author&gt;&lt;author&gt;Paxman, C&lt;/author&gt;&lt;author&gt;Mueller, J&lt;/author&gt;&lt;/authors&gt;&lt;/contributors&gt;&lt;titles&gt;&lt;title&gt;Pesticide monitoring in inshore waters of the Great Barrier Reef using both time-integrated and event monitoring techniques (2013 - 2014)&lt;/title&gt;&lt;/titles&gt;&lt;dates&gt;&lt;year&gt;2014&lt;/year&gt;&lt;/dates&gt;&lt;pub-location&gt;The University of Queensland, The National Research Centre for Environmental Toxicology (Entox)&lt;/pub-location&gt;&lt;urls&gt;&lt;/urls&gt;&lt;/record&gt;&lt;/Cite&gt;&lt;/EndNote&gt;</w:instrText>
      </w:r>
      <w:r w:rsidR="008B0D5D">
        <w:rPr>
          <w:lang w:val="en-GB" w:eastAsia="en-AU"/>
        </w:rPr>
        <w:fldChar w:fldCharType="separate"/>
      </w:r>
      <w:r w:rsidR="005A1DD8">
        <w:rPr>
          <w:noProof/>
          <w:lang w:val="en-GB" w:eastAsia="en-AU"/>
        </w:rPr>
        <w:t>(ANZECC and ARMCANZ, 2000, Gallen et al., 2014)</w:t>
      </w:r>
      <w:r w:rsidR="008B0D5D">
        <w:rPr>
          <w:lang w:val="en-GB" w:eastAsia="en-AU"/>
        </w:rPr>
        <w:fldChar w:fldCharType="end"/>
      </w:r>
      <w:r>
        <w:rPr>
          <w:lang w:val="en-GB" w:eastAsia="en-AU"/>
        </w:rPr>
        <w:t>. PSII herbicides have also been detected at all transect locations using passive samplers with the highest concentration detected also at the Tully River mouth (PSII-HEq Max of 238 ng L</w:t>
      </w:r>
      <w:r>
        <w:rPr>
          <w:vertAlign w:val="superscript"/>
          <w:lang w:val="en-GB" w:eastAsia="en-AU"/>
        </w:rPr>
        <w:t>-1</w:t>
      </w:r>
      <w:r>
        <w:rPr>
          <w:lang w:val="en-GB" w:eastAsia="en-AU"/>
        </w:rPr>
        <w:t>) in 2013-14.</w:t>
      </w:r>
    </w:p>
    <w:p w14:paraId="5A78263D" w14:textId="77777777" w:rsidR="0059608E" w:rsidRPr="00DC0ECD" w:rsidRDefault="0059608E" w:rsidP="006130D4">
      <w:pPr>
        <w:spacing w:line="276" w:lineRule="auto"/>
        <w:jc w:val="center"/>
        <w:rPr>
          <w:lang w:val="en-GB" w:eastAsia="en-AU"/>
        </w:rPr>
      </w:pPr>
    </w:p>
    <w:p w14:paraId="4E5FCF12" w14:textId="77777777" w:rsidR="0059608E" w:rsidRDefault="0059608E" w:rsidP="0059608E">
      <w:pPr>
        <w:pStyle w:val="Heading3"/>
        <w:numPr>
          <w:ilvl w:val="2"/>
          <w:numId w:val="2"/>
        </w:numPr>
      </w:pPr>
      <w:bookmarkStart w:id="568" w:name="_Toc455069470"/>
      <w:bookmarkStart w:id="569" w:name="_Toc455070120"/>
      <w:bookmarkStart w:id="570" w:name="_Toc455070392"/>
      <w:bookmarkStart w:id="571" w:name="_Toc455151779"/>
      <w:bookmarkStart w:id="572" w:name="_Toc455069471"/>
      <w:bookmarkStart w:id="573" w:name="_Toc455070121"/>
      <w:bookmarkStart w:id="574" w:name="_Toc455070393"/>
      <w:bookmarkStart w:id="575" w:name="_Toc455151780"/>
      <w:bookmarkStart w:id="576" w:name="_Toc461457774"/>
      <w:bookmarkStart w:id="577" w:name="_Toc462651955"/>
      <w:bookmarkEnd w:id="568"/>
      <w:bookmarkEnd w:id="569"/>
      <w:bookmarkEnd w:id="570"/>
      <w:bookmarkEnd w:id="571"/>
      <w:bookmarkEnd w:id="572"/>
      <w:bookmarkEnd w:id="573"/>
      <w:bookmarkEnd w:id="574"/>
      <w:bookmarkEnd w:id="575"/>
      <w:r>
        <w:t>Burdekin Region</w:t>
      </w:r>
      <w:bookmarkEnd w:id="576"/>
      <w:bookmarkEnd w:id="577"/>
    </w:p>
    <w:p w14:paraId="4C97C85E" w14:textId="77777777" w:rsidR="0059608E" w:rsidRDefault="00856D18" w:rsidP="006130D4">
      <w:pPr>
        <w:spacing w:line="360" w:lineRule="auto"/>
        <w:rPr>
          <w:lang w:val="en-AU" w:eastAsia="en-AU"/>
        </w:rPr>
      </w:pPr>
      <w:r>
        <w:rPr>
          <w:lang w:val="en-AU"/>
        </w:rPr>
        <w:t>In 2014-2015, concentrations of PSII herbicides during the wet season were generally equal to or lower than concentrations detected in the previous monitoring year (Table 7; for historical data, see Appendix G, Figures A2</w:t>
      </w:r>
      <w:r w:rsidR="00921EBA">
        <w:rPr>
          <w:lang w:val="en-AU"/>
        </w:rPr>
        <w:t>7</w:t>
      </w:r>
      <w:r>
        <w:rPr>
          <w:lang w:val="en-AU"/>
        </w:rPr>
        <w:t xml:space="preserve"> – A2</w:t>
      </w:r>
      <w:r w:rsidR="00921EBA">
        <w:rPr>
          <w:lang w:val="en-AU"/>
        </w:rPr>
        <w:t>9</w:t>
      </w:r>
      <w:r>
        <w:rPr>
          <w:lang w:val="en-AU"/>
        </w:rPr>
        <w:t xml:space="preserve">). </w:t>
      </w:r>
      <w:r w:rsidR="000C31AA">
        <w:rPr>
          <w:lang w:val="en-AU"/>
        </w:rPr>
        <w:t>The overall decreased concentrations of herbicides coincided with reduced flows of major rivers influencing the passive samplers that were below the long-term median (Appendix F, Figures A11 – A1</w:t>
      </w:r>
      <w:r w:rsidR="00CF0524">
        <w:rPr>
          <w:lang w:val="en-AU"/>
        </w:rPr>
        <w:t>3</w:t>
      </w:r>
      <w:r w:rsidR="000C31AA">
        <w:rPr>
          <w:lang w:val="en-AU"/>
        </w:rPr>
        <w:t xml:space="preserve">). </w:t>
      </w:r>
      <w:r w:rsidR="0059608E">
        <w:rPr>
          <w:lang w:val="en-AU" w:eastAsia="en-AU"/>
        </w:rPr>
        <w:t>The PSII herbicides (and transformation products) detected at sites in this region include ametryn, atrazine (and its breakdown products), diuron, hexazinone, simazine and tebuthiruon. The ‘alternative’ herbicides 2,4-D, MCPA and metolachlor were frequently detected at all sites,</w:t>
      </w:r>
      <w:r w:rsidR="008C46E3">
        <w:rPr>
          <w:lang w:val="en-AU" w:eastAsia="en-AU"/>
        </w:rPr>
        <w:t xml:space="preserve"> and</w:t>
      </w:r>
      <w:r w:rsidR="0059608E">
        <w:rPr>
          <w:lang w:val="en-AU" w:eastAsia="en-AU"/>
        </w:rPr>
        <w:t xml:space="preserve"> both fluazifop and haloxyfop were detected at Cape Cleveland only</w:t>
      </w:r>
      <w:r w:rsidR="008C46E3">
        <w:rPr>
          <w:lang w:val="en-AU" w:eastAsia="en-AU"/>
        </w:rPr>
        <w:t xml:space="preserve"> (Appendix D, Tables </w:t>
      </w:r>
      <w:r w:rsidR="00063699">
        <w:rPr>
          <w:lang w:val="en-AU" w:eastAsia="en-AU"/>
        </w:rPr>
        <w:t>A20</w:t>
      </w:r>
      <w:r w:rsidR="008C46E3">
        <w:rPr>
          <w:lang w:val="en-AU" w:eastAsia="en-AU"/>
        </w:rPr>
        <w:t xml:space="preserve"> </w:t>
      </w:r>
      <w:r w:rsidR="00063699">
        <w:rPr>
          <w:lang w:val="en-AU" w:eastAsia="en-AU"/>
        </w:rPr>
        <w:t>–</w:t>
      </w:r>
      <w:r w:rsidR="008C46E3">
        <w:rPr>
          <w:lang w:val="en-AU" w:eastAsia="en-AU"/>
        </w:rPr>
        <w:t xml:space="preserve"> </w:t>
      </w:r>
      <w:r w:rsidR="00063699">
        <w:rPr>
          <w:lang w:val="en-AU" w:eastAsia="en-AU"/>
        </w:rPr>
        <w:t>A23</w:t>
      </w:r>
      <w:r w:rsidR="008C46E3">
        <w:rPr>
          <w:lang w:val="en-AU" w:eastAsia="en-AU"/>
        </w:rPr>
        <w:t>)</w:t>
      </w:r>
      <w:r w:rsidR="0059608E">
        <w:rPr>
          <w:lang w:val="en-AU" w:eastAsia="en-AU"/>
        </w:rPr>
        <w:t>. Similarly to the Wet Tropics region, the increased concentrations of tebuthiuron observed in the previous dry season, were absent.</w:t>
      </w:r>
      <w:r w:rsidR="0059608E" w:rsidRPr="003B56D9">
        <w:rPr>
          <w:lang w:val="en-AU" w:eastAsia="en-AU"/>
        </w:rPr>
        <w:t xml:space="preserve"> </w:t>
      </w:r>
      <w:r w:rsidR="0059608E">
        <w:rPr>
          <w:lang w:val="en-AU" w:eastAsia="en-AU"/>
        </w:rPr>
        <w:t xml:space="preserve">Using PDMS samplers (not deployed at Orpheus Island), chlorpyrifos and pendimethalin were frequently detected at very low concentrations in the wet season (Appendix D, </w:t>
      </w:r>
      <w:r w:rsidR="00063699">
        <w:rPr>
          <w:lang w:val="en-AU" w:eastAsia="en-AU"/>
        </w:rPr>
        <w:t>Tables A20 – A23</w:t>
      </w:r>
      <w:r w:rsidR="0059608E">
        <w:rPr>
          <w:lang w:val="en-AU" w:eastAsia="en-AU"/>
        </w:rPr>
        <w:t xml:space="preserve">). </w:t>
      </w:r>
      <w:r w:rsidR="0059608E">
        <w:rPr>
          <w:lang w:val="en-GB" w:eastAsia="en-AU"/>
        </w:rPr>
        <w:t xml:space="preserve"> </w:t>
      </w:r>
    </w:p>
    <w:p w14:paraId="75EEAE63" w14:textId="77777777" w:rsidR="0059608E" w:rsidRDefault="0059608E" w:rsidP="006130D4">
      <w:pPr>
        <w:spacing w:line="360" w:lineRule="auto"/>
        <w:rPr>
          <w:lang w:val="en-AU" w:eastAsia="en-AU"/>
        </w:rPr>
      </w:pPr>
    </w:p>
    <w:p w14:paraId="60A50FE9" w14:textId="77777777" w:rsidR="0059608E" w:rsidRDefault="0059608E" w:rsidP="006130D4">
      <w:pPr>
        <w:spacing w:line="360" w:lineRule="auto"/>
        <w:rPr>
          <w:lang w:val="en-AU" w:eastAsia="en-AU"/>
        </w:rPr>
      </w:pPr>
      <w:r>
        <w:rPr>
          <w:lang w:val="en-AU" w:eastAsia="en-AU"/>
        </w:rPr>
        <w:t>The most frequently detected PSII herbicides in this region were (on average) diuron (88 % of samplers; maximum concentration 6.6 ng L</w:t>
      </w:r>
      <w:r w:rsidRPr="00F24C52">
        <w:rPr>
          <w:vertAlign w:val="superscript"/>
          <w:lang w:val="en-AU" w:eastAsia="en-AU"/>
        </w:rPr>
        <w:t>-1</w:t>
      </w:r>
      <w:r>
        <w:rPr>
          <w:vertAlign w:val="superscript"/>
          <w:lang w:val="en-AU" w:eastAsia="en-AU"/>
        </w:rPr>
        <w:t xml:space="preserve"> </w:t>
      </w:r>
      <w:r>
        <w:rPr>
          <w:lang w:val="en-AU" w:eastAsia="en-AU"/>
        </w:rPr>
        <w:t>at Barratta Creek mouth), hexazinone (88 % % of samplers; maximum concentration 0.72 ng L</w:t>
      </w:r>
      <w:r w:rsidRPr="00F24C52">
        <w:rPr>
          <w:vertAlign w:val="superscript"/>
          <w:lang w:val="en-AU" w:eastAsia="en-AU"/>
        </w:rPr>
        <w:t>-1</w:t>
      </w:r>
      <w:r>
        <w:rPr>
          <w:lang w:val="en-AU" w:eastAsia="en-AU"/>
        </w:rPr>
        <w:t xml:space="preserve"> at Cape Cleveland) and atrazine (detected in 77 % of samplers; maximum concentration 9.2 ng L</w:t>
      </w:r>
      <w:r w:rsidRPr="00F24C52">
        <w:rPr>
          <w:vertAlign w:val="superscript"/>
          <w:lang w:val="en-AU" w:eastAsia="en-AU"/>
        </w:rPr>
        <w:t>-1</w:t>
      </w:r>
      <w:r>
        <w:rPr>
          <w:vertAlign w:val="superscript"/>
          <w:lang w:val="en-AU" w:eastAsia="en-AU"/>
        </w:rPr>
        <w:t xml:space="preserve"> </w:t>
      </w:r>
      <w:r>
        <w:rPr>
          <w:lang w:val="en-AU" w:eastAsia="en-AU"/>
        </w:rPr>
        <w:t xml:space="preserve">at Barratta Creek mouth). Historically, atrazine and atrazine breakdown products dominate the herbicide profile at Cape Cleveland. </w:t>
      </w:r>
    </w:p>
    <w:p w14:paraId="376058E7" w14:textId="77777777" w:rsidR="0059608E" w:rsidRDefault="0059608E" w:rsidP="006130D4">
      <w:pPr>
        <w:spacing w:line="360" w:lineRule="auto"/>
        <w:rPr>
          <w:lang w:val="en-AU" w:eastAsia="en-AU"/>
        </w:rPr>
      </w:pPr>
    </w:p>
    <w:p w14:paraId="3ED1A5EC" w14:textId="77777777" w:rsidR="00520266" w:rsidRDefault="0059608E" w:rsidP="006130D4">
      <w:pPr>
        <w:spacing w:line="360" w:lineRule="auto"/>
        <w:rPr>
          <w:lang w:val="en-AU" w:eastAsia="en-AU"/>
        </w:rPr>
      </w:pPr>
      <w:r>
        <w:rPr>
          <w:lang w:val="en-AU" w:eastAsia="en-AU"/>
        </w:rPr>
        <w:t>Annual flood plume frequencies were higher than those in the Wet Tropics and ranged from 0.82 to 1.0, despite comparatively lower annual average rainfall</w:t>
      </w:r>
      <w:r w:rsidR="007A030A">
        <w:rPr>
          <w:lang w:val="en-AU" w:eastAsia="en-AU"/>
        </w:rPr>
        <w:t>, and river discharge considerably less than the long term median</w:t>
      </w:r>
      <w:r>
        <w:rPr>
          <w:lang w:val="en-AU" w:eastAsia="en-AU"/>
        </w:rPr>
        <w:t xml:space="preserve">. </w:t>
      </w:r>
      <w:r w:rsidR="00F9246A">
        <w:rPr>
          <w:lang w:val="en-AU" w:eastAsia="en-AU"/>
        </w:rPr>
        <w:t>Similarly to several sites in the Wet Tropics region, i</w:t>
      </w:r>
      <w:r w:rsidR="00077F7F">
        <w:rPr>
          <w:lang w:val="en-AU" w:eastAsia="en-AU"/>
        </w:rPr>
        <w:t xml:space="preserve">t’s difficult to pinpoint the </w:t>
      </w:r>
      <w:r w:rsidR="00B448E2">
        <w:rPr>
          <w:lang w:val="en-AU" w:eastAsia="en-AU"/>
        </w:rPr>
        <w:t xml:space="preserve">reason for these higher plume frequency values, however </w:t>
      </w:r>
      <w:r w:rsidR="00F72A75">
        <w:rPr>
          <w:lang w:val="en-AU" w:eastAsia="en-AU"/>
        </w:rPr>
        <w:t xml:space="preserve">wind or </w:t>
      </w:r>
      <w:r w:rsidR="00B448E2">
        <w:rPr>
          <w:lang w:val="en-AU" w:eastAsia="en-AU"/>
        </w:rPr>
        <w:t>wave-induced resuspension of sediments, dredging</w:t>
      </w:r>
      <w:r w:rsidR="00F72A75">
        <w:rPr>
          <w:lang w:val="en-AU" w:eastAsia="en-AU"/>
        </w:rPr>
        <w:t xml:space="preserve"> and other activities</w:t>
      </w:r>
      <w:r w:rsidR="00F9246A">
        <w:rPr>
          <w:lang w:val="en-AU" w:eastAsia="en-AU"/>
        </w:rPr>
        <w:t>,</w:t>
      </w:r>
      <w:r w:rsidR="00B448E2">
        <w:rPr>
          <w:lang w:val="en-AU" w:eastAsia="en-AU"/>
        </w:rPr>
        <w:t xml:space="preserve"> </w:t>
      </w:r>
      <w:r w:rsidR="00F72A75">
        <w:rPr>
          <w:lang w:val="en-AU" w:eastAsia="en-AU"/>
        </w:rPr>
        <w:t xml:space="preserve">the </w:t>
      </w:r>
      <w:r w:rsidR="00310F2D">
        <w:rPr>
          <w:lang w:val="en-AU" w:eastAsia="en-AU"/>
        </w:rPr>
        <w:t xml:space="preserve">location of samplers in shallow water </w:t>
      </w:r>
      <w:r w:rsidR="00F9246A">
        <w:rPr>
          <w:lang w:val="en-AU" w:eastAsia="en-AU"/>
        </w:rPr>
        <w:t xml:space="preserve">as well as the </w:t>
      </w:r>
      <w:r w:rsidR="00751277">
        <w:rPr>
          <w:lang w:val="en-AU" w:eastAsia="en-AU"/>
        </w:rPr>
        <w:t xml:space="preserve">northward drift of the </w:t>
      </w:r>
      <w:r w:rsidR="00F9246A">
        <w:rPr>
          <w:lang w:val="en-AU" w:eastAsia="en-AU"/>
        </w:rPr>
        <w:t>large discharge (5.2 times the long-term median) from the Pioneer</w:t>
      </w:r>
      <w:r w:rsidR="00751277">
        <w:rPr>
          <w:lang w:val="en-AU" w:eastAsia="en-AU"/>
        </w:rPr>
        <w:t xml:space="preserve"> River</w:t>
      </w:r>
      <w:r w:rsidR="00F9246A">
        <w:rPr>
          <w:lang w:val="en-AU" w:eastAsia="en-AU"/>
        </w:rPr>
        <w:t xml:space="preserve"> </w:t>
      </w:r>
      <w:r w:rsidR="00751277">
        <w:rPr>
          <w:lang w:val="en-AU" w:eastAsia="en-AU"/>
        </w:rPr>
        <w:t>may potentially be affecting these values</w:t>
      </w:r>
      <w:r w:rsidR="00F72A75">
        <w:rPr>
          <w:lang w:val="en-AU" w:eastAsia="en-AU"/>
        </w:rPr>
        <w:t xml:space="preserve">. </w:t>
      </w:r>
    </w:p>
    <w:p w14:paraId="5750C2AE" w14:textId="77777777" w:rsidR="00520266" w:rsidRDefault="00520266" w:rsidP="006130D4">
      <w:pPr>
        <w:spacing w:line="360" w:lineRule="auto"/>
        <w:rPr>
          <w:lang w:val="en-AU" w:eastAsia="en-AU"/>
        </w:rPr>
      </w:pPr>
    </w:p>
    <w:p w14:paraId="063F680B" w14:textId="31C22573" w:rsidR="0059608E" w:rsidRPr="005C351A" w:rsidRDefault="0059608E" w:rsidP="006130D4">
      <w:pPr>
        <w:spacing w:line="360" w:lineRule="auto"/>
        <w:rPr>
          <w:lang w:val="en-AU" w:eastAsia="en-AU"/>
        </w:rPr>
      </w:pPr>
      <w:r>
        <w:rPr>
          <w:lang w:val="en-AU" w:eastAsia="en-AU"/>
        </w:rPr>
        <w:lastRenderedPageBreak/>
        <w:t>The Burdekin River is historically the river with the highest long-term median discharge volume, however above median discharge is intermittent and highly reliant on large rainfall events in the catchment (as seen in the La Nina years of 2007-08, 2008-09, 2010-12 with &gt;3 times long term median annual discharge volumes) (</w:t>
      </w:r>
      <w:r w:rsidR="00921EBA">
        <w:rPr>
          <w:lang w:val="en-AU" w:eastAsia="en-AU"/>
        </w:rPr>
        <w:t>Appendix C, Table A12</w:t>
      </w:r>
      <w:r>
        <w:rPr>
          <w:lang w:val="en-AU" w:eastAsia="en-AU"/>
        </w:rPr>
        <w:t xml:space="preserve">). A review on the extent of the Burdekin flood plume indicates that the maximum northward distance for extreme large flood events could reach approximately 500 km, and approximately 200 km for average flood events meaning it likely impacts each of the fixed sampling sites located in the region </w:t>
      </w:r>
      <w:r w:rsidR="0081303E">
        <w:rPr>
          <w:lang w:val="en-AU" w:eastAsia="en-AU"/>
        </w:rPr>
        <w:t xml:space="preserve">during years of flood </w:t>
      </w:r>
      <w:r w:rsidR="00211ECA">
        <w:rPr>
          <w:lang w:val="en-AU" w:eastAsia="en-AU"/>
        </w:rPr>
        <w:fldChar w:fldCharType="begin"/>
      </w:r>
      <w:r w:rsidR="00211ECA">
        <w:rPr>
          <w:lang w:val="en-AU" w:eastAsia="en-AU"/>
        </w:rPr>
        <w:instrText xml:space="preserve"> ADDIN EN.CITE &lt;EndNote&gt;&lt;Cite&gt;&lt;Author&gt;Lewis&lt;/Author&gt;&lt;Year&gt;2006&lt;/Year&gt;&lt;RecNum&gt;315&lt;/RecNum&gt;&lt;DisplayText&gt;(Lewis et al., 2006)&lt;/DisplayText&gt;&lt;record&gt;&lt;rec-number&gt;315&lt;/rec-number&gt;&lt;foreign-keys&gt;&lt;key app="EN" db-id="0zzrztwe5p59skesdrqpsfeu2s0xt5zd5v9p" timestamp="1466338701"&gt;315&lt;/key&gt;&lt;/foreign-keys&gt;&lt;ref-type name="Report"&gt;27&lt;/ref-type&gt;&lt;contributors&gt;&lt;authors&gt;&lt;author&gt;Lewis, S.&lt;/author&gt;&lt;author&gt;Brodie, J. E.&lt;/author&gt;&lt;author&gt;Ledee, E.&lt;/author&gt;&lt;author&gt;Alewijnse, M&lt;/author&gt;&lt;/authors&gt;&lt;/contributors&gt;&lt;titles&gt;&lt;title&gt;The Spatial Extent of Delivery of Terrestrial Materials from the Burdekin Region in the GBR Lagoon ACTFR Report No. 06/02 &lt;/title&gt;&lt;/titles&gt;&lt;dates&gt;&lt;year&gt;2006&lt;/year&gt;&lt;/dates&gt;&lt;pub-location&gt;Australian Centre for Tropical Freshwater Research,  Burdekin Dry Tropics NRM&lt;/pub-location&gt;&lt;urls&gt;&lt;/urls&gt;&lt;/record&gt;&lt;/Cite&gt;&lt;/EndNote&gt;</w:instrText>
      </w:r>
      <w:r w:rsidR="00211ECA">
        <w:rPr>
          <w:lang w:val="en-AU" w:eastAsia="en-AU"/>
        </w:rPr>
        <w:fldChar w:fldCharType="separate"/>
      </w:r>
      <w:r w:rsidR="00211ECA">
        <w:rPr>
          <w:noProof/>
          <w:lang w:val="en-AU" w:eastAsia="en-AU"/>
        </w:rPr>
        <w:t>(Lewis et al., 2006)</w:t>
      </w:r>
      <w:r w:rsidR="00211ECA">
        <w:rPr>
          <w:lang w:val="en-AU" w:eastAsia="en-AU"/>
        </w:rPr>
        <w:fldChar w:fldCharType="end"/>
      </w:r>
      <w:r w:rsidR="00211ECA">
        <w:rPr>
          <w:lang w:val="en-AU" w:eastAsia="en-AU"/>
        </w:rPr>
        <w:t xml:space="preserve">. </w:t>
      </w:r>
      <w:r w:rsidR="0081303E">
        <w:rPr>
          <w:lang w:val="en-AU" w:eastAsia="en-AU"/>
        </w:rPr>
        <w:t>In this dry year, t</w:t>
      </w:r>
      <w:r w:rsidR="00F1220E">
        <w:rPr>
          <w:lang w:val="en-AU" w:eastAsia="en-AU"/>
        </w:rPr>
        <w:t xml:space="preserve">he PSII-HEq Max values of the three sites located in this region </w:t>
      </w:r>
      <w:r w:rsidR="00A604A6">
        <w:rPr>
          <w:lang w:val="en-AU" w:eastAsia="en-AU"/>
        </w:rPr>
        <w:t xml:space="preserve">remained Category 5 on the PSII Index </w:t>
      </w:r>
      <w:r>
        <w:rPr>
          <w:lang w:val="en-AU" w:eastAsia="en-AU"/>
        </w:rPr>
        <w:t xml:space="preserve">(Table </w:t>
      </w:r>
      <w:r w:rsidR="00974995">
        <w:rPr>
          <w:lang w:val="en-AU" w:eastAsia="en-AU"/>
        </w:rPr>
        <w:t>7</w:t>
      </w:r>
      <w:r>
        <w:rPr>
          <w:lang w:val="en-AU" w:eastAsia="en-AU"/>
        </w:rPr>
        <w:t xml:space="preserve">; Figure 13). </w:t>
      </w:r>
    </w:p>
    <w:p w14:paraId="49872478" w14:textId="77777777" w:rsidR="0059608E" w:rsidRDefault="0059608E" w:rsidP="006130D4">
      <w:pPr>
        <w:spacing w:line="360" w:lineRule="auto"/>
        <w:rPr>
          <w:lang w:val="en-AU" w:eastAsia="en-AU"/>
        </w:rPr>
      </w:pPr>
    </w:p>
    <w:p w14:paraId="608EEB74" w14:textId="77777777" w:rsidR="0059608E" w:rsidRDefault="0059608E" w:rsidP="006130D4">
      <w:pPr>
        <w:spacing w:line="360" w:lineRule="auto"/>
        <w:rPr>
          <w:lang w:val="en-AU" w:eastAsia="en-AU"/>
        </w:rPr>
      </w:pPr>
      <w:r>
        <w:t>Since monitoring commenced in the Burdekin region, 67 % of PSII-HEq Max values have been Category 5, 28 % of PSII-HEq Max values have been Category 4 on the PSII-HEq Index with a single instance of a Category 3 (Figure 5) (this excludes the Magnetic Island site which was discontinued in this year). Possible decreases in the maximum concentrations of herbicides were observed at all established sites. At Orpheus Island, the maximum concentrations of both diuron and atrazine decreased when compared to the previous monitoring year by approximately half.</w:t>
      </w:r>
      <w:r w:rsidR="00974995">
        <w:t xml:space="preserve"> </w:t>
      </w:r>
      <w:r>
        <w:rPr>
          <w:lang w:val="en-AU" w:eastAsia="en-AU"/>
        </w:rPr>
        <w:t xml:space="preserve">The PSII-HEq Max and Wet Avg values at all sites remained as Category 5, when compared to the previous monitoring year (Table </w:t>
      </w:r>
      <w:r w:rsidR="004476C4">
        <w:rPr>
          <w:lang w:val="en-AU" w:eastAsia="en-AU"/>
        </w:rPr>
        <w:t>7</w:t>
      </w:r>
      <w:r>
        <w:rPr>
          <w:lang w:val="en-AU" w:eastAsia="en-AU"/>
        </w:rPr>
        <w:t xml:space="preserve">). </w:t>
      </w:r>
    </w:p>
    <w:p w14:paraId="65EBB581" w14:textId="77777777" w:rsidR="0059608E" w:rsidRDefault="0059608E" w:rsidP="006130D4">
      <w:pPr>
        <w:spacing w:line="360" w:lineRule="auto"/>
        <w:rPr>
          <w:lang w:val="en-AU" w:eastAsia="en-AU"/>
        </w:rPr>
      </w:pPr>
    </w:p>
    <w:p w14:paraId="1E9EF314" w14:textId="77777777" w:rsidR="0059608E" w:rsidRPr="00F3483F" w:rsidRDefault="0059608E" w:rsidP="00037E71">
      <w:pPr>
        <w:pStyle w:val="Caption"/>
      </w:pPr>
      <w:bookmarkStart w:id="578" w:name="_Toc462652128"/>
      <w:r>
        <w:t xml:space="preserve">Table </w:t>
      </w:r>
      <w:r>
        <w:fldChar w:fldCharType="begin"/>
      </w:r>
      <w:r>
        <w:instrText xml:space="preserve"> SEQ Table \* ARABIC </w:instrText>
      </w:r>
      <w:r>
        <w:fldChar w:fldCharType="separate"/>
      </w:r>
      <w:r w:rsidR="00E51A34">
        <w:rPr>
          <w:noProof/>
        </w:rPr>
        <w:t>7</w:t>
      </w:r>
      <w:r>
        <w:rPr>
          <w:noProof/>
        </w:rPr>
        <w:fldChar w:fldCharType="end"/>
      </w:r>
      <w:r>
        <w:t xml:space="preserve"> Summary statistics for the PSII-HEq Max and Wet Season Average (ng L</w:t>
      </w:r>
      <w:r w:rsidRPr="00597E81">
        <w:rPr>
          <w:vertAlign w:val="superscript"/>
        </w:rPr>
        <w:t>-1</w:t>
      </w:r>
      <w:r>
        <w:t xml:space="preserve">) since monitoring </w:t>
      </w:r>
      <w:r w:rsidR="002333F3">
        <w:t>commenced</w:t>
      </w:r>
      <w:r>
        <w:t xml:space="preserve"> in the Burdekin region.</w:t>
      </w:r>
      <w:bookmarkEnd w:id="578"/>
    </w:p>
    <w:p w14:paraId="52DFF83E" w14:textId="77777777" w:rsidR="0059608E" w:rsidRPr="00856B5A" w:rsidRDefault="007F4128" w:rsidP="006130D4">
      <w:pPr>
        <w:pStyle w:val="Caption"/>
        <w:spacing w:line="360" w:lineRule="auto"/>
        <w:jc w:val="center"/>
      </w:pPr>
      <w:r w:rsidRPr="007F4128">
        <w:rPr>
          <w:noProof/>
          <w:lang w:val="en-AU" w:eastAsia="en-AU" w:bidi="ar-SA"/>
        </w:rPr>
        <w:drawing>
          <wp:inline distT="0" distB="0" distL="0" distR="0" wp14:anchorId="60B83658" wp14:editId="1609B0E1">
            <wp:extent cx="6646545" cy="2139436"/>
            <wp:effectExtent l="0" t="0" r="1905" b="0"/>
            <wp:docPr id="33" name="Picture 33" descr="Table 7 Summary statistics for the PSII-HEq Max and Wet Season Average (ng L-1) since monitoring commence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46545" cy="2139436"/>
                    </a:xfrm>
                    <a:prstGeom prst="rect">
                      <a:avLst/>
                    </a:prstGeom>
                    <a:noFill/>
                    <a:ln>
                      <a:noFill/>
                    </a:ln>
                  </pic:spPr>
                </pic:pic>
              </a:graphicData>
            </a:graphic>
          </wp:inline>
        </w:drawing>
      </w:r>
    </w:p>
    <w:p w14:paraId="75434247" w14:textId="77777777" w:rsidR="0059608E" w:rsidRDefault="0059608E" w:rsidP="00314F72">
      <w:pPr>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 Block colours indicate the maximum PSII-Heq Index category for that year.</w:t>
      </w:r>
    </w:p>
    <w:p w14:paraId="3052A33E" w14:textId="77777777" w:rsidR="0059608E" w:rsidRDefault="0059608E" w:rsidP="006130D4">
      <w:pPr>
        <w:spacing w:line="360" w:lineRule="auto"/>
        <w:rPr>
          <w:sz w:val="18"/>
          <w:szCs w:val="18"/>
          <w:lang w:val="en-AU" w:eastAsia="en-AU"/>
        </w:rPr>
      </w:pPr>
    </w:p>
    <w:p w14:paraId="6D4D4854" w14:textId="77777777" w:rsidR="0059608E" w:rsidRDefault="0059608E" w:rsidP="006130D4">
      <w:pPr>
        <w:spacing w:line="276" w:lineRule="auto"/>
      </w:pPr>
      <w:r>
        <w:rPr>
          <w:noProof/>
          <w:lang w:val="en-AU" w:eastAsia="en-AU" w:bidi="ar-SA"/>
        </w:rPr>
        <w:lastRenderedPageBreak/>
        <w:drawing>
          <wp:inline distT="0" distB="0" distL="0" distR="0" wp14:anchorId="0CD3523A" wp14:editId="22062E2C">
            <wp:extent cx="6669405" cy="4389755"/>
            <wp:effectExtent l="19050" t="19050" r="17145" b="10795"/>
            <wp:docPr id="114" name="Picture 114" descr="Figure 13 Seasonal average PSII-HEq for Burdekin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669405" cy="4389755"/>
                    </a:xfrm>
                    <a:prstGeom prst="rect">
                      <a:avLst/>
                    </a:prstGeom>
                    <a:noFill/>
                    <a:ln>
                      <a:solidFill>
                        <a:schemeClr val="tx1"/>
                      </a:solidFill>
                    </a:ln>
                  </pic:spPr>
                </pic:pic>
              </a:graphicData>
            </a:graphic>
          </wp:inline>
        </w:drawing>
      </w:r>
    </w:p>
    <w:p w14:paraId="48DCB14E" w14:textId="77777777" w:rsidR="0059608E" w:rsidRDefault="0059608E" w:rsidP="006130D4">
      <w:pPr>
        <w:pStyle w:val="Caption"/>
        <w:spacing w:line="276" w:lineRule="auto"/>
        <w:jc w:val="center"/>
      </w:pPr>
      <w:bookmarkStart w:id="579" w:name="_Toc462399473"/>
      <w:r>
        <w:t xml:space="preserve">Figure </w:t>
      </w:r>
      <w:r>
        <w:fldChar w:fldCharType="begin"/>
      </w:r>
      <w:r>
        <w:instrText xml:space="preserve"> SEQ Figure \* ARABIC </w:instrText>
      </w:r>
      <w:r>
        <w:fldChar w:fldCharType="separate"/>
      </w:r>
      <w:r w:rsidR="00E51A34">
        <w:rPr>
          <w:noProof/>
        </w:rPr>
        <w:t>13</w:t>
      </w:r>
      <w:r>
        <w:rPr>
          <w:noProof/>
        </w:rPr>
        <w:fldChar w:fldCharType="end"/>
      </w:r>
      <w:r>
        <w:t xml:space="preserve"> </w:t>
      </w:r>
      <w:r w:rsidRPr="005507E0">
        <w:t>Seasonal average PSII-HEq for Burdekin sites since monitoring commenced</w:t>
      </w:r>
      <w:bookmarkEnd w:id="579"/>
    </w:p>
    <w:p w14:paraId="558AE1AA" w14:textId="77777777" w:rsidR="0059608E" w:rsidRPr="00E36DBB" w:rsidRDefault="00C90397" w:rsidP="0059608E">
      <w:pPr>
        <w:pStyle w:val="Heading3"/>
        <w:numPr>
          <w:ilvl w:val="2"/>
          <w:numId w:val="2"/>
        </w:numPr>
      </w:pPr>
      <w:bookmarkStart w:id="580" w:name="_Toc461457775"/>
      <w:bookmarkStart w:id="581" w:name="_Toc462651956"/>
      <w:r>
        <w:t>Barratta Creek case study</w:t>
      </w:r>
      <w:bookmarkStart w:id="582" w:name="_Toc455069474"/>
      <w:bookmarkStart w:id="583" w:name="_Toc455070124"/>
      <w:bookmarkStart w:id="584" w:name="_Toc455070396"/>
      <w:bookmarkStart w:id="585" w:name="_Toc455151783"/>
      <w:bookmarkStart w:id="586" w:name="_Toc455069475"/>
      <w:bookmarkStart w:id="587" w:name="_Toc455070125"/>
      <w:bookmarkStart w:id="588" w:name="_Toc455070397"/>
      <w:bookmarkStart w:id="589" w:name="_Toc455151784"/>
      <w:bookmarkStart w:id="590" w:name="_Toc455069476"/>
      <w:bookmarkStart w:id="591" w:name="_Toc455070126"/>
      <w:bookmarkStart w:id="592" w:name="_Toc455070398"/>
      <w:bookmarkStart w:id="593" w:name="_Toc455151785"/>
      <w:bookmarkEnd w:id="580"/>
      <w:bookmarkEnd w:id="582"/>
      <w:bookmarkEnd w:id="583"/>
      <w:bookmarkEnd w:id="584"/>
      <w:bookmarkEnd w:id="585"/>
      <w:bookmarkEnd w:id="586"/>
      <w:bookmarkEnd w:id="587"/>
      <w:bookmarkEnd w:id="588"/>
      <w:bookmarkEnd w:id="589"/>
      <w:bookmarkEnd w:id="590"/>
      <w:bookmarkEnd w:id="591"/>
      <w:bookmarkEnd w:id="592"/>
      <w:bookmarkEnd w:id="593"/>
      <w:bookmarkEnd w:id="581"/>
    </w:p>
    <w:p w14:paraId="4C0018EA" w14:textId="77777777" w:rsidR="0059608E" w:rsidRDefault="0059608E" w:rsidP="006130D4">
      <w:pPr>
        <w:spacing w:line="360" w:lineRule="auto"/>
      </w:pPr>
      <w:r>
        <w:t>The concentrations of PSII herbicides were the highest detected of all monitoring sites, with concentrations typically the highest at the Upper Barratta site</w:t>
      </w:r>
      <w:r w:rsidR="004476C4">
        <w:t xml:space="preserve"> (Appendix D, Table A23)</w:t>
      </w:r>
      <w:r>
        <w:t>. Atrazine was the dominant herbicide detected (maximum concentration of 9800 ng L</w:t>
      </w:r>
      <w:r>
        <w:rPr>
          <w:vertAlign w:val="superscript"/>
        </w:rPr>
        <w:t>-1</w:t>
      </w:r>
      <w:r>
        <w:t>), followed by diuron (maximum concentration of 3400 ng L</w:t>
      </w:r>
      <w:r>
        <w:rPr>
          <w:vertAlign w:val="superscript"/>
        </w:rPr>
        <w:t>-1</w:t>
      </w:r>
      <w:r>
        <w:t xml:space="preserve">) and </w:t>
      </w:r>
      <w:r w:rsidR="004C0982">
        <w:t xml:space="preserve">the atrazine breakdown-product </w:t>
      </w:r>
      <w:r>
        <w:t>desethyl atrazine (maximum concentration of 1300 ng L</w:t>
      </w:r>
      <w:r>
        <w:rPr>
          <w:vertAlign w:val="superscript"/>
        </w:rPr>
        <w:t>-1</w:t>
      </w:r>
      <w:r>
        <w:t>)</w:t>
      </w:r>
      <w:r w:rsidR="00CF0524">
        <w:t xml:space="preserve"> (Appendix G, Figure A30)</w:t>
      </w:r>
      <w:r>
        <w:t>. PSII-HEq concentrations ranged from 8.9 ng L</w:t>
      </w:r>
      <w:r>
        <w:rPr>
          <w:vertAlign w:val="superscript"/>
        </w:rPr>
        <w:t>-1</w:t>
      </w:r>
      <w:r>
        <w:t xml:space="preserve"> (Barratta Creek mouth) to 4757 ng L</w:t>
      </w:r>
      <w:r>
        <w:rPr>
          <w:vertAlign w:val="superscript"/>
        </w:rPr>
        <w:t>-1</w:t>
      </w:r>
      <w:r>
        <w:t xml:space="preserve"> (Upper Barratta Creek), a Category 1 on the PSII Index, indicating that </w:t>
      </w:r>
      <w:r w:rsidRPr="00030647">
        <w:t xml:space="preserve">effects on the growth and death of aquatic plants and animals </w:t>
      </w:r>
      <w:r>
        <w:t xml:space="preserve">may be occurring. There appeared to be a clear dilution effect on the concentrations of pollutants as they move from the </w:t>
      </w:r>
      <w:r w:rsidR="00C90397">
        <w:t>u</w:t>
      </w:r>
      <w:r>
        <w:t xml:space="preserve">pper to </w:t>
      </w:r>
      <w:r w:rsidR="00C90397">
        <w:t>l</w:t>
      </w:r>
      <w:r>
        <w:t>ower estuarine area.</w:t>
      </w:r>
    </w:p>
    <w:p w14:paraId="3AC8A0E6" w14:textId="77777777" w:rsidR="0059608E" w:rsidRDefault="0059608E" w:rsidP="006130D4">
      <w:pPr>
        <w:spacing w:line="360" w:lineRule="auto"/>
      </w:pPr>
    </w:p>
    <w:p w14:paraId="3DD173DE" w14:textId="77777777" w:rsidR="0059608E" w:rsidRDefault="0059608E" w:rsidP="006130D4">
      <w:pPr>
        <w:spacing w:line="360" w:lineRule="auto"/>
      </w:pPr>
      <w:r>
        <w:t>There was minimal flow occurring in the creek (with the exception of a small flow event in mid</w:t>
      </w:r>
      <w:r w:rsidR="004404AE">
        <w:t>-</w:t>
      </w:r>
      <w:r>
        <w:t xml:space="preserve">September 2014) leading up to the first deployment (Appendix F, Figure </w:t>
      </w:r>
      <w:r w:rsidR="00CF0524">
        <w:t>A14</w:t>
      </w:r>
      <w:r>
        <w:t>). Regular pulses of flow began occurring in early December 2014, and continued into early February 2015. Over this time PSII-HEq concentrations at the Upper site reduced by approximately six times and conversely, concentrations at the Lower Barratta site increased by approximately five times</w:t>
      </w:r>
      <w:r w:rsidRPr="00C86173">
        <w:t xml:space="preserve"> </w:t>
      </w:r>
      <w:r>
        <w:t xml:space="preserve">as the system was flushed. The samplers at the marine site were lost for two of the three sampling periods, and as such we were unable to observe the magnitude of any potential increase in concentrations in the near shore area, which presumably would have exceeded Category 5 on the PSII-HEq Index. </w:t>
      </w:r>
    </w:p>
    <w:p w14:paraId="2756DD19" w14:textId="77777777" w:rsidR="0059608E" w:rsidRDefault="0059608E" w:rsidP="006130D4">
      <w:pPr>
        <w:spacing w:line="360" w:lineRule="auto"/>
        <w:rPr>
          <w:rFonts w:eastAsiaTheme="majorEastAsia"/>
          <w:sz w:val="28"/>
          <w:szCs w:val="28"/>
        </w:rPr>
      </w:pPr>
      <w:r>
        <w:lastRenderedPageBreak/>
        <w:t xml:space="preserve">Concentrations of diuron, atrazine, metolachlor and tebuthiuron detected at the two upstream sites exceeded ANZECC and ARMCANZ freshwater </w:t>
      </w:r>
      <w:r w:rsidR="00494440">
        <w:t>GVs</w:t>
      </w:r>
      <w:r>
        <w:t xml:space="preserve"> for either 95 % species protection (atrazine) or 99 % species protection (tebuthiuron) (Appendix A, Table </w:t>
      </w:r>
      <w:r w:rsidR="00B8648C">
        <w:t>A7</w:t>
      </w:r>
      <w:r>
        <w:t xml:space="preserve">). Numerous ‘alternative’ herbicides were detected at elevated levels including 2,4-D haloxyfop, MCPA, asulam, imazapic, imidacloprid, metribuzin and propazine. </w:t>
      </w:r>
      <w:r>
        <w:br w:type="page"/>
      </w:r>
    </w:p>
    <w:p w14:paraId="4A6CCC91" w14:textId="77777777" w:rsidR="0059608E" w:rsidRDefault="0059608E" w:rsidP="0059608E">
      <w:pPr>
        <w:pStyle w:val="Heading3"/>
        <w:numPr>
          <w:ilvl w:val="2"/>
          <w:numId w:val="2"/>
        </w:numPr>
      </w:pPr>
      <w:bookmarkStart w:id="594" w:name="_Toc378287120"/>
      <w:bookmarkStart w:id="595" w:name="_Toc335638591"/>
      <w:bookmarkStart w:id="596" w:name="_Toc335641201"/>
      <w:bookmarkStart w:id="597" w:name="_Toc335638592"/>
      <w:bookmarkStart w:id="598" w:name="_Toc335641202"/>
      <w:bookmarkStart w:id="599" w:name="_Toc335638593"/>
      <w:bookmarkStart w:id="600" w:name="_Toc335641203"/>
      <w:bookmarkStart w:id="601" w:name="_Toc335638594"/>
      <w:bookmarkStart w:id="602" w:name="_Toc335641204"/>
      <w:bookmarkStart w:id="603" w:name="_Toc335638595"/>
      <w:bookmarkStart w:id="604" w:name="_Toc335641205"/>
      <w:bookmarkStart w:id="605" w:name="_Toc335638596"/>
      <w:bookmarkStart w:id="606" w:name="_Toc335641206"/>
      <w:bookmarkStart w:id="607" w:name="_Toc335638597"/>
      <w:bookmarkStart w:id="608" w:name="_Toc335641207"/>
      <w:bookmarkStart w:id="609" w:name="_Toc335638598"/>
      <w:bookmarkStart w:id="610" w:name="_Toc335641208"/>
      <w:bookmarkStart w:id="611" w:name="_Toc335638599"/>
      <w:bookmarkStart w:id="612" w:name="_Toc335641209"/>
      <w:bookmarkStart w:id="613" w:name="_Toc335638600"/>
      <w:bookmarkStart w:id="614" w:name="_Toc335641210"/>
      <w:bookmarkStart w:id="615" w:name="_Toc335638601"/>
      <w:bookmarkStart w:id="616" w:name="_Toc335641211"/>
      <w:bookmarkStart w:id="617" w:name="_Toc335638602"/>
      <w:bookmarkStart w:id="618" w:name="_Toc335641212"/>
      <w:bookmarkStart w:id="619" w:name="_Toc335638603"/>
      <w:bookmarkStart w:id="620" w:name="_Toc335641213"/>
      <w:bookmarkStart w:id="621" w:name="_Toc335638604"/>
      <w:bookmarkStart w:id="622" w:name="_Toc335641214"/>
      <w:bookmarkStart w:id="623" w:name="_Toc335638605"/>
      <w:bookmarkStart w:id="624" w:name="_Toc335641215"/>
      <w:bookmarkStart w:id="625" w:name="_Toc335638606"/>
      <w:bookmarkStart w:id="626" w:name="_Toc335641216"/>
      <w:bookmarkStart w:id="627" w:name="_Toc335638607"/>
      <w:bookmarkStart w:id="628" w:name="_Toc335641217"/>
      <w:bookmarkStart w:id="629" w:name="_Toc335638608"/>
      <w:bookmarkStart w:id="630" w:name="_Toc335641218"/>
      <w:bookmarkStart w:id="631" w:name="_Toc335638609"/>
      <w:bookmarkStart w:id="632" w:name="_Toc335641219"/>
      <w:bookmarkStart w:id="633" w:name="_Toc335638610"/>
      <w:bookmarkStart w:id="634" w:name="_Toc335641220"/>
      <w:bookmarkStart w:id="635" w:name="_Toc335638611"/>
      <w:bookmarkStart w:id="636" w:name="_Toc335641221"/>
      <w:bookmarkStart w:id="637" w:name="_Toc335638612"/>
      <w:bookmarkStart w:id="638" w:name="_Toc335641222"/>
      <w:bookmarkStart w:id="639" w:name="_Toc335638613"/>
      <w:bookmarkStart w:id="640" w:name="_Toc335641223"/>
      <w:bookmarkStart w:id="641" w:name="_Toc335638614"/>
      <w:bookmarkStart w:id="642" w:name="_Toc335641224"/>
      <w:bookmarkStart w:id="643" w:name="_Toc335638615"/>
      <w:bookmarkStart w:id="644" w:name="_Toc335641225"/>
      <w:bookmarkStart w:id="645" w:name="_Toc335638616"/>
      <w:bookmarkStart w:id="646" w:name="_Toc335641226"/>
      <w:bookmarkStart w:id="647" w:name="_Toc335638617"/>
      <w:bookmarkStart w:id="648" w:name="_Toc335641227"/>
      <w:bookmarkStart w:id="649" w:name="_Toc461457776"/>
      <w:bookmarkStart w:id="650" w:name="_Toc462651957"/>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r>
        <w:lastRenderedPageBreak/>
        <w:t>Mackay Whitsunday Region</w:t>
      </w:r>
      <w:bookmarkEnd w:id="649"/>
      <w:bookmarkEnd w:id="650"/>
    </w:p>
    <w:p w14:paraId="4AF0B144" w14:textId="77777777" w:rsidR="0059608E" w:rsidRDefault="005006B0" w:rsidP="006130D4">
      <w:pPr>
        <w:spacing w:line="360" w:lineRule="auto"/>
        <w:rPr>
          <w:lang w:val="en-AU" w:eastAsia="en-AU"/>
        </w:rPr>
      </w:pPr>
      <w:r>
        <w:rPr>
          <w:lang w:val="en-AU"/>
        </w:rPr>
        <w:t>In 2014-2015, concentrations of PSII herbicides during the wet season were generally equal to or lower than concentrations detected in the previous monitoring year (Table 8; for historical data, see Appendix G, Figures A31 – A35). The overall decreased concentrations of herbicides coincided with reduced flows of major rivers influencing the passive samplers (Appendix F, Figures A1</w:t>
      </w:r>
      <w:r w:rsidR="00B4125B">
        <w:rPr>
          <w:lang w:val="en-AU"/>
        </w:rPr>
        <w:t>5</w:t>
      </w:r>
      <w:r>
        <w:rPr>
          <w:lang w:val="en-AU"/>
        </w:rPr>
        <w:t xml:space="preserve"> – A1</w:t>
      </w:r>
      <w:r w:rsidR="00B4125B">
        <w:rPr>
          <w:lang w:val="en-AU"/>
        </w:rPr>
        <w:t>9</w:t>
      </w:r>
      <w:r>
        <w:rPr>
          <w:lang w:val="en-AU"/>
        </w:rPr>
        <w:t xml:space="preserve">). </w:t>
      </w:r>
      <w:r w:rsidR="0059608E">
        <w:rPr>
          <w:lang w:val="en-AU" w:eastAsia="en-AU"/>
        </w:rPr>
        <w:t xml:space="preserve">PSII herbicides (and transformation products) detected at sites in this region include ametryn, atrazine (and its breakdown products), diuron, hexazinone, simazine and tebuthiuron </w:t>
      </w:r>
      <w:r w:rsidR="0059608E" w:rsidRPr="00460D9F">
        <w:rPr>
          <w:lang w:val="en-AU" w:eastAsia="en-AU"/>
        </w:rPr>
        <w:t xml:space="preserve">(Appendix D, Tables </w:t>
      </w:r>
      <w:r w:rsidR="00B8648C">
        <w:rPr>
          <w:lang w:val="en-AU" w:eastAsia="en-AU"/>
        </w:rPr>
        <w:t>A24</w:t>
      </w:r>
      <w:r w:rsidR="0059608E">
        <w:rPr>
          <w:lang w:val="en-AU" w:eastAsia="en-AU"/>
        </w:rPr>
        <w:t xml:space="preserve"> – </w:t>
      </w:r>
      <w:r w:rsidR="00B8648C">
        <w:rPr>
          <w:lang w:val="en-AU" w:eastAsia="en-AU"/>
        </w:rPr>
        <w:t>A28</w:t>
      </w:r>
      <w:r w:rsidR="0059608E" w:rsidRPr="00460D9F">
        <w:rPr>
          <w:lang w:val="en-AU" w:eastAsia="en-AU"/>
        </w:rPr>
        <w:t>)</w:t>
      </w:r>
      <w:r w:rsidR="0059608E">
        <w:rPr>
          <w:lang w:val="en-AU" w:eastAsia="en-AU"/>
        </w:rPr>
        <w:t>. The most frequently detected PSII herbicides in this region are diuron (detected in 100 % of samplers; maximum concentration 59 ng L</w:t>
      </w:r>
      <w:r w:rsidR="0059608E">
        <w:rPr>
          <w:vertAlign w:val="superscript"/>
          <w:lang w:val="en-AU" w:eastAsia="en-AU"/>
        </w:rPr>
        <w:t>-1</w:t>
      </w:r>
      <w:r w:rsidR="0059608E">
        <w:rPr>
          <w:lang w:val="en-AU" w:eastAsia="en-AU"/>
        </w:rPr>
        <w:t xml:space="preserve"> at Sandy Creek), hexazinone (detected in 95 % of samplers; maximum concentration 16 ng L</w:t>
      </w:r>
      <w:r w:rsidR="0059608E">
        <w:rPr>
          <w:vertAlign w:val="superscript"/>
          <w:lang w:val="en-AU" w:eastAsia="en-AU"/>
        </w:rPr>
        <w:t>-1</w:t>
      </w:r>
      <w:r w:rsidR="0059608E">
        <w:rPr>
          <w:lang w:val="en-AU" w:eastAsia="en-AU"/>
        </w:rPr>
        <w:t xml:space="preserve"> at Sandy Creek) and atrazine (detected in 87 % of samplers; maximum concentration 2 ng L</w:t>
      </w:r>
      <w:r w:rsidR="0059608E">
        <w:rPr>
          <w:vertAlign w:val="superscript"/>
          <w:lang w:val="en-AU" w:eastAsia="en-AU"/>
        </w:rPr>
        <w:t>-1</w:t>
      </w:r>
      <w:r w:rsidR="0059608E">
        <w:rPr>
          <w:lang w:val="en-AU" w:eastAsia="en-AU"/>
        </w:rPr>
        <w:t xml:space="preserve"> at Sandy Creek). Other herbicides imidacloprid, 2,4-D and metolachlor were regularly detected, and metsulfuron-methyl and metribuzin were detected in this region only. Using PDMS samplers, propazine, pendimethalin and chlorpyrifos were detected at very low concentrations.</w:t>
      </w:r>
    </w:p>
    <w:p w14:paraId="0ECD4856" w14:textId="77777777" w:rsidR="0059608E" w:rsidRDefault="0059608E" w:rsidP="006130D4">
      <w:pPr>
        <w:spacing w:line="360" w:lineRule="auto"/>
        <w:rPr>
          <w:lang w:val="en-AU" w:eastAsia="en-AU"/>
        </w:rPr>
      </w:pPr>
    </w:p>
    <w:p w14:paraId="745CBB6B" w14:textId="30A47CCE" w:rsidR="0059608E" w:rsidRDefault="0059608E" w:rsidP="006130D4">
      <w:pPr>
        <w:spacing w:line="360" w:lineRule="auto"/>
        <w:rPr>
          <w:lang w:val="en-AU" w:eastAsia="en-AU"/>
        </w:rPr>
      </w:pPr>
      <w:r>
        <w:rPr>
          <w:lang w:val="en-AU" w:eastAsia="en-AU"/>
        </w:rPr>
        <w:t xml:space="preserve">Annual flood plume frequencies were relatively high, at 0.82 at Outer Whitsunday and 1.0 at all other sites (Table </w:t>
      </w:r>
      <w:r w:rsidR="00227C91">
        <w:rPr>
          <w:lang w:val="en-AU" w:eastAsia="en-AU"/>
        </w:rPr>
        <w:t>8</w:t>
      </w:r>
      <w:r>
        <w:rPr>
          <w:lang w:val="en-AU" w:eastAsia="en-AU"/>
        </w:rPr>
        <w:t>). PSII-HEq Max values at sites located in this region are consistently higher than sites located in other regions</w:t>
      </w:r>
      <w:r w:rsidR="00B4125B">
        <w:rPr>
          <w:lang w:val="en-AU" w:eastAsia="en-AU"/>
        </w:rPr>
        <w:t xml:space="preserve"> (Figure 11)</w:t>
      </w:r>
      <w:r>
        <w:rPr>
          <w:lang w:val="en-AU" w:eastAsia="en-AU"/>
        </w:rPr>
        <w:t>, which may reflect both the land use, pesticide usage and land management practices of the adjacent catchment as well as the ideal positioning of the sites to intercept flood plumes from nearby rivers</w:t>
      </w:r>
      <w:r w:rsidR="00520266">
        <w:rPr>
          <w:lang w:val="en-AU" w:eastAsia="en-AU"/>
        </w:rPr>
        <w:t xml:space="preserve"> (of particular note is the large discharge from the Pioneer River this year)</w:t>
      </w:r>
      <w:r w:rsidR="003222BD">
        <w:rPr>
          <w:lang w:val="en-AU" w:eastAsia="en-AU"/>
        </w:rPr>
        <w:t xml:space="preserve"> (Appendix C, Table A12)</w:t>
      </w:r>
      <w:r>
        <w:rPr>
          <w:lang w:val="en-AU" w:eastAsia="en-AU"/>
        </w:rPr>
        <w:t xml:space="preserve">. Despite highest PSII-HEq concentration having been detected at Sandy Creek, weekly ocean colour classes suggest that Sarina Inlet was most frequently impacted by primary plume waters (Classes 1 – 4) (Appendix F, Figure </w:t>
      </w:r>
      <w:r w:rsidR="00227C91">
        <w:rPr>
          <w:lang w:val="en-AU" w:eastAsia="en-AU"/>
        </w:rPr>
        <w:t>F19</w:t>
      </w:r>
      <w:r>
        <w:rPr>
          <w:lang w:val="en-AU" w:eastAsia="en-AU"/>
        </w:rPr>
        <w:t xml:space="preserve">), whereas Sandy Creek was consistently exposed to Class 5 (secondary plume waters) for the duration of the </w:t>
      </w:r>
      <w:r w:rsidR="00227C91">
        <w:rPr>
          <w:lang w:val="en-AU" w:eastAsia="en-AU"/>
        </w:rPr>
        <w:t>wet season (Appendix F, Figure A18</w:t>
      </w:r>
      <w:r>
        <w:rPr>
          <w:lang w:val="en-AU" w:eastAsia="en-AU"/>
        </w:rPr>
        <w:t xml:space="preserve">). </w:t>
      </w:r>
    </w:p>
    <w:p w14:paraId="248EF035" w14:textId="77777777" w:rsidR="0059608E" w:rsidRDefault="0059608E" w:rsidP="006130D4">
      <w:pPr>
        <w:spacing w:line="360" w:lineRule="auto"/>
        <w:rPr>
          <w:lang w:val="en-AU" w:eastAsia="en-AU"/>
        </w:rPr>
      </w:pPr>
    </w:p>
    <w:p w14:paraId="1AA1F04E" w14:textId="77777777" w:rsidR="0059608E" w:rsidRDefault="0059608E" w:rsidP="006130D4">
      <w:pPr>
        <w:spacing w:line="360" w:lineRule="auto"/>
      </w:pPr>
      <w:r>
        <w:rPr>
          <w:lang w:val="en-AU" w:eastAsia="en-AU"/>
        </w:rPr>
        <w:t>Sandy Creek has the highest concentration of diuron of any other site and subsequently, it also has the highest PSII-HEq Max of 70 ng L</w:t>
      </w:r>
      <w:r w:rsidRPr="00744F6B">
        <w:rPr>
          <w:vertAlign w:val="superscript"/>
          <w:lang w:val="en-AU" w:eastAsia="en-AU"/>
        </w:rPr>
        <w:t>-1</w:t>
      </w:r>
      <w:r>
        <w:rPr>
          <w:lang w:val="en-AU" w:eastAsia="en-AU"/>
        </w:rPr>
        <w:t xml:space="preserve">, which is a Category 3 risk of herbicide exposure on the PSII-HEq Index (Table </w:t>
      </w:r>
      <w:r w:rsidR="00227C91">
        <w:rPr>
          <w:lang w:val="en-AU" w:eastAsia="en-AU"/>
        </w:rPr>
        <w:t>8</w:t>
      </w:r>
      <w:r>
        <w:rPr>
          <w:lang w:val="en-AU" w:eastAsia="en-AU"/>
        </w:rPr>
        <w:t xml:space="preserve">). </w:t>
      </w:r>
      <w:r>
        <w:t xml:space="preserve">Since monitoring commenced, 32 % of PSII-HEq Max values in the Mackay Whitsunday region have been classified as Category 5, 47 % of values have been Category 4 and a further 22 % as either Category 2 or 3 (Figure </w:t>
      </w:r>
      <w:r w:rsidR="000157EF">
        <w:t>11</w:t>
      </w:r>
      <w:r>
        <w:t xml:space="preserve">). </w:t>
      </w:r>
      <w:r w:rsidR="000157EF">
        <w:rPr>
          <w:lang w:val="en-AU" w:eastAsia="en-AU"/>
        </w:rPr>
        <w:t>The PSII-HEq Max and Wet Avg values</w:t>
      </w:r>
      <w:r w:rsidR="000157EF">
        <w:t xml:space="preserve"> detected </w:t>
      </w:r>
      <w:r>
        <w:t xml:space="preserve">at </w:t>
      </w:r>
      <w:r w:rsidR="000157EF">
        <w:t xml:space="preserve">both </w:t>
      </w:r>
      <w:r>
        <w:t>Sarina Inlet and Outer Whitsunday were similar when compared to the previous monitoring year</w:t>
      </w:r>
      <w:r w:rsidR="00044334">
        <w:t xml:space="preserve"> </w:t>
      </w:r>
      <w:r w:rsidR="00044334">
        <w:rPr>
          <w:lang w:val="en-AU" w:eastAsia="en-AU"/>
        </w:rPr>
        <w:t>(Table 8, Figure 14)</w:t>
      </w:r>
      <w:r>
        <w:t xml:space="preserve">. The Sandy Creek site had the highest maximum concentrations of all sites meaning that for a sixth consecutive year, the Mackay Whitsunday region had the site with the highest PSII-HEq Max concentration. </w:t>
      </w:r>
    </w:p>
    <w:p w14:paraId="518CAC03" w14:textId="77777777" w:rsidR="0059608E" w:rsidRDefault="001B2B4A" w:rsidP="006130D4">
      <w:pPr>
        <w:spacing w:line="360" w:lineRule="auto"/>
        <w:rPr>
          <w:lang w:val="en-AU" w:eastAsia="en-AU"/>
        </w:rPr>
      </w:pPr>
      <w:r>
        <w:rPr>
          <w:lang w:val="en-AU" w:eastAsia="en-AU"/>
        </w:rPr>
        <w:t>.</w:t>
      </w:r>
      <w:r w:rsidR="0059608E">
        <w:rPr>
          <w:lang w:val="en-AU" w:eastAsia="en-AU"/>
        </w:rPr>
        <w:t xml:space="preserve"> </w:t>
      </w:r>
    </w:p>
    <w:p w14:paraId="1CAFDA77" w14:textId="77777777" w:rsidR="00037E71" w:rsidRDefault="00037E71" w:rsidP="006130D4">
      <w:pPr>
        <w:spacing w:line="360" w:lineRule="auto"/>
        <w:rPr>
          <w:lang w:val="en-AU" w:eastAsia="en-AU"/>
        </w:rPr>
      </w:pPr>
    </w:p>
    <w:p w14:paraId="215CC5DF" w14:textId="77777777" w:rsidR="00044334" w:rsidRDefault="00044334" w:rsidP="006130D4">
      <w:pPr>
        <w:spacing w:line="360" w:lineRule="auto"/>
        <w:rPr>
          <w:lang w:val="en-AU" w:eastAsia="en-AU"/>
        </w:rPr>
      </w:pPr>
    </w:p>
    <w:p w14:paraId="7F1FD027" w14:textId="77777777" w:rsidR="00044334" w:rsidRDefault="00044334" w:rsidP="006130D4">
      <w:pPr>
        <w:spacing w:line="360" w:lineRule="auto"/>
        <w:rPr>
          <w:lang w:val="en-AU" w:eastAsia="en-AU"/>
        </w:rPr>
      </w:pPr>
    </w:p>
    <w:p w14:paraId="028167B3" w14:textId="77777777" w:rsidR="00044334" w:rsidRDefault="00044334" w:rsidP="006130D4">
      <w:pPr>
        <w:spacing w:line="360" w:lineRule="auto"/>
        <w:rPr>
          <w:lang w:val="en-AU" w:eastAsia="en-AU"/>
        </w:rPr>
      </w:pPr>
    </w:p>
    <w:p w14:paraId="3973F780" w14:textId="77777777" w:rsidR="00044334" w:rsidRDefault="00044334" w:rsidP="006130D4">
      <w:pPr>
        <w:spacing w:line="360" w:lineRule="auto"/>
        <w:rPr>
          <w:lang w:val="en-AU" w:eastAsia="en-AU"/>
        </w:rPr>
      </w:pPr>
    </w:p>
    <w:p w14:paraId="30EAA931" w14:textId="77777777" w:rsidR="00037E71" w:rsidRDefault="00037E71" w:rsidP="006130D4">
      <w:pPr>
        <w:spacing w:line="360" w:lineRule="auto"/>
        <w:rPr>
          <w:lang w:val="en-AU" w:eastAsia="en-AU"/>
        </w:rPr>
      </w:pPr>
    </w:p>
    <w:p w14:paraId="3569966A" w14:textId="77777777" w:rsidR="0059608E" w:rsidRDefault="0059608E" w:rsidP="00037E71">
      <w:pPr>
        <w:pStyle w:val="Caption"/>
      </w:pPr>
      <w:bookmarkStart w:id="651" w:name="_Toc462652129"/>
      <w:r>
        <w:lastRenderedPageBreak/>
        <w:t xml:space="preserve">Table </w:t>
      </w:r>
      <w:r>
        <w:fldChar w:fldCharType="begin"/>
      </w:r>
      <w:r>
        <w:instrText xml:space="preserve"> SEQ Table \* ARABIC </w:instrText>
      </w:r>
      <w:r>
        <w:fldChar w:fldCharType="separate"/>
      </w:r>
      <w:r w:rsidR="00E51A34">
        <w:rPr>
          <w:noProof/>
        </w:rPr>
        <w:t>8</w:t>
      </w:r>
      <w:r>
        <w:rPr>
          <w:noProof/>
        </w:rPr>
        <w:fldChar w:fldCharType="end"/>
      </w:r>
      <w:r w:rsidRPr="003A235B">
        <w:t xml:space="preserve"> </w:t>
      </w:r>
      <w:r>
        <w:t xml:space="preserve">Summary </w:t>
      </w:r>
      <w:r w:rsidR="002333F3">
        <w:t>statistics for the PSII-HEq Max and</w:t>
      </w:r>
      <w:r>
        <w:t xml:space="preserve"> Wet Season Average (ng L</w:t>
      </w:r>
      <w:r w:rsidRPr="00597E81">
        <w:rPr>
          <w:vertAlign w:val="superscript"/>
        </w:rPr>
        <w:t>-1</w:t>
      </w:r>
      <w:r>
        <w:t xml:space="preserve">) since monitoring </w:t>
      </w:r>
      <w:r w:rsidR="002333F3">
        <w:t>commenced</w:t>
      </w:r>
      <w:r>
        <w:t xml:space="preserve"> in the Mackay Whitsunday region</w:t>
      </w:r>
      <w:bookmarkEnd w:id="651"/>
    </w:p>
    <w:p w14:paraId="2EBC43A4" w14:textId="77777777" w:rsidR="0059608E" w:rsidRDefault="007F4128" w:rsidP="006130D4">
      <w:pPr>
        <w:spacing w:line="360" w:lineRule="auto"/>
        <w:jc w:val="center"/>
      </w:pPr>
      <w:r w:rsidRPr="007F4128">
        <w:rPr>
          <w:noProof/>
          <w:lang w:val="en-AU" w:eastAsia="en-AU" w:bidi="ar-SA"/>
        </w:rPr>
        <w:drawing>
          <wp:inline distT="0" distB="0" distL="0" distR="0" wp14:anchorId="6226232D" wp14:editId="6C206357">
            <wp:extent cx="6646545" cy="2553371"/>
            <wp:effectExtent l="0" t="0" r="1905" b="0"/>
            <wp:docPr id="34" name="Picture 34" descr="Table 8 Summary statistics for the PSII-HEq Max and Wet Season Average (ng L-1) since monitoring commenced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46545" cy="2553371"/>
                    </a:xfrm>
                    <a:prstGeom prst="rect">
                      <a:avLst/>
                    </a:prstGeom>
                    <a:noFill/>
                    <a:ln>
                      <a:noFill/>
                    </a:ln>
                  </pic:spPr>
                </pic:pic>
              </a:graphicData>
            </a:graphic>
          </wp:inline>
        </w:drawing>
      </w:r>
    </w:p>
    <w:p w14:paraId="077BA9F9" w14:textId="77777777" w:rsidR="0059608E" w:rsidRDefault="0059608E" w:rsidP="000968C6">
      <w:pPr>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 Block colours indicate the maximum PSII-Heq Index category for that year</w:t>
      </w:r>
    </w:p>
    <w:p w14:paraId="2E345C32" w14:textId="77777777" w:rsidR="000968C6" w:rsidRPr="00B21E00" w:rsidRDefault="000968C6" w:rsidP="000968C6">
      <w:pPr>
        <w:rPr>
          <w:sz w:val="18"/>
          <w:szCs w:val="18"/>
          <w:lang w:val="en-AU" w:eastAsia="en-AU"/>
        </w:rPr>
      </w:pPr>
    </w:p>
    <w:p w14:paraId="29C1C07C" w14:textId="77777777" w:rsidR="0059608E" w:rsidRDefault="0059608E" w:rsidP="006130D4">
      <w:pPr>
        <w:keepNext/>
        <w:spacing w:line="360" w:lineRule="auto"/>
        <w:jc w:val="center"/>
      </w:pPr>
      <w:r>
        <w:rPr>
          <w:noProof/>
          <w:lang w:val="en-AU" w:eastAsia="en-AU" w:bidi="ar-SA"/>
        </w:rPr>
        <w:drawing>
          <wp:inline distT="0" distB="0" distL="0" distR="0" wp14:anchorId="318FF352" wp14:editId="7A766E39">
            <wp:extent cx="6275718" cy="4234056"/>
            <wp:effectExtent l="19050" t="19050" r="10795" b="14605"/>
            <wp:docPr id="126" name="Picture 126" descr="Figure 14 Seasonal average PSII-HEq for Mackay Whitsunday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00110" cy="4250513"/>
                    </a:xfrm>
                    <a:prstGeom prst="rect">
                      <a:avLst/>
                    </a:prstGeom>
                    <a:noFill/>
                    <a:ln>
                      <a:solidFill>
                        <a:schemeClr val="tx1"/>
                      </a:solidFill>
                    </a:ln>
                  </pic:spPr>
                </pic:pic>
              </a:graphicData>
            </a:graphic>
          </wp:inline>
        </w:drawing>
      </w:r>
    </w:p>
    <w:p w14:paraId="0902121E" w14:textId="77777777" w:rsidR="0059608E" w:rsidRDefault="0059608E" w:rsidP="006130D4">
      <w:pPr>
        <w:pStyle w:val="Caption"/>
        <w:spacing w:line="360" w:lineRule="auto"/>
        <w:jc w:val="center"/>
      </w:pPr>
      <w:bookmarkStart w:id="652" w:name="_Toc462399474"/>
      <w:r>
        <w:t xml:space="preserve">Figure </w:t>
      </w:r>
      <w:r>
        <w:fldChar w:fldCharType="begin"/>
      </w:r>
      <w:r>
        <w:instrText xml:space="preserve"> SEQ Figure \* ARABIC </w:instrText>
      </w:r>
      <w:r>
        <w:fldChar w:fldCharType="separate"/>
      </w:r>
      <w:r w:rsidR="00E51A34">
        <w:rPr>
          <w:noProof/>
        </w:rPr>
        <w:t>14</w:t>
      </w:r>
      <w:r>
        <w:rPr>
          <w:noProof/>
        </w:rPr>
        <w:fldChar w:fldCharType="end"/>
      </w:r>
      <w:r>
        <w:t xml:space="preserve"> </w:t>
      </w:r>
      <w:r w:rsidRPr="002C65A0">
        <w:t>Seasonal average PSII-HEq for Mackay Whitsunday sites since monitoring commenced</w:t>
      </w:r>
      <w:bookmarkEnd w:id="652"/>
    </w:p>
    <w:p w14:paraId="2F7DBDCD" w14:textId="77777777" w:rsidR="0059608E" w:rsidRDefault="0059608E" w:rsidP="0059608E">
      <w:pPr>
        <w:pStyle w:val="Heading3"/>
        <w:numPr>
          <w:ilvl w:val="2"/>
          <w:numId w:val="2"/>
        </w:numPr>
      </w:pPr>
      <w:bookmarkStart w:id="653" w:name="_Toc335638619"/>
      <w:bookmarkStart w:id="654" w:name="_Toc335641229"/>
      <w:bookmarkStart w:id="655" w:name="_Toc335638620"/>
      <w:bookmarkStart w:id="656" w:name="_Toc335641230"/>
      <w:bookmarkStart w:id="657" w:name="_Toc335638621"/>
      <w:bookmarkStart w:id="658" w:name="_Toc335641231"/>
      <w:bookmarkStart w:id="659" w:name="_Toc335638622"/>
      <w:bookmarkStart w:id="660" w:name="_Toc335641232"/>
      <w:bookmarkStart w:id="661" w:name="_Toc335638623"/>
      <w:bookmarkStart w:id="662" w:name="_Toc335641233"/>
      <w:bookmarkStart w:id="663" w:name="_Toc335638624"/>
      <w:bookmarkStart w:id="664" w:name="_Toc335641234"/>
      <w:bookmarkStart w:id="665" w:name="_Toc461457777"/>
      <w:bookmarkStart w:id="666" w:name="_Toc462651958"/>
      <w:bookmarkEnd w:id="653"/>
      <w:bookmarkEnd w:id="654"/>
      <w:bookmarkEnd w:id="655"/>
      <w:bookmarkEnd w:id="656"/>
      <w:bookmarkEnd w:id="657"/>
      <w:bookmarkEnd w:id="658"/>
      <w:bookmarkEnd w:id="659"/>
      <w:bookmarkEnd w:id="660"/>
      <w:bookmarkEnd w:id="661"/>
      <w:bookmarkEnd w:id="662"/>
      <w:bookmarkEnd w:id="663"/>
      <w:bookmarkEnd w:id="664"/>
      <w:r>
        <w:t>Fitzroy Region</w:t>
      </w:r>
      <w:bookmarkEnd w:id="665"/>
      <w:bookmarkEnd w:id="666"/>
    </w:p>
    <w:p w14:paraId="05E71E18" w14:textId="77777777" w:rsidR="0059608E" w:rsidRDefault="00DE2258" w:rsidP="006130D4">
      <w:pPr>
        <w:spacing w:line="360" w:lineRule="auto"/>
      </w:pPr>
      <w:r>
        <w:rPr>
          <w:lang w:val="en-AU"/>
        </w:rPr>
        <w:t xml:space="preserve">In 2014-2015, concentrations of PSII herbicides during the wet season were </w:t>
      </w:r>
      <w:r w:rsidR="00C80DA2">
        <w:rPr>
          <w:lang w:val="en-AU"/>
        </w:rPr>
        <w:t>similar</w:t>
      </w:r>
      <w:r>
        <w:rPr>
          <w:lang w:val="en-AU"/>
        </w:rPr>
        <w:t xml:space="preserve"> to concentrations detected in the previous monitoring year</w:t>
      </w:r>
      <w:r w:rsidR="00C80DA2">
        <w:rPr>
          <w:lang w:val="en-AU"/>
        </w:rPr>
        <w:t xml:space="preserve"> (Table 9; for historical data see Appendix G</w:t>
      </w:r>
      <w:r w:rsidR="008D661E">
        <w:rPr>
          <w:lang w:val="en-AU"/>
        </w:rPr>
        <w:t>, Figure 36) and coincided with low flow from the Fitzroy River (Appendix F, Figure A20).</w:t>
      </w:r>
      <w:r>
        <w:rPr>
          <w:lang w:val="en-AU"/>
        </w:rPr>
        <w:t xml:space="preserve"> </w:t>
      </w:r>
      <w:r w:rsidR="0059608E">
        <w:t xml:space="preserve">PSII herbicides (and transformation products) detected at this site in 2014-2015 include atrazine (and its breakdown products), diuron, hexazinone and tebuthiuron (Appendix D, Table </w:t>
      </w:r>
      <w:r w:rsidR="00044334">
        <w:t>A29</w:t>
      </w:r>
      <w:r w:rsidR="0059608E">
        <w:t xml:space="preserve">). The PSII herbicides detected with the equal </w:t>
      </w:r>
      <w:r w:rsidR="0059608E">
        <w:lastRenderedPageBreak/>
        <w:t>greatest frequency (57 % of samplers) were atrazine (maximum concentration 0.84 ng L</w:t>
      </w:r>
      <w:r w:rsidR="0059608E">
        <w:rPr>
          <w:vertAlign w:val="superscript"/>
        </w:rPr>
        <w:t>-1</w:t>
      </w:r>
      <w:r w:rsidR="0059608E">
        <w:t>), diuron (maximum concentration 0.31 ng L</w:t>
      </w:r>
      <w:r w:rsidR="0059608E">
        <w:rPr>
          <w:vertAlign w:val="superscript"/>
        </w:rPr>
        <w:t>-1</w:t>
      </w:r>
      <w:r w:rsidR="0059608E">
        <w:t>) and tebuthiuron (maximum concentration 1.5 ng L</w:t>
      </w:r>
      <w:r w:rsidR="0059608E">
        <w:rPr>
          <w:vertAlign w:val="superscript"/>
        </w:rPr>
        <w:t>-1</w:t>
      </w:r>
      <w:r w:rsidR="0059608E">
        <w:t>). Tebuthurion typically dominates the PSII herbicide profile at this site</w:t>
      </w:r>
      <w:r w:rsidR="00720890">
        <w:t xml:space="preserve"> (Appendix G, Figure A36)</w:t>
      </w:r>
      <w:r w:rsidR="0059608E">
        <w:t xml:space="preserve">. </w:t>
      </w:r>
      <w:r w:rsidR="0059608E">
        <w:rPr>
          <w:lang w:val="en-AU" w:eastAsia="en-AU"/>
        </w:rPr>
        <w:t xml:space="preserve">No PDMS sampling is undertaken at North Keppel Island.  </w:t>
      </w:r>
    </w:p>
    <w:p w14:paraId="0E7A302D" w14:textId="77777777" w:rsidR="0059608E" w:rsidRDefault="0059608E" w:rsidP="006130D4">
      <w:pPr>
        <w:spacing w:line="360" w:lineRule="auto"/>
      </w:pPr>
    </w:p>
    <w:p w14:paraId="0096DD55" w14:textId="77777777" w:rsidR="0059608E" w:rsidRDefault="0059608E" w:rsidP="00FB731C">
      <w:pPr>
        <w:spacing w:line="360" w:lineRule="auto"/>
      </w:pPr>
      <w:r>
        <w:t xml:space="preserve">Annual flood plume frequencies were 1.0 at North Keppel Island, with secondary plume waters dominating for the majority of the wet season (colour class 5). The PSII-HEq Max value has been consistently a low Category 4 or  5 since monitoring commenced in 2005 (Table </w:t>
      </w:r>
      <w:r w:rsidR="00720890">
        <w:t>9</w:t>
      </w:r>
      <w:r>
        <w:t xml:space="preserve">). </w:t>
      </w:r>
    </w:p>
    <w:p w14:paraId="36B5B516" w14:textId="77777777" w:rsidR="0059608E" w:rsidRDefault="0059608E" w:rsidP="006130D4">
      <w:pPr>
        <w:pStyle w:val="Caption"/>
        <w:spacing w:line="276" w:lineRule="auto"/>
        <w:jc w:val="center"/>
        <w:rPr>
          <w:lang w:val="en-AU" w:eastAsia="en-AU"/>
        </w:rPr>
      </w:pPr>
      <w:bookmarkStart w:id="667" w:name="_Toc462652130"/>
      <w:r>
        <w:t xml:space="preserve">Table </w:t>
      </w:r>
      <w:r>
        <w:fldChar w:fldCharType="begin"/>
      </w:r>
      <w:r>
        <w:instrText xml:space="preserve"> SEQ Table \* ARABIC </w:instrText>
      </w:r>
      <w:r>
        <w:fldChar w:fldCharType="separate"/>
      </w:r>
      <w:r w:rsidR="00E51A34">
        <w:rPr>
          <w:noProof/>
        </w:rPr>
        <w:t>9</w:t>
      </w:r>
      <w:r>
        <w:rPr>
          <w:noProof/>
        </w:rPr>
        <w:fldChar w:fldCharType="end"/>
      </w:r>
      <w:r w:rsidRPr="003A235B">
        <w:t xml:space="preserve"> </w:t>
      </w:r>
      <w:r>
        <w:t xml:space="preserve">Summary statistics for the PSII-HEq Max </w:t>
      </w:r>
      <w:r w:rsidR="000968C6">
        <w:t>and</w:t>
      </w:r>
      <w:r>
        <w:t xml:space="preserve"> Wet </w:t>
      </w:r>
      <w:r w:rsidR="002D69E3">
        <w:t>S</w:t>
      </w:r>
      <w:r>
        <w:t>eason Average (ng L</w:t>
      </w:r>
      <w:r w:rsidRPr="00597E81">
        <w:rPr>
          <w:vertAlign w:val="superscript"/>
        </w:rPr>
        <w:t>-1</w:t>
      </w:r>
      <w:r>
        <w:t xml:space="preserve">) since monitoring </w:t>
      </w:r>
      <w:r w:rsidR="000968C6">
        <w:t>commenced</w:t>
      </w:r>
      <w:r>
        <w:t xml:space="preserve"> in the Fitzroy region</w:t>
      </w:r>
      <w:bookmarkEnd w:id="667"/>
    </w:p>
    <w:p w14:paraId="73F0D11A" w14:textId="77777777" w:rsidR="0059608E" w:rsidRDefault="007F4128" w:rsidP="006130D4">
      <w:pPr>
        <w:spacing w:line="276" w:lineRule="auto"/>
        <w:jc w:val="center"/>
        <w:rPr>
          <w:sz w:val="18"/>
          <w:szCs w:val="18"/>
          <w:vertAlign w:val="superscript"/>
          <w:lang w:val="en-AU" w:eastAsia="en-AU"/>
        </w:rPr>
      </w:pPr>
      <w:r w:rsidRPr="007F4128">
        <w:rPr>
          <w:noProof/>
          <w:lang w:val="en-AU" w:eastAsia="en-AU" w:bidi="ar-SA"/>
        </w:rPr>
        <w:drawing>
          <wp:inline distT="0" distB="0" distL="0" distR="0" wp14:anchorId="2C6F6DF4" wp14:editId="49D9FD2F">
            <wp:extent cx="6646545" cy="1324091"/>
            <wp:effectExtent l="0" t="0" r="1905" b="9525"/>
            <wp:docPr id="35" name="Picture 35" descr="Table 9 Summary statistics for the PSII-HEq Max and Wet Season Average (ng L-1) since monitoring commence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46545" cy="1324091"/>
                    </a:xfrm>
                    <a:prstGeom prst="rect">
                      <a:avLst/>
                    </a:prstGeom>
                    <a:noFill/>
                    <a:ln>
                      <a:noFill/>
                    </a:ln>
                  </pic:spPr>
                </pic:pic>
              </a:graphicData>
            </a:graphic>
          </wp:inline>
        </w:drawing>
      </w:r>
    </w:p>
    <w:p w14:paraId="7892BC04" w14:textId="77777777" w:rsidR="0059608E" w:rsidRPr="00B21E00" w:rsidRDefault="0059608E" w:rsidP="006130D4">
      <w:pPr>
        <w:spacing w:line="276" w:lineRule="auto"/>
        <w:rPr>
          <w:sz w:val="18"/>
          <w:szCs w:val="18"/>
          <w:lang w:val="en-AU" w:eastAsia="en-AU"/>
        </w:rPr>
      </w:pPr>
      <w:r>
        <w:rPr>
          <w:sz w:val="18"/>
          <w:szCs w:val="18"/>
          <w:lang w:val="en-AU" w:eastAsia="en-AU"/>
        </w:rPr>
        <w:t>Wet Avg are the a</w:t>
      </w:r>
      <w:r w:rsidRPr="00B21E00">
        <w:rPr>
          <w:sz w:val="18"/>
          <w:szCs w:val="18"/>
          <w:lang w:val="en-AU" w:eastAsia="en-AU"/>
        </w:rPr>
        <w:t>verages indicated for PSII-HEq for the wet season sampling periods</w:t>
      </w:r>
      <w:r>
        <w:rPr>
          <w:sz w:val="18"/>
          <w:szCs w:val="18"/>
          <w:lang w:val="en-AU" w:eastAsia="en-AU"/>
        </w:rPr>
        <w:t xml:space="preserve"> only; In 2008-2009 North Keppel Island PSII HEq maximum was derived from 4 dry season sampling periods and 2 wet season sampling period, the average for the wet season is therefore from only two sampling periods. Block colours indicate the maximum PSII-Heq Index category for that year.</w:t>
      </w:r>
    </w:p>
    <w:p w14:paraId="3043E31C" w14:textId="77777777" w:rsidR="0059608E" w:rsidRDefault="0059608E" w:rsidP="006130D4">
      <w:pPr>
        <w:spacing w:line="276" w:lineRule="auto"/>
        <w:rPr>
          <w:lang w:val="en-AU" w:eastAsia="en-AU"/>
        </w:rPr>
      </w:pPr>
    </w:p>
    <w:p w14:paraId="376C742D" w14:textId="77777777" w:rsidR="0059608E" w:rsidRDefault="0059608E" w:rsidP="000968C6">
      <w:pPr>
        <w:tabs>
          <w:tab w:val="left" w:pos="1985"/>
        </w:tabs>
        <w:spacing w:line="360" w:lineRule="auto"/>
        <w:rPr>
          <w:lang w:val="en-AU" w:eastAsia="en-AU"/>
        </w:rPr>
      </w:pPr>
      <w:r>
        <w:t>Since monitoring commenced, 80 % of PSII-HEq Max values at North Keppel Island in the Fitzroy region have been Category 5 and 20</w:t>
      </w:r>
      <w:r w:rsidR="00D109FD">
        <w:t xml:space="preserve"> </w:t>
      </w:r>
      <w:r>
        <w:t xml:space="preserve">% have been Category 4 on the PSII-HEq Index (Figure </w:t>
      </w:r>
      <w:r w:rsidR="00720890">
        <w:t>11</w:t>
      </w:r>
      <w:r>
        <w:t xml:space="preserve">). Similarly to the previous monitoring year, the PSII-HEq Max was the lowest of all fixed sites. </w:t>
      </w:r>
      <w:r>
        <w:rPr>
          <w:lang w:val="en-AU" w:eastAsia="en-AU"/>
        </w:rPr>
        <w:t>The PSII-HEq Wet Avg has been consistently Category 5 since monitoring commenced (Figure 18), with no apparent seasonal differences in concentrations.</w:t>
      </w:r>
    </w:p>
    <w:p w14:paraId="56B1B55E" w14:textId="77777777" w:rsidR="0059608E" w:rsidRDefault="0059608E" w:rsidP="006130D4">
      <w:pPr>
        <w:spacing w:line="360" w:lineRule="auto"/>
        <w:rPr>
          <w:lang w:val="en-AU" w:eastAsia="en-AU"/>
        </w:rPr>
      </w:pPr>
      <w:r>
        <w:rPr>
          <w:noProof/>
          <w:lang w:val="en-AU" w:eastAsia="en-AU" w:bidi="ar-SA"/>
        </w:rPr>
        <w:lastRenderedPageBreak/>
        <w:drawing>
          <wp:inline distT="0" distB="0" distL="0" distR="0" wp14:anchorId="4AD2E238" wp14:editId="173D58A3">
            <wp:extent cx="6028245" cy="3976778"/>
            <wp:effectExtent l="19050" t="19050" r="10795" b="24130"/>
            <wp:docPr id="24" name="Picture 24" descr="Figure 18 Seasonal average PSII-HEq for North Keppel Island in the Fitzro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46435" cy="3988777"/>
                    </a:xfrm>
                    <a:prstGeom prst="rect">
                      <a:avLst/>
                    </a:prstGeom>
                    <a:noFill/>
                    <a:ln>
                      <a:solidFill>
                        <a:schemeClr val="tx1"/>
                      </a:solidFill>
                    </a:ln>
                  </pic:spPr>
                </pic:pic>
              </a:graphicData>
            </a:graphic>
          </wp:inline>
        </w:drawing>
      </w:r>
    </w:p>
    <w:p w14:paraId="7A87BAE0" w14:textId="77777777" w:rsidR="0059608E" w:rsidRDefault="0059608E" w:rsidP="006130D4">
      <w:pPr>
        <w:pStyle w:val="Caption"/>
        <w:spacing w:line="360" w:lineRule="auto"/>
        <w:jc w:val="center"/>
      </w:pPr>
      <w:bookmarkStart w:id="668" w:name="_Toc462399475"/>
      <w:r>
        <w:t xml:space="preserve">Figure </w:t>
      </w:r>
      <w:r>
        <w:fldChar w:fldCharType="begin"/>
      </w:r>
      <w:r>
        <w:instrText xml:space="preserve"> SEQ Figure \* ARABIC </w:instrText>
      </w:r>
      <w:r>
        <w:fldChar w:fldCharType="separate"/>
      </w:r>
      <w:r w:rsidR="00E51A34">
        <w:rPr>
          <w:noProof/>
        </w:rPr>
        <w:t>15</w:t>
      </w:r>
      <w:r>
        <w:rPr>
          <w:noProof/>
        </w:rPr>
        <w:fldChar w:fldCharType="end"/>
      </w:r>
      <w:r>
        <w:t xml:space="preserve"> </w:t>
      </w:r>
      <w:r w:rsidRPr="002C65A0">
        <w:t>Seasonal average PSII-HEq for North Keppel Island in the Fitzroy region since monitoring commenced</w:t>
      </w:r>
      <w:bookmarkEnd w:id="668"/>
    </w:p>
    <w:p w14:paraId="44191A83" w14:textId="77777777" w:rsidR="0059608E" w:rsidRDefault="0059608E" w:rsidP="0066689E">
      <w:pPr>
        <w:pStyle w:val="Heading1"/>
      </w:pPr>
      <w:bookmarkStart w:id="669" w:name="_Toc335638626"/>
      <w:bookmarkStart w:id="670" w:name="_Toc335641236"/>
      <w:bookmarkStart w:id="671" w:name="_Toc335638627"/>
      <w:bookmarkStart w:id="672" w:name="_Toc335641237"/>
      <w:bookmarkStart w:id="673" w:name="_Toc335638628"/>
      <w:bookmarkStart w:id="674" w:name="_Toc335641238"/>
      <w:bookmarkStart w:id="675" w:name="_Toc335638629"/>
      <w:bookmarkStart w:id="676" w:name="_Toc335641239"/>
      <w:bookmarkStart w:id="677" w:name="_Toc335638630"/>
      <w:bookmarkStart w:id="678" w:name="_Toc335641240"/>
      <w:bookmarkStart w:id="679" w:name="_Toc335638631"/>
      <w:bookmarkStart w:id="680" w:name="_Toc335641241"/>
      <w:bookmarkStart w:id="681" w:name="_Toc461457778"/>
      <w:bookmarkStart w:id="682" w:name="_Toc462651959"/>
      <w:bookmarkEnd w:id="669"/>
      <w:bookmarkEnd w:id="670"/>
      <w:bookmarkEnd w:id="671"/>
      <w:bookmarkEnd w:id="672"/>
      <w:bookmarkEnd w:id="673"/>
      <w:bookmarkEnd w:id="674"/>
      <w:bookmarkEnd w:id="675"/>
      <w:bookmarkEnd w:id="676"/>
      <w:bookmarkEnd w:id="677"/>
      <w:bookmarkEnd w:id="678"/>
      <w:bookmarkEnd w:id="679"/>
      <w:bookmarkEnd w:id="680"/>
      <w:r>
        <w:t>Discussion</w:t>
      </w:r>
      <w:bookmarkEnd w:id="681"/>
      <w:bookmarkEnd w:id="682"/>
    </w:p>
    <w:p w14:paraId="121AE63D" w14:textId="77777777" w:rsidR="0059608E" w:rsidRDefault="0059608E" w:rsidP="006130D4">
      <w:pPr>
        <w:tabs>
          <w:tab w:val="left" w:pos="10065"/>
        </w:tabs>
        <w:spacing w:line="360" w:lineRule="auto"/>
      </w:pPr>
      <w:r>
        <w:t>A range of PSII herbicides and other emerging ‘alternative’ pesticides were detected using passive samplers and grab samples this monitoring year. Similarly to previous monitoring years, diuron, atrazine and hexazinone were the most frequently detected and abundant PSII herbicides</w:t>
      </w:r>
      <w:r w:rsidR="004A356A">
        <w:t xml:space="preserve"> </w:t>
      </w:r>
      <w:r w:rsidR="004A356A">
        <w:fldChar w:fldCharType="begin">
          <w:fldData xml:space="preserve">PEVuZE5vdGU+PENpdGU+PEF1dGhvcj5HYWxsZW48L0F1dGhvcj48WWVhcj4yMDE0PC9ZZWFyPjxS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</w:fldData>
        </w:fldChar>
      </w:r>
      <w:r w:rsidR="004A356A">
        <w:instrText xml:space="preserve"> ADDIN EN.CITE </w:instrText>
      </w:r>
      <w:r w:rsidR="004A356A">
        <w:fldChar w:fldCharType="begin">
          <w:fldData xml:space="preserve">PEVuZE5vdGU+PENpdGU+PEF1dGhvcj5HYWxsZW48L0F1dGhvcj48WWVhcj4yMDE0PC9ZZWFyPjxS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</w:fldData>
        </w:fldChar>
      </w:r>
      <w:r w:rsidR="004A356A">
        <w:instrText xml:space="preserve"> ADDIN EN.CITE.DATA </w:instrText>
      </w:r>
      <w:r w:rsidR="004A356A">
        <w:fldChar w:fldCharType="end"/>
      </w:r>
      <w:r w:rsidR="004A356A">
        <w:fldChar w:fldCharType="separate"/>
      </w:r>
      <w:r w:rsidR="004A356A">
        <w:rPr>
          <w:noProof/>
        </w:rPr>
        <w:t>(Gallen et al., 2014, Gallen et al., 2013, Bentley et al., 2012, Kennedy et al., 2010, Kennedy et al., 2012)</w:t>
      </w:r>
      <w:r w:rsidR="004A356A">
        <w:fldChar w:fldCharType="end"/>
      </w:r>
      <w:r>
        <w:t xml:space="preserve">. PSII-HEq concentrations were generally similar to or lower than the previous monitoring year, a likely result of the decrease in rainfall, river discharge and herbicide loads exported from adjacent Reef catchments.  </w:t>
      </w:r>
    </w:p>
    <w:p w14:paraId="2CFF730D" w14:textId="77777777" w:rsidR="0059608E" w:rsidRDefault="0059608E" w:rsidP="006130D4">
      <w:pPr>
        <w:tabs>
          <w:tab w:val="left" w:pos="10065"/>
        </w:tabs>
        <w:spacing w:line="360" w:lineRule="auto"/>
      </w:pPr>
    </w:p>
    <w:p w14:paraId="5EED78BC" w14:textId="77777777" w:rsidR="0059608E" w:rsidRDefault="0059608E" w:rsidP="006130D4">
      <w:pPr>
        <w:tabs>
          <w:tab w:val="left" w:pos="10065"/>
        </w:tabs>
        <w:spacing w:line="360" w:lineRule="auto"/>
        <w:rPr>
          <w:lang w:val="en-AU" w:eastAsia="en-AU"/>
        </w:rPr>
      </w:pPr>
      <w:r>
        <w:rPr>
          <w:lang w:val="en-AU" w:eastAsia="en-AU"/>
        </w:rPr>
        <w:t xml:space="preserve">The PSII herbicide profiles detected with the passive samplers are comparable to those detected during annual PSII herbicide loads monitoring undertaken by GBRCLMP and appear consistent with the land use </w:t>
      </w:r>
      <w:r w:rsidR="00ED739B">
        <w:rPr>
          <w:lang w:val="en-AU" w:eastAsia="en-AU"/>
        </w:rPr>
        <w:t>in the adjacent catchment areas</w:t>
      </w:r>
      <w:r>
        <w:rPr>
          <w:lang w:val="en-AU" w:eastAsia="en-AU"/>
        </w:rPr>
        <w:t xml:space="preserve">. In major rivers that are likely to impact passive sampler sites in the Wet Tropics and Mackay Whitsunday regions, a large proportion of the total loads of PSII herbicides </w:t>
      </w:r>
      <w:r w:rsidR="00A677E3">
        <w:rPr>
          <w:lang w:val="en-AU" w:eastAsia="en-AU"/>
        </w:rPr>
        <w:t>were</w:t>
      </w:r>
      <w:r>
        <w:rPr>
          <w:lang w:val="en-AU" w:eastAsia="en-AU"/>
        </w:rPr>
        <w:t xml:space="preserve"> diuron. This is consistent with the intensive sugar caning activity in proximity to the coast in the Tully River, Herbert River, Pioneer River and Sandy Creek catchments, and also reflected in historical maximum concentrations of passive samplers dominated by diuron. Atrazine contributed the greatest proportion to PSII loads in the Barratta and Burdekin catchments which is reflected in the passive samplers deployed at the upstream Barratta Creek sites this monitoring year, at nearby Cape Cleveland, and in previous passive sampling activities in the Barratta Creek catchment (O’Brien et al. 2016). Loads of tebuthiuron have been greatest in the Burdekin and Fitzroy River catchments where land use is dominated by grazing and the passive sampler deployed at North Keppel Island in the Fitzr</w:t>
      </w:r>
      <w:r w:rsidR="00A677E3">
        <w:rPr>
          <w:lang w:val="en-AU" w:eastAsia="en-AU"/>
        </w:rPr>
        <w:t>o</w:t>
      </w:r>
      <w:r>
        <w:rPr>
          <w:lang w:val="en-AU" w:eastAsia="en-AU"/>
        </w:rPr>
        <w:t xml:space="preserve">y region has been characterised by relatively </w:t>
      </w:r>
      <w:r>
        <w:rPr>
          <w:lang w:val="en-AU" w:eastAsia="en-AU"/>
        </w:rPr>
        <w:lastRenderedPageBreak/>
        <w:t xml:space="preserve">high concentrations of tebuthiuron in previous monitoring years, including an exceedance of the GBRMPA guidelines in 2013 </w:t>
      </w:r>
      <w:r w:rsidR="004A356A">
        <w:rPr>
          <w:lang w:val="en-AU" w:eastAsia="en-AU"/>
        </w:rPr>
        <w:fldChar w:fldCharType="begin"/>
      </w:r>
      <w:r w:rsidR="004A356A">
        <w:rPr>
          <w:lang w:val="en-AU" w:eastAsia="en-AU"/>
        </w:rPr>
        <w:instrText xml:space="preserve"> ADDIN EN.CITE &lt;EndNote&gt;&lt;Cite&gt;&lt;Author&gt;Gallen&lt;/Author&gt;&lt;Year&gt;2013&lt;/Year&gt;&lt;RecNum&gt;224&lt;/RecNum&gt;&lt;DisplayText&gt;(Gallen et al., 2013)&lt;/DisplayText&gt;&lt;record&gt;&lt;rec-number&gt;224&lt;/rec-number&gt;&lt;foreign-keys&gt;&lt;key app="EN" db-id="0zzrztwe5p59skesdrqpsfeu2s0xt5zd5v9p" timestamp="1453160235"&gt;224&lt;/key&gt;&lt;/foreign-keys&gt;&lt;ref-type name="Report"&gt;27&lt;/ref-type&gt;&lt;contributors&gt;&lt;authors&gt;&lt;author&gt;Gallen, C&lt;/author&gt;&lt;author&gt;Devlin, M&lt;/author&gt;&lt;author&gt;Paxman, C&lt;/author&gt;&lt;author&gt;Banks, A&lt;/author&gt;&lt;author&gt;Mueller, J&lt;/author&gt;&lt;/authors&gt;&lt;/contributors&gt;&lt;titles&gt;&lt;title&gt;Pesticide monitoring in inshore waters of the Great Barrier Reef using both time-integrated and event monitoring techniques (2012-2013)&lt;/title&gt;&lt;/titles&gt;&lt;dates&gt;&lt;year&gt;2013&lt;/year&gt;&lt;/dates&gt;&lt;pub-location&gt;The University of Queensland, The National Research Centre for Environmental Toxicology (Entox).&lt;/pub-location&gt;&lt;urls&gt;&lt;/urls&gt;&lt;/record&gt;&lt;/Cite&gt;&lt;/EndNote&gt;</w:instrText>
      </w:r>
      <w:r w:rsidR="004A356A">
        <w:rPr>
          <w:lang w:val="en-AU" w:eastAsia="en-AU"/>
        </w:rPr>
        <w:fldChar w:fldCharType="separate"/>
      </w:r>
      <w:r w:rsidR="004A356A">
        <w:rPr>
          <w:noProof/>
          <w:lang w:val="en-AU" w:eastAsia="en-AU"/>
        </w:rPr>
        <w:t>(Gallen et al., 2013)</w:t>
      </w:r>
      <w:r w:rsidR="004A356A">
        <w:rPr>
          <w:lang w:val="en-AU" w:eastAsia="en-AU"/>
        </w:rPr>
        <w:fldChar w:fldCharType="end"/>
      </w:r>
      <w:r>
        <w:rPr>
          <w:lang w:val="en-AU" w:eastAsia="en-AU"/>
        </w:rPr>
        <w:t>.</w:t>
      </w:r>
    </w:p>
    <w:p w14:paraId="573DBB48" w14:textId="77777777" w:rsidR="0059608E" w:rsidRDefault="0059608E" w:rsidP="006130D4">
      <w:pPr>
        <w:tabs>
          <w:tab w:val="left" w:pos="10065"/>
        </w:tabs>
        <w:spacing w:line="360" w:lineRule="auto"/>
        <w:rPr>
          <w:lang w:val="en-AU" w:eastAsia="en-AU"/>
        </w:rPr>
      </w:pPr>
    </w:p>
    <w:p w14:paraId="7646A413" w14:textId="77777777" w:rsidR="0059608E" w:rsidRDefault="0059608E" w:rsidP="006130D4">
      <w:pPr>
        <w:tabs>
          <w:tab w:val="left" w:pos="10065"/>
        </w:tabs>
        <w:spacing w:line="360" w:lineRule="auto"/>
      </w:pPr>
      <w:r>
        <w:t xml:space="preserve">The frequency of detection of many PSII herbicides was similar when compared to the previous monitoring year, however the detection of tebuthiuron was notably less frequent </w:t>
      </w:r>
      <w:r w:rsidRPr="00F70F0D">
        <w:t>in the Wet Tropics</w:t>
      </w:r>
      <w:r>
        <w:t xml:space="preserve"> (mean frequency reducing from 47 % of samplers to 18 %)</w:t>
      </w:r>
      <w:r w:rsidRPr="00F70F0D">
        <w:t xml:space="preserve"> and Burdekin regions</w:t>
      </w:r>
      <w:r>
        <w:t xml:space="preserve"> (mean frequency reducing from 61 % to 42 %) </w:t>
      </w:r>
      <w:r w:rsidR="004A356A">
        <w:fldChar w:fldCharType="begin"/>
      </w:r>
      <w:r w:rsidR="004A356A">
        <w:instrText xml:space="preserve"> ADDIN EN.CITE &lt;EndNote&gt;&lt;Cite&gt;&lt;Author&gt;Gallen&lt;/Author&gt;&lt;Year&gt;2014&lt;/Year&gt;&lt;RecNum&gt;289&lt;/RecNum&gt;&lt;DisplayText&gt;(Gallen et al., 2014)&lt;/DisplayText&gt;&lt;record&gt;&lt;rec-number&gt;289&lt;/rec-number&gt;&lt;foreign-keys&gt;&lt;key app="EN" db-id="0zzrztwe5p59skesdrqpsfeu2s0xt5zd5v9p" timestamp="1466320062"&gt;289&lt;/key&gt;&lt;/foreign-keys&gt;&lt;ref-type name="Report"&gt;27&lt;/ref-type&gt;&lt;contributors&gt;&lt;authors&gt;&lt;author&gt;Gallen, C&lt;/author&gt;&lt;author&gt;Devlin, M&lt;/author&gt;&lt;author&gt;Thompson, K&lt;/author&gt;&lt;author&gt;Paxman, C&lt;/author&gt;&lt;author&gt;Mueller, J&lt;/author&gt;&lt;/authors&gt;&lt;/contributors&gt;&lt;titles&gt;&lt;title&gt;Pesticide monitoring in inshore waters of the Great Barrier Reef using both time-integrated and event monitoring techniques (2013 - 2014)&lt;/title&gt;&lt;/titles&gt;&lt;dates&gt;&lt;year&gt;2014&lt;/year&gt;&lt;/dates&gt;&lt;pub-location&gt;The University of Queensland, The National Research Centre for Environmental Toxicology (Entox)&lt;/pub-location&gt;&lt;urls&gt;&lt;/urls&gt;&lt;/record&gt;&lt;/Cite&gt;&lt;/EndNote&gt;</w:instrText>
      </w:r>
      <w:r w:rsidR="004A356A">
        <w:fldChar w:fldCharType="separate"/>
      </w:r>
      <w:r w:rsidR="004A356A">
        <w:rPr>
          <w:noProof/>
        </w:rPr>
        <w:t>(Gallen et al., 2014)</w:t>
      </w:r>
      <w:r w:rsidR="004A356A">
        <w:fldChar w:fldCharType="end"/>
      </w:r>
      <w:r>
        <w:t>. In the dry season of the previous monitoring year</w:t>
      </w:r>
      <w:r w:rsidRPr="00F70F0D">
        <w:t xml:space="preserve">, an </w:t>
      </w:r>
      <w:r>
        <w:t xml:space="preserve">unusual </w:t>
      </w:r>
      <w:r w:rsidRPr="00F70F0D">
        <w:t xml:space="preserve">increase in the concentration </w:t>
      </w:r>
      <w:r>
        <w:t xml:space="preserve">of </w:t>
      </w:r>
      <w:r w:rsidRPr="00F70F0D">
        <w:t xml:space="preserve">tebuthiuron </w:t>
      </w:r>
      <w:r>
        <w:t xml:space="preserve">was observed at Green Island, Low Isles, Fitzroy Island and Dunk Island despite negligible use in the Wet Tropics region as indicated by previous PSII loads monitoring </w:t>
      </w:r>
      <w:r w:rsidRPr="0005794A">
        <w:t xml:space="preserve">reports </w:t>
      </w:r>
      <w:r w:rsidR="004A356A" w:rsidRPr="004A356A">
        <w:fldChar w:fldCharType="begin">
          <w:fldData xml:space="preserve">PEVuZE5vdGU+PENpdGU+PEF1dGhvcj5UdXJuZXI8L0F1dGhvcj48WWVhcj4yMDEyPC9ZZWFyPjxS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</w:fldData>
        </w:fldChar>
      </w:r>
      <w:r w:rsidR="004A356A" w:rsidRPr="004A356A">
        <w:instrText xml:space="preserve"> ADDIN EN.CITE </w:instrText>
      </w:r>
      <w:r w:rsidR="004A356A" w:rsidRPr="004A356A">
        <w:fldChar w:fldCharType="begin">
          <w:fldData xml:space="preserve">PEVuZE5vdGU+PENpdGU+PEF1dGhvcj5UdXJuZXI8L0F1dGhvcj48WWVhcj4yMDEyPC9ZZWFyPjxS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</w:fldData>
        </w:fldChar>
      </w:r>
      <w:r w:rsidR="004A356A" w:rsidRPr="004A356A">
        <w:instrText xml:space="preserve"> ADDIN EN.CITE.DATA </w:instrText>
      </w:r>
      <w:r w:rsidR="004A356A" w:rsidRPr="004A356A">
        <w:fldChar w:fldCharType="end"/>
      </w:r>
      <w:r w:rsidR="004A356A" w:rsidRPr="004A356A">
        <w:fldChar w:fldCharType="separate"/>
      </w:r>
      <w:r w:rsidR="004A356A" w:rsidRPr="004A356A">
        <w:rPr>
          <w:noProof/>
        </w:rPr>
        <w:t>(Turner et al., 2012, Turner et al., 2013, Wallace et al., 2014, Wallace et al., 2015, Garzon-Garcia et al., 2015)</w:t>
      </w:r>
      <w:r w:rsidR="004A356A" w:rsidRPr="004A356A">
        <w:fldChar w:fldCharType="end"/>
      </w:r>
      <w:r>
        <w:t xml:space="preserve">, and smaller areas of land utilized for grazing </w:t>
      </w:r>
      <w:r w:rsidR="004A356A">
        <w:fldChar w:fldCharType="begin"/>
      </w:r>
      <w:r w:rsidR="004A356A">
        <w:instrText xml:space="preserve"> ADDIN EN.CITE &lt;EndNote&gt;&lt;Cite&gt;&lt;Author&gt;DSITIA&lt;/Author&gt;&lt;Year&gt;2012&lt;/Year&gt;&lt;RecNum&gt;328&lt;/RecNum&gt;&lt;DisplayText&gt;(DSITIA, 2012b)&lt;/DisplayText&gt;&lt;record&gt;&lt;rec-number&gt;328&lt;/rec-number&gt;&lt;foreign-keys&gt;&lt;key app="EN" db-id="0zzrztwe5p59skesdrqpsfeu2s0xt5zd5v9p" timestamp="1466577332"&gt;328&lt;/key&gt;&lt;/foreign-keys&gt;&lt;ref-type name="Report"&gt;27&lt;/ref-type&gt;&lt;contributors&gt;&lt;authors&gt;&lt;author&gt;DSITIA&lt;/author&gt;&lt;/authors&gt;&lt;/contributors&gt;&lt;titles&gt;&lt;title&gt;Land use summary 1999–2009 for the Wet Tropics NRM region&lt;/title&gt;&lt;/titles&gt;&lt;dates&gt;&lt;year&gt;2012&lt;/year&gt;&lt;/dates&gt;&lt;pub-location&gt;Queensland Department of Science, Information Technology, Innovation and the Arts, Brisbane.&lt;/pub-location&gt;&lt;urls&gt;&lt;/urls&gt;&lt;/record&gt;&lt;/Cite&gt;&lt;/EndNote&gt;</w:instrText>
      </w:r>
      <w:r w:rsidR="004A356A">
        <w:fldChar w:fldCharType="separate"/>
      </w:r>
      <w:r w:rsidR="004A356A">
        <w:rPr>
          <w:noProof/>
        </w:rPr>
        <w:t>(DSITIA, 2012b)</w:t>
      </w:r>
      <w:r w:rsidR="004A356A">
        <w:fldChar w:fldCharType="end"/>
      </w:r>
      <w:r>
        <w:t xml:space="preserve">. </w:t>
      </w:r>
      <w:r w:rsidR="001B5463">
        <w:t>Very l</w:t>
      </w:r>
      <w:r>
        <w:t>arge loads of tebuthiuron were discharged from the Fitzroy (a total of 11890 kg) and Burdekin Rivers (a total of 1070 kg) between 2010 – 2013, suggesting possible long-range transport to the Wet Tropics region, as well as long residence time and slow degradation of herbicides occurring in the Reef lagoon.</w:t>
      </w:r>
    </w:p>
    <w:p w14:paraId="0F1174D3" w14:textId="77777777" w:rsidR="0059608E" w:rsidRDefault="0059608E" w:rsidP="006130D4">
      <w:pPr>
        <w:tabs>
          <w:tab w:val="left" w:pos="10065"/>
        </w:tabs>
        <w:spacing w:line="360" w:lineRule="auto"/>
      </w:pPr>
    </w:p>
    <w:p w14:paraId="2BBB8950" w14:textId="77777777" w:rsidR="0059608E" w:rsidRDefault="0059608E" w:rsidP="006130D4">
      <w:pPr>
        <w:tabs>
          <w:tab w:val="left" w:pos="10065"/>
        </w:tabs>
        <w:spacing w:line="360" w:lineRule="auto"/>
      </w:pPr>
      <w:r>
        <w:t xml:space="preserve">This is consistent with the long half-life of tebuthiuron (under Reef relevant conditions) which was recently determined to be over 900 days </w:t>
      </w:r>
      <w:r w:rsidR="002F2B0F">
        <w:fldChar w:fldCharType="begin"/>
      </w:r>
      <w:r w:rsidR="002F2B0F">
        <w:instrText xml:space="preserve"> ADDIN EN.CITE &lt;EndNote&gt;&lt;Cite&gt;&lt;Author&gt;Negri&lt;/Author&gt;&lt;Year&gt;2014&lt;/Year&gt;&lt;RecNum&gt;342&lt;/RecNum&gt;&lt;DisplayText&gt;(Negri et al., 2014)&lt;/DisplayText&gt;&lt;record&gt;&lt;rec-number&gt;342&lt;/rec-number&gt;&lt;foreign-keys&gt;&lt;key app="EN" db-id="0zzrztwe5p59skesdrqpsfeu2s0xt5zd5v9p" timestamp="1466644611"&gt;342&lt;/key&gt;&lt;/foreign-keys&gt;&lt;ref-type name="Report"&gt;27&lt;/ref-type&gt;&lt;contributors&gt;&lt;authors&gt;&lt;author&gt;Negri, A.P.&lt;/author&gt;&lt;author&gt;Mercurio, P.&lt;/author&gt;&lt;author&gt;Flores, F.&lt;/author&gt;&lt;author&gt;Mueller, J.F.&lt;/author&gt;&lt;/authors&gt;&lt;/contributors&gt;&lt;titles&gt;&lt;title&gt;Pesticide dynamics in the Great Barrier Reef catchment and lagoon: grazing, bananas and grain. Herbicide persistence in the marine environment. Report to the Reef Rescue Water Quality Research &amp;amp; Development Program&lt;/title&gt;&lt;/titles&gt;&lt;dates&gt;&lt;year&gt;2014&lt;/year&gt;&lt;/dates&gt;&lt;pub-location&gt;Reef and Rainforest Research Centre Limited, Cairns &lt;/pub-location&gt;&lt;urls&gt;&lt;/urls&gt;&lt;/record&gt;&lt;/Cite&gt;&lt;/EndNote&gt;</w:instrText>
      </w:r>
      <w:r w:rsidR="002F2B0F">
        <w:fldChar w:fldCharType="separate"/>
      </w:r>
      <w:r w:rsidR="002F2B0F">
        <w:rPr>
          <w:noProof/>
        </w:rPr>
        <w:t>(Negri et al., 2014)</w:t>
      </w:r>
      <w:r w:rsidR="002F2B0F">
        <w:fldChar w:fldCharType="end"/>
      </w:r>
      <w:r>
        <w:t xml:space="preserve">, a </w:t>
      </w:r>
      <w:r w:rsidR="001B5463">
        <w:t xml:space="preserve">likely </w:t>
      </w:r>
      <w:r>
        <w:t>contributing factor in its ability to be detected far from its land-based origin. The decrease in tebuthiuron concentrations and detections observed at the same Wet Tropics sites this year (more than two years following the large Fitzroy River load) may be further evidence of its slow degradation rate. The observed decrease in tebuthiuron detections may also be due to smaller loads being input into the marine environment in recent years (only 140 kg discharged from the Fitzroy River in 2013-</w:t>
      </w:r>
      <w:r w:rsidR="006E3A14">
        <w:t>20</w:t>
      </w:r>
      <w:r>
        <w:t xml:space="preserve">14), a result of either lower usage or simply an artefact of decreased rainfall and river discharge. Despite its widespread usage in grazing areas, there is little data relating to tebuthiuron application in the Reef and its movement in run-off </w:t>
      </w:r>
      <w:r w:rsidR="002F2B0F">
        <w:fldChar w:fldCharType="begin"/>
      </w:r>
      <w:r w:rsidR="002F2B0F">
        <w:instrText xml:space="preserve"> ADDIN EN.CITE &lt;EndNote&gt;&lt;Cite&gt;&lt;Author&gt;Devlin&lt;/Author&gt;&lt;Year&gt;2015&lt;/Year&gt;&lt;RecNum&gt;341&lt;/RecNum&gt;&lt;DisplayText&gt;(Devlin et al., 2015)&lt;/DisplayText&gt;&lt;record&gt;&lt;rec-number&gt;341&lt;/rec-number&gt;&lt;foreign-keys&gt;&lt;key app="EN" db-id="0zzrztwe5p59skesdrqpsfeu2s0xt5zd5v9p" timestamp="1466642838"&gt;341&lt;/key&gt;&lt;/foreign-keys&gt;&lt;ref-type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2F2B0F">
        <w:fldChar w:fldCharType="separate"/>
      </w:r>
      <w:r w:rsidR="002F2B0F">
        <w:rPr>
          <w:noProof/>
        </w:rPr>
        <w:t>(Devlin et al., 2015)</w:t>
      </w:r>
      <w:r w:rsidR="002F2B0F">
        <w:fldChar w:fldCharType="end"/>
      </w:r>
      <w:r>
        <w:t>.</w:t>
      </w:r>
    </w:p>
    <w:p w14:paraId="548F808D" w14:textId="77777777" w:rsidR="0059608E" w:rsidRDefault="0059608E" w:rsidP="006130D4">
      <w:pPr>
        <w:tabs>
          <w:tab w:val="left" w:pos="10065"/>
        </w:tabs>
        <w:spacing w:line="360" w:lineRule="auto"/>
        <w:rPr>
          <w:lang w:val="en-AU" w:eastAsia="en-AU"/>
        </w:rPr>
      </w:pPr>
    </w:p>
    <w:p w14:paraId="20438DCC" w14:textId="77777777" w:rsidR="0059608E" w:rsidRDefault="0059608E" w:rsidP="006130D4">
      <w:pPr>
        <w:spacing w:line="360" w:lineRule="auto"/>
      </w:pPr>
      <w:r>
        <w:rPr>
          <w:lang w:val="en-AU"/>
        </w:rPr>
        <w:t xml:space="preserve">Overall, the risk of exposure to PSII herbicides at fixed monitoring sites located in the Wet Tropics regions appears the lowest. </w:t>
      </w:r>
      <w:r>
        <w:t xml:space="preserve">The sites located in the Mackay Whitsundays region have encountered the greatest risk of exposure to PSII herbicides in this current year, with concentrations detected in previous years that have been shown to inhibit photosynthesis in some species of coral and seagrass (Category 2 and 3 on the PSII Herbicide Index) </w:t>
      </w:r>
      <w:r w:rsidR="00D4195D">
        <w:fldChar w:fldCharType="begin"/>
      </w:r>
      <w:r w:rsidR="00D4195D">
        <w:instrText xml:space="preserve"> ADDIN EN.CITE &lt;EndNote&gt;&lt;Cite&gt;&lt;Author&gt;Flores&lt;/Author&gt;&lt;Year&gt;2013&lt;/Year&gt;&lt;RecNum&gt;343&lt;/RecNum&gt;&lt;DisplayText&gt;(Flores et al., 2013)&lt;/DisplayText&gt;&lt;record&gt;&lt;rec-number&gt;343&lt;/rec-number&gt;&lt;foreign-keys&gt;&lt;key app="EN" db-id="0zzrztwe5p59skesdrqpsfeu2s0xt5zd5v9p" timestamp="1466644916"&gt;343&lt;/key&gt;&lt;/foreign-keys&gt;&lt;ref-type name="Electronic Article"&gt;43&lt;/ref-type&gt;&lt;contributors&gt;&lt;authors&gt;&lt;author&gt;Flores, F.&lt;/author&gt;&lt;author&gt;Collier, C.J.&lt;/author&gt;&lt;author&gt;Mercurio, P.&lt;/author&gt;&lt;author&gt;Negri, A.P. &lt;/author&gt;&lt;/authors&gt;&lt;/contributors&gt;&lt;titles&gt;&lt;title&gt;Phytotoxicity of Four Photosystem II Herbicides to Tropical Seagrasses&lt;/title&gt;&lt;/titles&gt;&lt;volume&gt;8&lt;/volume&gt;&lt;number&gt;9&lt;/number&gt;&lt;dates&gt;&lt;year&gt;2013&lt;/year&gt;&lt;/dates&gt;&lt;publisher&gt;PLoS ONE&lt;/publisher&gt;&lt;urls&gt;&lt;/urls&gt;&lt;electronic-resource-num&gt;10.1371/journal.pone.0075798&lt;/electronic-resource-num&gt;&lt;/record&gt;&lt;/Cite&gt;&lt;/EndNote&gt;</w:instrText>
      </w:r>
      <w:r w:rsidR="00D4195D">
        <w:fldChar w:fldCharType="separate"/>
      </w:r>
      <w:r w:rsidR="00D4195D">
        <w:rPr>
          <w:noProof/>
        </w:rPr>
        <w:t>(Flores et al., 2013)</w:t>
      </w:r>
      <w:r w:rsidR="00D4195D">
        <w:fldChar w:fldCharType="end"/>
      </w:r>
      <w:r>
        <w:t>.</w:t>
      </w:r>
      <w:r w:rsidRPr="00D562B5">
        <w:t xml:space="preserve"> </w:t>
      </w:r>
      <w:r>
        <w:t>In previous monitoring years, Sarina Inlet has consistently had the highest frequencies and concentrations of PSII herbicides detected, most likely related to the density of sugarcane farming in such proximity to the coast, and the high frequency of primary flood plume waters impacting the sampling site. Furthermore, 34</w:t>
      </w:r>
      <w:r w:rsidR="001B5463">
        <w:t xml:space="preserve"> </w:t>
      </w:r>
      <w:r>
        <w:t xml:space="preserve">% of the Plane Creek catchment land area (adjacent to the Sarina Inlet site) is used for sugarcane farming (ABS, 2013). Based on a risk assessment of the </w:t>
      </w:r>
      <w:r w:rsidR="00FB0400">
        <w:t>priority</w:t>
      </w:r>
      <w:r>
        <w:t xml:space="preserve"> PSII herbicides, the Mackay Whitsundays region has been identified as having the highest risk of toxic effects to coral reefs and seagrasses and the reduction of pesticides in this region is a management priority </w:t>
      </w:r>
      <w:r w:rsidR="00D4195D">
        <w:fldChar w:fldCharType="begin"/>
      </w:r>
      <w:r w:rsidR="00D4195D">
        <w:instrText xml:space="preserve"> ADDIN EN.CITE &lt;EndNote&gt;&lt;Cite&gt;&lt;Author&gt;Brodie&lt;/Author&gt;&lt;Year&gt;2013&lt;/Year&gt;&lt;RecNum&gt;332&lt;/RecNum&gt;&lt;DisplayText&gt;(Brodie et al., 2013)&lt;/DisplayText&gt;&lt;record&gt;&lt;rec-number&gt;332&lt;/rec-number&gt;&lt;foreign-keys&gt;&lt;key app="EN" db-id="0zzrztwe5p59skesdrqpsfeu2s0xt5zd5v9p" timestamp="1466578719"&gt;332&lt;/key&gt;&lt;/foreign-keys&gt;&lt;ref-type name="Report"&gt;27&lt;/ref-type&gt;&lt;contributors&gt;&lt;authors&gt;&lt;author&gt;Brodie, J.&lt;/author&gt;&lt;author&gt;Waterhouse, J.&lt;/author&gt;&lt;author&gt;Schaffelke, B.&lt;/author&gt;&lt;author&gt;Kroon, F.&lt;/author&gt;&lt;author&gt;Thorburn, P.&lt;/author&gt;&lt;author&gt;Rolfe, J.&lt;/author&gt;&lt;author&gt;Johnson, J.&lt;/author&gt;&lt;author&gt;Fabricius, K.&lt;/author&gt;&lt;author&gt;Lewis, S.&lt;/author&gt;&lt;author&gt;Devlin, M.&lt;/author&gt;&lt;author&gt;Warne, M.&lt;/author&gt;&lt;author&gt;McKenzie, L&lt;/author&gt;&lt;/authors&gt;&lt;/contributors&gt;&lt;titles&gt;&lt;title&gt;Scientific Consensus Statement. Land use impacts on Great Barrier Reef water quality and ecosystem condition&lt;/title&gt;&lt;/titles&gt;&lt;dates&gt;&lt;year&gt;2013&lt;/year&gt;&lt;/dates&gt;&lt;pub-location&gt;The State of Queensland, Reef Water Quality Protection Plan Secretariat&lt;/pub-location&gt;&lt;urls&gt;&lt;/urls&gt;&lt;/record&gt;&lt;/Cite&gt;&lt;/EndNote&gt;</w:instrText>
      </w:r>
      <w:r w:rsidR="00D4195D">
        <w:fldChar w:fldCharType="separate"/>
      </w:r>
      <w:r w:rsidR="00D4195D">
        <w:rPr>
          <w:noProof/>
        </w:rPr>
        <w:t>(Brodie et al., 2013)</w:t>
      </w:r>
      <w:r w:rsidR="00D4195D">
        <w:fldChar w:fldCharType="end"/>
      </w:r>
      <w:r>
        <w:t xml:space="preserve">. </w:t>
      </w:r>
      <w:r w:rsidR="00A00DDD">
        <w:t xml:space="preserve">It must be noted that the locations of the passive samplers </w:t>
      </w:r>
      <w:r w:rsidR="00DA289B">
        <w:t xml:space="preserve">close to river and creek mouths </w:t>
      </w:r>
      <w:r w:rsidR="00A00DDD">
        <w:t xml:space="preserve">likely skew the data towards </w:t>
      </w:r>
      <w:r w:rsidR="00DA289B">
        <w:t xml:space="preserve">a </w:t>
      </w:r>
      <w:r w:rsidR="00A00DDD">
        <w:t xml:space="preserve">higher </w:t>
      </w:r>
      <w:r w:rsidR="00DA289B">
        <w:t xml:space="preserve">number of herbicide </w:t>
      </w:r>
      <w:r w:rsidR="00A00DDD">
        <w:t xml:space="preserve">detections </w:t>
      </w:r>
      <w:r w:rsidR="00DA289B">
        <w:t xml:space="preserve">(and at higher concentrations) </w:t>
      </w:r>
      <w:r w:rsidR="00A00DDD">
        <w:t xml:space="preserve">at </w:t>
      </w:r>
      <w:r w:rsidR="00DA289B">
        <w:t>s</w:t>
      </w:r>
      <w:r w:rsidR="00EA673C">
        <w:t>ites located in the Mackay Whitsunday region, compared to other regions.</w:t>
      </w:r>
    </w:p>
    <w:p w14:paraId="5AA38627" w14:textId="77777777" w:rsidR="00EA673C" w:rsidRDefault="00EA673C" w:rsidP="006130D4">
      <w:pPr>
        <w:spacing w:line="360" w:lineRule="auto"/>
      </w:pPr>
    </w:p>
    <w:p w14:paraId="4E5E651A" w14:textId="77777777" w:rsidR="0059608E" w:rsidRDefault="0059608E" w:rsidP="006130D4">
      <w:pPr>
        <w:spacing w:line="360" w:lineRule="auto"/>
        <w:rPr>
          <w:lang w:val="en-AU" w:eastAsia="en-AU"/>
        </w:rPr>
      </w:pPr>
      <w:r>
        <w:rPr>
          <w:lang w:val="en-AU" w:eastAsia="en-AU"/>
        </w:rPr>
        <w:t xml:space="preserve">The major land uses within the </w:t>
      </w:r>
      <w:r>
        <w:t xml:space="preserve">Reef </w:t>
      </w:r>
      <w:r>
        <w:rPr>
          <w:lang w:val="en-AU" w:eastAsia="en-AU"/>
        </w:rPr>
        <w:t xml:space="preserve">catchments are agricultural cropping, livestock grazing and other primary production (such as forestry) </w:t>
      </w:r>
      <w:r w:rsidR="00D4195D">
        <w:fldChar w:fldCharType="begin"/>
      </w:r>
      <w:r w:rsidR="00D4195D">
        <w:instrText xml:space="preserve"> ADDIN EN.CITE &lt;EndNote&gt;&lt;Cite&gt;&lt;Author&gt;DSITIA&lt;/Author&gt;&lt;Year&gt;2012&lt;/Year&gt;&lt;RecNum&gt;285&lt;/RecNum&gt;&lt;DisplayText&gt;(DSITIA, 2012d, ABS, 2010)&lt;/DisplayText&gt;&lt;record&gt;&lt;rec-number&gt;285&lt;/rec-number&gt;&lt;foreign-keys&gt;&lt;key app="EN" db-id="0zzrztwe5p59skesdrqpsfeu2s0xt5zd5v9p" timestamp="1466319392"&gt;285&lt;/key&gt;&lt;/foreign-keys&gt;&lt;ref-type name="Report"&gt;27&lt;/ref-type&gt;&lt;contributors&gt;&lt;authors&gt;&lt;author&gt;DSITIA&lt;/author&gt;&lt;/authors&gt;&lt;/contributors&gt;&lt;titles&gt;&lt;title&gt;Land use summary 1999–2009: Great Barrier Reef catchments&lt;/title&gt;&lt;/titles&gt;&lt;dates&gt;&lt;year&gt;2012&lt;/year&gt;&lt;/dates&gt;&lt;pub-location&gt;Brisbane&lt;/pub-location&gt;&lt;publisher&gt;Queensland Department of Science, Information Technology, Innovation and the Arts&lt;/publisher&gt;&lt;urls&gt;&lt;/urls&gt;&lt;/record&gt;&lt;/Cite&gt;&lt;Cite&gt;&lt;Author&gt;ABS&lt;/Author&gt;&lt;Year&gt;2010&lt;/Year&gt;&lt;RecNum&gt;327&lt;/RecNum&gt;&lt;record&gt;&lt;rec-number&gt;327&lt;/rec-number&gt;&lt;foreign-keys&gt;&lt;key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D4195D">
        <w:fldChar w:fldCharType="separate"/>
      </w:r>
      <w:r w:rsidR="00D4195D">
        <w:rPr>
          <w:noProof/>
        </w:rPr>
        <w:t>(DSITIA, 2012d, ABS, 2010)</w:t>
      </w:r>
      <w:r w:rsidR="00D4195D">
        <w:fldChar w:fldCharType="end"/>
      </w:r>
      <w:r>
        <w:rPr>
          <w:lang w:val="en-AU" w:eastAsia="en-AU"/>
        </w:rPr>
        <w:t>. Sugar cane farming is clustered heavily along the Tully River (Wet Tropics region), Burdekin River (Burdekin region) and Pioneer River (Mackay-Whitsunday region)</w:t>
      </w:r>
      <w:r w:rsidR="00A73290">
        <w:rPr>
          <w:lang w:val="en-AU" w:eastAsia="en-AU"/>
        </w:rPr>
        <w:t>, with 18 % of the Mackay Whitsunday region alone used for sugar cane farming</w:t>
      </w:r>
      <w:r>
        <w:rPr>
          <w:lang w:val="en-AU" w:eastAsia="en-AU"/>
        </w:rPr>
        <w:t xml:space="preserve"> </w:t>
      </w:r>
      <w:r w:rsidR="00A73290">
        <w:rPr>
          <w:lang w:val="en-AU" w:eastAsia="en-AU"/>
        </w:rPr>
        <w:fldChar w:fldCharType="begin">
          <w:fldData xml:space="preserve">PEVuZE5vdGU+PENpdGU+PEF1dGhvcj5MZXdpczwvQXV0aG9yPjxZZWFyPjIwMDk8L1llYXI+PFJl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</w:fldData>
        </w:fldChar>
      </w:r>
      <w:r w:rsidR="00154E42">
        <w:rPr>
          <w:lang w:val="en-AU" w:eastAsia="en-AU"/>
        </w:rPr>
        <w:instrText xml:space="preserve"> ADDIN EN.CITE </w:instrText>
      </w:r>
      <w:r w:rsidR="00154E42">
        <w:rPr>
          <w:lang w:val="en-AU" w:eastAsia="en-AU"/>
        </w:rPr>
        <w:fldChar w:fldCharType="begin">
          <w:fldData xml:space="preserve">PEVuZE5vdGU+PENpdGU+PEF1dGhvcj5MZXdpczwvQXV0aG9yPjxZZWFyPjIwMDk8L1llYXI+PFJl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</w:fldData>
        </w:fldChar>
      </w:r>
      <w:r w:rsidR="00154E42">
        <w:rPr>
          <w:lang w:val="en-AU" w:eastAsia="en-AU"/>
        </w:rPr>
        <w:instrText xml:space="preserve"> ADDIN EN.CITE.DATA </w:instrText>
      </w:r>
      <w:r w:rsidR="00154E42">
        <w:rPr>
          <w:lang w:val="en-AU" w:eastAsia="en-AU"/>
        </w:rPr>
      </w:r>
      <w:r w:rsidR="00154E42">
        <w:rPr>
          <w:lang w:val="en-AU" w:eastAsia="en-AU"/>
        </w:rPr>
        <w:fldChar w:fldCharType="end"/>
      </w:r>
      <w:r w:rsidR="00A73290">
        <w:rPr>
          <w:lang w:val="en-AU" w:eastAsia="en-AU"/>
        </w:rPr>
      </w:r>
      <w:r w:rsidR="00A73290">
        <w:rPr>
          <w:lang w:val="en-AU" w:eastAsia="en-AU"/>
        </w:rPr>
        <w:fldChar w:fldCharType="separate"/>
      </w:r>
      <w:r w:rsidR="00154E42">
        <w:rPr>
          <w:noProof/>
          <w:lang w:val="en-AU" w:eastAsia="en-AU"/>
        </w:rPr>
        <w:t>(Lewis et al., 2009, DSITIA, 2012b, DSITIA, 2012c, DSITIA, 2012e)</w:t>
      </w:r>
      <w:r w:rsidR="00A73290">
        <w:rPr>
          <w:lang w:val="en-AU" w:eastAsia="en-AU"/>
        </w:rPr>
        <w:fldChar w:fldCharType="end"/>
      </w:r>
      <w:r>
        <w:rPr>
          <w:lang w:val="en-AU" w:eastAsia="en-AU"/>
        </w:rPr>
        <w:t>. The herbicide residues detected in the greatest abundance in this MMP (diuron, atrazine and hexazinone) are consistent with applications primarily in the sugar cane, horticulture and grain cropping industries</w:t>
      </w:r>
      <w:r w:rsidR="00417119">
        <w:rPr>
          <w:lang w:val="en-AU" w:eastAsia="en-AU"/>
        </w:rPr>
        <w:t xml:space="preserve"> </w:t>
      </w:r>
      <w:r w:rsidR="00417119">
        <w:rPr>
          <w:lang w:val="en-AU" w:eastAsia="en-AU"/>
        </w:rPr>
        <w:fldChar w:fldCharType="begin">
          <w:fldData xml:space="preserve">PEVuZE5vdGU+PENpdGU+PEF1dGhvcj5CYWluYnJpZGdlPC9BdXRob3I+PFllYXI+MjAwOTwvWWVh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</w:fldData>
        </w:fldChar>
      </w:r>
      <w:r w:rsidR="00DF2E91">
        <w:rPr>
          <w:lang w:val="en-AU" w:eastAsia="en-AU"/>
        </w:rPr>
        <w:instrText xml:space="preserve"> ADDIN EN.CITE </w:instrText>
      </w:r>
      <w:r w:rsidR="00DF2E91">
        <w:rPr>
          <w:lang w:val="en-AU" w:eastAsia="en-AU"/>
        </w:rPr>
        <w:fldChar w:fldCharType="begin">
          <w:fldData xml:space="preserve">PEVuZE5vdGU+PENpdGU+PEF1dGhvcj5CYWluYnJpZGdlPC9BdXRob3I+PFllYXI+MjAwOTwvWWVh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</w:fldData>
        </w:fldChar>
      </w:r>
      <w:r w:rsidR="00DF2E91">
        <w:rPr>
          <w:lang w:val="en-AU" w:eastAsia="en-AU"/>
        </w:rPr>
        <w:instrText xml:space="preserve"> ADDIN EN.CITE.DATA </w:instrText>
      </w:r>
      <w:r w:rsidR="00DF2E91">
        <w:rPr>
          <w:lang w:val="en-AU" w:eastAsia="en-AU"/>
        </w:rPr>
      </w:r>
      <w:r w:rsidR="00DF2E91">
        <w:rPr>
          <w:lang w:val="en-AU" w:eastAsia="en-AU"/>
        </w:rPr>
        <w:fldChar w:fldCharType="end"/>
      </w:r>
      <w:r w:rsidR="00417119">
        <w:rPr>
          <w:lang w:val="en-AU" w:eastAsia="en-AU"/>
        </w:rPr>
      </w:r>
      <w:r w:rsidR="00417119">
        <w:rPr>
          <w:lang w:val="en-AU" w:eastAsia="en-AU"/>
        </w:rPr>
        <w:fldChar w:fldCharType="separate"/>
      </w:r>
      <w:r w:rsidR="00DF2E91">
        <w:rPr>
          <w:noProof/>
          <w:lang w:val="en-AU" w:eastAsia="en-AU"/>
        </w:rPr>
        <w:t>(Bainbridge et al., 2009, Devlin et al., 2015, Kroon et al., 2013, Lewis et al., 2009)</w:t>
      </w:r>
      <w:r w:rsidR="00417119">
        <w:rPr>
          <w:lang w:val="en-AU" w:eastAsia="en-AU"/>
        </w:rPr>
        <w:fldChar w:fldCharType="end"/>
      </w:r>
      <w:r>
        <w:rPr>
          <w:lang w:val="en-AU" w:eastAsia="en-AU"/>
        </w:rPr>
        <w:t xml:space="preserve">. Recent modelling indicates that sugar cane contributes &gt;90 % of the annual load of PSII herbicides transported into waterways and marine areas from GBR catchments </w:t>
      </w:r>
      <w:r w:rsidR="00294EE0">
        <w:rPr>
          <w:lang w:val="en-AU" w:eastAsia="en-AU"/>
        </w:rPr>
        <w:fldChar w:fldCharType="begin">
          <w:fldData xml:space="preserve">PEVuZE5vdGU+PENpdGU+PEF1dGhvcj5Lcm9vbjwvQXV0aG9yPjxZZWFyPjIwMTI8L1llYXI+PFJl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</w:fldData>
        </w:fldChar>
      </w:r>
      <w:r w:rsidR="00294EE0">
        <w:rPr>
          <w:lang w:val="en-AU" w:eastAsia="en-AU"/>
        </w:rPr>
        <w:instrText xml:space="preserve"> ADDIN EN.CITE </w:instrText>
      </w:r>
      <w:r w:rsidR="00294EE0">
        <w:rPr>
          <w:lang w:val="en-AU" w:eastAsia="en-AU"/>
        </w:rPr>
        <w:fldChar w:fldCharType="begin">
          <w:fldData xml:space="preserve">PEVuZE5vdGU+PENpdGU+PEF1dGhvcj5Lcm9vbjwvQXV0aG9yPjxZZWFyPjIwMTI8L1llYXI+PFJl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</w:fldData>
        </w:fldChar>
      </w:r>
      <w:r w:rsidR="00294EE0">
        <w:rPr>
          <w:lang w:val="en-AU" w:eastAsia="en-AU"/>
        </w:rPr>
        <w:instrText xml:space="preserve"> ADDIN EN.CITE.DATA </w:instrText>
      </w:r>
      <w:r w:rsidR="00294EE0">
        <w:rPr>
          <w:lang w:val="en-AU" w:eastAsia="en-AU"/>
        </w:rPr>
      </w:r>
      <w:r w:rsidR="00294EE0">
        <w:rPr>
          <w:lang w:val="en-AU" w:eastAsia="en-AU"/>
        </w:rPr>
        <w:fldChar w:fldCharType="end"/>
      </w:r>
      <w:r w:rsidR="00294EE0">
        <w:rPr>
          <w:lang w:val="en-AU" w:eastAsia="en-AU"/>
        </w:rPr>
      </w:r>
      <w:r w:rsidR="00294EE0">
        <w:rPr>
          <w:lang w:val="en-AU" w:eastAsia="en-AU"/>
        </w:rPr>
        <w:fldChar w:fldCharType="separate"/>
      </w:r>
      <w:r w:rsidR="00294EE0">
        <w:rPr>
          <w:noProof/>
          <w:lang w:val="en-AU" w:eastAsia="en-AU"/>
        </w:rPr>
        <w:t>(Kroon et al., 2012)</w:t>
      </w:r>
      <w:r w:rsidR="00294EE0">
        <w:rPr>
          <w:lang w:val="en-AU" w:eastAsia="en-AU"/>
        </w:rPr>
        <w:fldChar w:fldCharType="end"/>
      </w:r>
      <w:r>
        <w:rPr>
          <w:lang w:val="en-AU" w:eastAsia="en-AU"/>
        </w:rPr>
        <w:t xml:space="preserve">. </w:t>
      </w:r>
    </w:p>
    <w:p w14:paraId="1659759B" w14:textId="77777777" w:rsidR="0059608E" w:rsidRDefault="0059608E" w:rsidP="006130D4">
      <w:pPr>
        <w:spacing w:line="360" w:lineRule="auto"/>
        <w:rPr>
          <w:lang w:val="en-AU" w:eastAsia="en-AU"/>
        </w:rPr>
      </w:pPr>
    </w:p>
    <w:p w14:paraId="01018903" w14:textId="77777777" w:rsidR="0059608E" w:rsidRDefault="0059608E" w:rsidP="006130D4">
      <w:pPr>
        <w:spacing w:line="360" w:lineRule="auto"/>
      </w:pPr>
      <w:r>
        <w:rPr>
          <w:lang w:val="en-AU" w:eastAsia="en-AU"/>
        </w:rPr>
        <w:t xml:space="preserve">Land use in the </w:t>
      </w:r>
      <w:r>
        <w:t xml:space="preserve">Reef </w:t>
      </w:r>
      <w:r>
        <w:rPr>
          <w:lang w:val="en-AU" w:eastAsia="en-AU"/>
        </w:rPr>
        <w:t>catchments continues to change, and thus the impacts of these activities on the surrounding environment are also changing. With changing land use, it is likely that changes in both the amounts and types of agricultural chemicals being used, as well as the</w:t>
      </w:r>
      <w:r w:rsidR="003957B7">
        <w:rPr>
          <w:lang w:val="en-AU" w:eastAsia="en-AU"/>
        </w:rPr>
        <w:t xml:space="preserve"> timing and </w:t>
      </w:r>
      <w:r>
        <w:rPr>
          <w:lang w:val="en-AU" w:eastAsia="en-AU"/>
        </w:rPr>
        <w:t xml:space="preserve">methods of application will influence environmental levels and the level of risk to aquatic marine life. There are no figures available for the current local-scale usage of agricultural chemicals in the </w:t>
      </w:r>
      <w:r>
        <w:t xml:space="preserve">Reef </w:t>
      </w:r>
      <w:r>
        <w:rPr>
          <w:lang w:val="en-AU" w:eastAsia="en-AU"/>
        </w:rPr>
        <w:t>catchments, apart from limited estimates in the 1990’s and more general estimates from 2008</w:t>
      </w:r>
      <w:r w:rsidR="002B1C8E">
        <w:rPr>
          <w:lang w:val="en-AU" w:eastAsia="en-AU"/>
        </w:rPr>
        <w:t>-</w:t>
      </w:r>
      <w:r>
        <w:rPr>
          <w:lang w:val="en-AU" w:eastAsia="en-AU"/>
        </w:rPr>
        <w:t xml:space="preserve"> 2009 that are unlikely to still be accurate </w:t>
      </w:r>
      <w:r w:rsidR="00BB2442">
        <w:rPr>
          <w:lang w:val="en-AU" w:eastAsia="en-AU"/>
        </w:rPr>
        <w:fldChar w:fldCharType="begin"/>
      </w:r>
      <w:r w:rsidR="00E166B3">
        <w:rPr>
          <w:lang w:val="en-AU" w:eastAsia="en-AU"/>
        </w:rPr>
        <w:instrText xml:space="preserve"> ADDIN EN.CITE &lt;EndNote&gt;&lt;Cite&gt;&lt;Author&gt;Devlin&lt;/Author&gt;&lt;Year&gt;2015&lt;/Year&gt;&lt;RecNum&gt;341&lt;/RecNum&gt;&lt;DisplayText&gt;(Devlin et al., 2015, ABS, 2010)&lt;/DisplayText&gt;&lt;record&gt;&lt;rec-number&gt;341&lt;/rec-number&gt;&lt;foreign-keys&gt;&lt;key app="EN" db-id="0zzrztwe5p59skesdrqpsfeu2s0xt5zd5v9p" timestamp="1466642838"&gt;341&lt;/key&gt;&lt;/foreign-keys&gt;&lt;ref-type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Cairns.&lt;/pub-location&gt;&lt;urls&gt;&lt;/urls&gt;&lt;/record&gt;&lt;/Cite&gt;&lt;Cite&gt;&lt;Author&gt;ABS&lt;/Author&gt;&lt;Year&gt;2010&lt;/Year&gt;&lt;RecNum&gt;327&lt;/RecNum&gt;&lt;record&gt;&lt;rec-number&gt;327&lt;/rec-number&gt;&lt;foreign-keys&gt;&lt;key app="EN" db-id="0zzrztwe5p59skesdrqpsfeu2s0xt5zd5v9p" timestamp="1466577168"&gt;327&lt;/key&gt;&lt;/foreign-keys&gt;&lt;ref-type name="Web Page"&gt;12&lt;/ref-type&gt;&lt;contributors&gt;&lt;authors&gt;&lt;author&gt;ABS&lt;/author&gt;&lt;/authors&gt;&lt;/contributors&gt;&lt;titles&gt;&lt;title&gt;4619.0 - Land Management Practices in the Great Barrier Reef Catchments, Preliminary, 2008-09&lt;/title&gt;&lt;/titles&gt;&lt;volume&gt;2014&lt;/volume&gt;&lt;number&gt;6 November&lt;/number&gt;&lt;dates&gt;&lt;year&gt;2010&lt;/year&gt;&lt;/dates&gt;&lt;pub-location&gt;Australian Bureau of Statistics, Canberra&lt;/pub-location&gt;&lt;urls&gt;&lt;/urls&gt;&lt;/record&gt;&lt;/Cite&gt;&lt;/EndNote&gt;</w:instrText>
      </w:r>
      <w:r w:rsidR="00BB2442">
        <w:rPr>
          <w:lang w:val="en-AU" w:eastAsia="en-AU"/>
        </w:rPr>
        <w:fldChar w:fldCharType="separate"/>
      </w:r>
      <w:r w:rsidR="00E166B3">
        <w:rPr>
          <w:noProof/>
          <w:lang w:val="en-AU" w:eastAsia="en-AU"/>
        </w:rPr>
        <w:t>(Devlin et al., 2015, ABS, 2010)</w:t>
      </w:r>
      <w:r w:rsidR="00BB2442">
        <w:rPr>
          <w:lang w:val="en-AU" w:eastAsia="en-AU"/>
        </w:rPr>
        <w:fldChar w:fldCharType="end"/>
      </w:r>
      <w:r w:rsidR="00E166B3">
        <w:rPr>
          <w:lang w:val="en-AU" w:eastAsia="en-AU"/>
        </w:rPr>
        <w:t xml:space="preserve">. </w:t>
      </w:r>
      <w:r>
        <w:rPr>
          <w:lang w:val="en-AU" w:eastAsia="en-AU"/>
        </w:rPr>
        <w:t xml:space="preserve">This severely limits assessments of pesticide losses (relative to the amount applied) as well as accurate modelling of pesticide loads at a catchment scale. Usage is dynamic and can fluctuate yearly based on specific pest pressures, climatic conditions, regulatory action (such as the restriction on diuron use in 2012), use of resistant crop varieties or the development of herbicide resistance in weeds </w:t>
      </w:r>
      <w:r w:rsidR="00294EE0">
        <w:rPr>
          <w:lang w:val="en-AU" w:eastAsia="en-AU"/>
        </w:rPr>
        <w:fldChar w:fldCharType="begin"/>
      </w:r>
      <w:r w:rsidR="00294EE0">
        <w:rPr>
          <w:lang w:val="en-AU" w:eastAsia="en-AU"/>
        </w:rPr>
        <w:instrText xml:space="preserve"> ADDIN EN.CITE &lt;EndNote&gt;&lt;Cite&gt;&lt;Author&gt;Devlin&lt;/Author&gt;&lt;Year&gt;2015&lt;/Year&gt;&lt;RecNum&gt;341&lt;/RecNum&gt;&lt;DisplayText&gt;(Devlin et al., 2015)&lt;/DisplayText&gt;&lt;record&gt;&lt;rec-number&gt;341&lt;/rec-number&gt;&lt;foreign-keys&gt;&lt;key app="EN" db-id="0zzrztwe5p59skesdrqpsfeu2s0xt5zd5v9p" timestamp="1466642838"&gt;341&lt;/key&gt;&lt;/foreign-keys&gt;&lt;ref-type name="Report"&gt;27&lt;/ref-type&gt;&lt;contributors&gt;&lt;authors&gt;&lt;author&gt;Devlin, M.&lt;/author&gt;&lt;author&gt;Lewis, S.&lt;/author&gt;&lt;author&gt;Davis, A.&lt;/author&gt;&lt;author&gt;Smith, R.&lt;/author&gt;&lt;author&gt;Negri, A.&lt;/author&gt;&lt;author&gt;Thompson, M.&lt;/author&gt;&lt;author&gt;Poggio, M.&lt;/author&gt;&lt;/authors&gt;&lt;/contributors&gt;&lt;titles&gt;&lt;title&gt;Advancing our understanding of the source, management, transport and impacts of pesticides on the Great Barrier Reef 2011 - 2015. &lt;/title&gt;&lt;/titles&gt;&lt;dates&gt;&lt;year&gt;2015&lt;/year&gt;&lt;/dates&gt;&lt;pub-location&gt;Tropical Water and Aquatic Ecosystem Research (TropWATER), James Cook University, Cairns.&lt;/pub-location&gt;&lt;urls&gt;&lt;/urls&gt;&lt;/record&gt;&lt;/Cite&gt;&lt;/EndNote&gt;</w:instrText>
      </w:r>
      <w:r w:rsidR="00294EE0">
        <w:rPr>
          <w:lang w:val="en-AU" w:eastAsia="en-AU"/>
        </w:rPr>
        <w:fldChar w:fldCharType="separate"/>
      </w:r>
      <w:r w:rsidR="00294EE0">
        <w:rPr>
          <w:noProof/>
          <w:lang w:val="en-AU" w:eastAsia="en-AU"/>
        </w:rPr>
        <w:t>(Devlin et al., 2015)</w:t>
      </w:r>
      <w:r w:rsidR="00294EE0">
        <w:rPr>
          <w:lang w:val="en-AU" w:eastAsia="en-AU"/>
        </w:rPr>
        <w:fldChar w:fldCharType="end"/>
      </w:r>
      <w:r>
        <w:rPr>
          <w:lang w:val="en-AU"/>
        </w:rPr>
        <w:t xml:space="preserve">. </w:t>
      </w:r>
      <w:r>
        <w:rPr>
          <w:lang w:val="en-AU" w:eastAsia="en-AU"/>
        </w:rPr>
        <w:t xml:space="preserve">Monitoring waterways (i.e end-of-catchment loads) and near shore areas continues to be the most reliable method to assess change in pesticide usage. Industry extension staff and updated land use maps would also be a useful resource in identifying changes in pesticide usage. </w:t>
      </w:r>
      <w:r>
        <w:t>Correlation of catchment rainfall maps to land use maps may be useful to identify sub-catchment sources of herbicides, particularly to profile emerging alternative herbicides where no usage data is available from industry. The Barratta Creek study undertaken this year successfully identified a hotspot of herbicide use, detecting numerous alternative herbicides that were unable to be identified by fixed site sampling in the marine areas, a likely result of dilution.</w:t>
      </w:r>
    </w:p>
    <w:p w14:paraId="32F1F96E" w14:textId="77777777" w:rsidR="0059608E" w:rsidRDefault="0059608E" w:rsidP="006130D4">
      <w:pPr>
        <w:spacing w:line="360" w:lineRule="auto"/>
        <w:rPr>
          <w:lang w:val="en-AU" w:eastAsia="en-AU"/>
        </w:rPr>
      </w:pPr>
    </w:p>
    <w:p w14:paraId="07FAB36D" w14:textId="77777777" w:rsidR="0059608E" w:rsidRDefault="0059608E" w:rsidP="006130D4">
      <w:pPr>
        <w:spacing w:line="360" w:lineRule="auto"/>
        <w:rPr>
          <w:lang w:val="en-AU" w:eastAsia="en-AU"/>
        </w:rPr>
      </w:pPr>
      <w:r>
        <w:rPr>
          <w:lang w:val="en-AU" w:eastAsia="en-AU"/>
        </w:rPr>
        <w:t xml:space="preserve">In recent years, many </w:t>
      </w:r>
      <w:r>
        <w:t xml:space="preserve">Reef-based </w:t>
      </w:r>
      <w:r>
        <w:rPr>
          <w:lang w:val="en-AU" w:eastAsia="en-AU"/>
        </w:rPr>
        <w:t>agricultural industries (particularly sugar can</w:t>
      </w:r>
      <w:r w:rsidR="00986476">
        <w:rPr>
          <w:lang w:val="en-AU" w:eastAsia="en-AU"/>
        </w:rPr>
        <w:t>e cultivation</w:t>
      </w:r>
      <w:r>
        <w:rPr>
          <w:lang w:val="en-AU" w:eastAsia="en-AU"/>
        </w:rPr>
        <w:t>) have begun a transition into the use of alternative herbicides (such as 2,4-D, glyphosate) in response to the uptake of farming best management practices and legislatively imposed restriction on the use of the five priority PSII herbicides, targeted for reduction in Reef Plan</w:t>
      </w:r>
      <w:r w:rsidR="00D45989">
        <w:rPr>
          <w:lang w:val="en-AU" w:eastAsia="en-AU"/>
        </w:rPr>
        <w:t xml:space="preserve"> </w:t>
      </w:r>
      <w:r w:rsidR="00D45989">
        <w:rPr>
          <w:lang w:val="en-AU" w:eastAsia="en-AU"/>
        </w:rPr>
        <w:fldChar w:fldCharType="begin"/>
      </w:r>
      <w:r w:rsidR="00D45989">
        <w:rPr>
          <w:lang w:val="en-AU" w:eastAsia="en-AU"/>
        </w:rPr>
        <w:instrText xml:space="preserve"> ADDIN EN.CITE &lt;EndNote&gt;&lt;Cite&gt;&lt;Author&gt;GBRMPA&lt;/Author&gt;&lt;Year&gt;2013&lt;/Year&gt;&lt;RecNum&gt;300&lt;/RecNum&gt;&lt;DisplayText&gt;(GBRMPA, 2013b, Smith et al., 2015)&lt;/DisplayText&gt;&lt;record&gt;&lt;rec-number&gt;300&lt;/rec-number&gt;&lt;foreign-keys&gt;&lt;key app="EN" db-id="0zzrztwe5p59skesdrqpsfeu2s0xt5zd5v9p" timestamp="1466324115"&gt;300&lt;/key&gt;&lt;/foreign-keys&gt;&lt;ref-type name="Report"&gt;27&lt;/ref-type&gt;&lt;contributors&gt;&lt;authors&gt;&lt;author&gt;GBRMPA&lt;/author&gt;&lt;/authors&gt;&lt;/contributors&gt;&lt;titles&gt;&lt;title&gt;Reef Water Quality Protection Plan 2013&lt;/title&gt;&lt;/titles&gt;&lt;dates&gt;&lt;year&gt;2013&lt;/year&gt;&lt;/dates&gt;&lt;pub-location&gt;Reef Water Quality Protection Plan Secretariat, July 2013. Great Barrier Reef Marine Park Authority, Townsville.&lt;/pub-location&gt;&lt;urls&gt;&lt;/urls&gt;&lt;/record&gt;&lt;/Cite&gt;&lt;Cite&gt;&lt;Author&gt;Smith&lt;/Author&gt;&lt;Year&gt;2015&lt;/Year&gt;&lt;RecNum&gt;307&lt;/RecNum&gt;&lt;record&gt;&lt;rec-number&gt;307&lt;/rec-number&gt;&lt;foreign-keys&gt;&lt;key app="EN" db-id="0zzrztwe5p59skesdrqpsfeu2s0xt5zd5v9p" timestamp="1466325031"&gt;307&lt;/key&gt;&lt;/foreign-keys&gt;&lt;ref-type name="Report"&gt;27&lt;/ref-type&gt;&lt;contributors&gt;&lt;authors&gt;&lt;author&gt;Smith, R.&lt;/author&gt;&lt;author&gt;Turner, R.&lt;/author&gt;&lt;author&gt;Vardy, S.&lt;/author&gt;&lt;author&gt;Huggins, R.&lt;/author&gt;&lt;author&gt;Wallace, R.&lt;/author&gt;&lt;author&gt;Warne, M. St J.&lt;/author&gt;&lt;/authors&gt;&lt;/contributors&gt;&lt;titles&gt;&lt;title&gt;An evaluation of the prevalence of alternate pesticides of environmental concern in Great Barrier Reef catchments: RP57C. &lt;/title&gt;&lt;/titles&gt;&lt;dates&gt;&lt;year&gt;2015&lt;/year&gt;&lt;/dates&gt;&lt;pub-location&gt;Department of Science, Information Technology, Innovation and the Arts. Brisbane&lt;/pub-location&gt;&lt;urls&gt;&lt;/urls&gt;&lt;/record&gt;&lt;/Cite&gt;&lt;/EndNote&gt;</w:instrText>
      </w:r>
      <w:r w:rsidR="00D45989">
        <w:rPr>
          <w:lang w:val="en-AU" w:eastAsia="en-AU"/>
        </w:rPr>
        <w:fldChar w:fldCharType="separate"/>
      </w:r>
      <w:r w:rsidR="00D45989">
        <w:rPr>
          <w:noProof/>
          <w:lang w:val="en-AU" w:eastAsia="en-AU"/>
        </w:rPr>
        <w:t>(GBRMPA, 2013b, Smith et al., 2015)</w:t>
      </w:r>
      <w:r w:rsidR="00D45989">
        <w:rPr>
          <w:lang w:val="en-AU" w:eastAsia="en-AU"/>
        </w:rPr>
        <w:fldChar w:fldCharType="end"/>
      </w:r>
      <w:r>
        <w:rPr>
          <w:lang w:val="en-AU" w:eastAsia="en-AU"/>
        </w:rPr>
        <w:t xml:space="preserve">. Other alternative products believed to be used in Reef catchments in recent years include imazapic, metolachlor, metribuzin, pendimethalin and metsulfuron-methyl, all of which were detected at least once in passive samplers this monitoring year. Routine analysis of these alternative herbicides in both passive and grab samples was </w:t>
      </w:r>
      <w:r>
        <w:rPr>
          <w:lang w:val="en-AU" w:eastAsia="en-AU"/>
        </w:rPr>
        <w:lastRenderedPageBreak/>
        <w:t xml:space="preserve">initiated this year, with 2,4-D, MCPA (both auxin growth inhibitors) and metolachlor (a long chain fatty acid inhibitor) the most frequently detected in the </w:t>
      </w:r>
      <w:r w:rsidR="00BE5F83">
        <w:rPr>
          <w:lang w:val="en-AU" w:eastAsia="en-AU"/>
        </w:rPr>
        <w:t xml:space="preserve">ED </w:t>
      </w:r>
      <w:r>
        <w:rPr>
          <w:lang w:val="en-AU" w:eastAsia="en-AU"/>
        </w:rPr>
        <w:t>passive samplers.</w:t>
      </w:r>
    </w:p>
    <w:p w14:paraId="37C21FFF" w14:textId="77777777" w:rsidR="0059608E" w:rsidRDefault="0059608E" w:rsidP="006130D4">
      <w:pPr>
        <w:spacing w:line="360" w:lineRule="auto"/>
        <w:rPr>
          <w:lang w:val="en-AU" w:eastAsia="en-AU"/>
        </w:rPr>
      </w:pPr>
    </w:p>
    <w:p w14:paraId="2D524F18" w14:textId="77777777" w:rsidR="0059608E" w:rsidRDefault="0059608E" w:rsidP="006130D4">
      <w:pPr>
        <w:spacing w:line="360" w:lineRule="auto"/>
        <w:rPr>
          <w:lang w:val="en-AU" w:eastAsia="en-AU"/>
        </w:rPr>
      </w:pPr>
      <w:r>
        <w:rPr>
          <w:lang w:val="en-AU" w:eastAsia="en-AU"/>
        </w:rPr>
        <w:t xml:space="preserve">In response to this increasing usage, the </w:t>
      </w:r>
      <w:r w:rsidR="00A27FC7">
        <w:rPr>
          <w:lang w:val="en-AU" w:eastAsia="en-AU"/>
        </w:rPr>
        <w:t>prevalence</w:t>
      </w:r>
      <w:r>
        <w:rPr>
          <w:lang w:val="en-AU" w:eastAsia="en-AU"/>
        </w:rPr>
        <w:t xml:space="preserve"> and loads of alternative herbicides were monitored in grab samples collected in six Reef catchment rivers by GBRCLMP in 2012-2013 and again for 11 Reef catchment rivers in 2013</w:t>
      </w:r>
      <w:r w:rsidR="0031409D">
        <w:rPr>
          <w:lang w:val="en-AU" w:eastAsia="en-AU"/>
        </w:rPr>
        <w:t>-</w:t>
      </w:r>
      <w:r>
        <w:rPr>
          <w:lang w:val="en-AU" w:eastAsia="en-AU"/>
        </w:rPr>
        <w:t xml:space="preserve">2014 </w:t>
      </w:r>
      <w:r w:rsidR="00D45989">
        <w:rPr>
          <w:lang w:val="en-AU" w:eastAsia="en-AU"/>
        </w:rPr>
        <w:fldChar w:fldCharType="begin"/>
      </w:r>
      <w:r w:rsidR="00D45989">
        <w:rPr>
          <w:lang w:val="en-AU" w:eastAsia="en-AU"/>
        </w:rPr>
        <w:instrText xml:space="preserve"> ADDIN EN.CITE &lt;EndNote&gt;&lt;Cite&gt;&lt;Author&gt;Smith&lt;/Author&gt;&lt;Year&gt;2015&lt;/Year&gt;&lt;RecNum&gt;307&lt;/RecNum&gt;&lt;DisplayText&gt;(Smith et al., 2015, Garzon-Garcia et al., 2015)&lt;/DisplayText&gt;&lt;record&gt;&lt;rec-number&gt;307&lt;/rec-number&gt;&lt;foreign-keys&gt;&lt;key app="EN" db-id="0zzrztwe5p59skesdrqpsfeu2s0xt5zd5v9p" timestamp="1466325031"&gt;307&lt;/key&gt;&lt;/foreign-keys&gt;&lt;ref-type name="Report"&gt;27&lt;/ref-type&gt;&lt;contributors&gt;&lt;authors&gt;&lt;author&gt;Smith, R.&lt;/author&gt;&lt;author&gt;Turner, R.&lt;/author&gt;&lt;author&gt;Vardy, S.&lt;/author&gt;&lt;author&gt;Huggins, R.&lt;/author&gt;&lt;author&gt;Wallace, R.&lt;/author&gt;&lt;author&gt;Warne, M. St J.&lt;/author&gt;&lt;/authors&gt;&lt;/contributors&gt;&lt;titles&gt;&lt;title&gt;An evaluation of the prevalence of alternate pesticides of environmental concern in Great Barrier Reef catchments: RP57C. &lt;/title&gt;&lt;/titles&gt;&lt;dates&gt;&lt;year&gt;2015&lt;/year&gt;&lt;/dates&gt;&lt;pub-location&gt;Department of Science, Information Technology, Innovation and the Arts. Brisbane&lt;/pub-location&gt;&lt;urls&gt;&lt;/urls&gt;&lt;/record&gt;&lt;/Cite&gt;&lt;Cite&gt;&lt;Author&gt;Garzon-Garcia&lt;/Author&gt;&lt;Year&gt;2015&lt;/Year&gt;&lt;RecNum&gt;302&lt;/RecNum&gt;&lt;record&gt;&lt;rec-number&gt;302&lt;/rec-number&gt;&lt;foreign-keys&gt;&lt;key app="EN" db-id="0zzrztwe5p59skesdrqpsfeu2s0xt5zd5v9p" timestamp="1466324559"&gt;302&lt;/key&gt;&lt;/foreign-keys&gt;&lt;ref-type name="Report"&gt;27&lt;/ref-type&gt;&lt;contributors&gt;&lt;authors&gt;&lt;author&gt;Garzon-Garcia, A.&lt;/author&gt;&lt;author&gt;Wallace, R.&lt;/author&gt;&lt;author&gt;Huggins, R.&lt;/author&gt;&lt;author&gt;Turner, R. &lt;/author&gt;&lt;author&gt;Smith, R. A.&lt;/author&gt;&lt;author&gt;Orr, D.&lt;/author&gt;&lt;author&gt;Ferguson, B.&lt;/author&gt;&lt;author&gt;Gardiner, R.&lt;/author&gt;&lt;author&gt;Thomson, B.&lt;/author&gt;&lt;author&gt;Warne, M. St. J&lt;/author&gt;&lt;/authors&gt;&lt;/contributors&gt;&lt;titles&gt;&lt;title&gt;Total suspended solids, nutrient and pesticide loads (2013–2014) for rivers that discharge to the Great Barrier Reef – Great Barrier Reef Catchment Loads Monitoring Program&lt;/title&gt;&lt;/titles&gt;&lt;dates&gt;&lt;year&gt;2015&lt;/year&gt;&lt;/dates&gt;&lt;pub-location&gt;Department of Science, Information Technology and Innovation. Brisbane&lt;/pub-location&gt;&lt;urls&gt;&lt;/urls&gt;&lt;/record&gt;&lt;/Cite&gt;&lt;/EndNote&gt;</w:instrText>
      </w:r>
      <w:r w:rsidR="00D45989">
        <w:rPr>
          <w:lang w:val="en-AU" w:eastAsia="en-AU"/>
        </w:rPr>
        <w:fldChar w:fldCharType="separate"/>
      </w:r>
      <w:r w:rsidR="00D45989">
        <w:rPr>
          <w:noProof/>
          <w:lang w:val="en-AU" w:eastAsia="en-AU"/>
        </w:rPr>
        <w:t>(Smith et al., 2015, Garzon-Garcia et al., 2015)</w:t>
      </w:r>
      <w:r w:rsidR="00D45989">
        <w:rPr>
          <w:lang w:val="en-AU" w:eastAsia="en-AU"/>
        </w:rPr>
        <w:fldChar w:fldCharType="end"/>
      </w:r>
      <w:r>
        <w:rPr>
          <w:lang w:val="en-AU" w:eastAsia="en-AU"/>
        </w:rPr>
        <w:t>. In 2012-2013, 2,4-D was frequently detected in all rivers (52% - 90% of samples). Metolachlor and MCPA were also widely detected in five of the six rivers, with the highest frequencies in Barratta and Sandy Creeks. Barratta Creek had the highest number of alternatives including fluroxypyr, bromacil and acifluorfen which were detected at this site only.</w:t>
      </w:r>
      <w:r w:rsidRPr="00C53252">
        <w:rPr>
          <w:lang w:val="en-AU" w:eastAsia="en-AU"/>
        </w:rPr>
        <w:t xml:space="preserve"> </w:t>
      </w:r>
      <w:r>
        <w:rPr>
          <w:lang w:val="en-AU" w:eastAsia="en-AU"/>
        </w:rPr>
        <w:t xml:space="preserve">The </w:t>
      </w:r>
      <w:r w:rsidR="00D45989">
        <w:rPr>
          <w:lang w:val="en-AU" w:eastAsia="en-AU"/>
        </w:rPr>
        <w:t xml:space="preserve">additional </w:t>
      </w:r>
      <w:r>
        <w:rPr>
          <w:lang w:val="en-AU" w:eastAsia="en-AU"/>
        </w:rPr>
        <w:t>contribution of alternative herbicides to the total load of herbicides in the monitored rivers ranged between 12 – 21 %. In 2013 – 2014, 2,4-D and metolachlor were again frequently detected in most catchments with the Tully River contributing the highest annual loads of both (120kg and 54kg respectively). Similarly to the previous year, Sandy Creek had the highest number of alternative herbicides detected, followed by Barratta Creek. Imidacloprid had the highest total load (530 kg) of all the monitored alternatives, with the Tully River again the largest contributor (the load of imidacloprid was not reported in 2012-2013). The frequency of detection of these alternative chemicals combined with loads that are (in the case of imidacloprid) comparable to those of the priority PSII’s reinforces the importance of continued monitoring of these chemicals.</w:t>
      </w:r>
      <w:r w:rsidRPr="009F6ECE">
        <w:rPr>
          <w:lang w:val="en-AU" w:eastAsia="en-AU"/>
        </w:rPr>
        <w:t xml:space="preserve"> </w:t>
      </w:r>
      <w:r>
        <w:rPr>
          <w:lang w:val="en-AU" w:eastAsia="en-AU"/>
        </w:rPr>
        <w:t>It is evident that rivers are delivering diverse mixtures of herbicides with multiple modes of action into the marine environment, and the increasing use of these types of chemicals in future may present a combined toxicity risk to aquatic life.</w:t>
      </w:r>
    </w:p>
    <w:p w14:paraId="49B11898" w14:textId="77777777" w:rsidR="00AB1277" w:rsidRDefault="00AB1277" w:rsidP="006130D4">
      <w:pPr>
        <w:spacing w:line="360" w:lineRule="auto"/>
        <w:rPr>
          <w:lang w:val="en-AU" w:eastAsia="en-AU"/>
        </w:rPr>
      </w:pPr>
    </w:p>
    <w:p w14:paraId="2A0966FF" w14:textId="77777777" w:rsidR="0059608E" w:rsidRDefault="0059608E" w:rsidP="006130D4">
      <w:pPr>
        <w:spacing w:line="360" w:lineRule="auto"/>
        <w:rPr>
          <w:lang w:val="en-AU" w:eastAsia="en-AU"/>
        </w:rPr>
      </w:pPr>
      <w:r>
        <w:rPr>
          <w:lang w:val="en-AU" w:eastAsia="en-AU"/>
        </w:rPr>
        <w:t>There is little passive sampler calibration data available for many of the alternative herbicides now in use in catchments adjacent to the Reef. A combination of both grab and passive sampling will likely be necessary to increase the probability of detecting alternative herbicides as several (e.g. asulam) are highly water soluble and unlikely to accumulate in passive samplers. Calibration studies in the field are labour intensive, however they may need to be considered in the future to better understand the uptake of these chemicals into passive samplers, and more accurately estimate water concentrations.</w:t>
      </w:r>
    </w:p>
    <w:p w14:paraId="45C10E11" w14:textId="77777777" w:rsidR="0059608E" w:rsidRDefault="0059608E" w:rsidP="006130D4">
      <w:pPr>
        <w:spacing w:line="360" w:lineRule="auto"/>
        <w:rPr>
          <w:lang w:val="en-AU" w:eastAsia="en-AU"/>
        </w:rPr>
      </w:pPr>
    </w:p>
    <w:p w14:paraId="1A457C51" w14:textId="77777777" w:rsidR="0059608E" w:rsidRDefault="0059608E" w:rsidP="006130D4">
      <w:pPr>
        <w:spacing w:line="360" w:lineRule="auto"/>
        <w:rPr>
          <w:lang w:val="en-AU" w:eastAsia="en-AU"/>
        </w:rPr>
      </w:pPr>
      <w:r>
        <w:rPr>
          <w:lang w:val="en-AU" w:eastAsia="en-AU"/>
        </w:rPr>
        <w:t xml:space="preserve">The use, run-off potential, transport, fate and ecotoxicity of alternative herbicides is not well understood, despite them already being in use, and is essential to determine whether they may have negative effects on the health and resilience of the Reef. A desktop assessment of the relative risk of alternative herbicides (considering the risks of off-site run-off and toxicity across a range of indicative trophic levels) found that several of the proposed alternatives presented a risk comparable to those of the priority PSII herbicides they were replacing </w:t>
      </w:r>
      <w:r w:rsidR="00AB1277">
        <w:rPr>
          <w:lang w:val="en-AU" w:eastAsia="en-AU"/>
        </w:rPr>
        <w:fldChar w:fldCharType="begin"/>
      </w:r>
      <w:r w:rsidR="00AB1277">
        <w:rPr>
          <w:lang w:val="en-AU" w:eastAsia="en-AU"/>
        </w:rPr>
        <w:instrText xml:space="preserve"> ADDIN EN.CITE &lt;EndNote&gt;&lt;Cite&gt;&lt;Author&gt;Davis&lt;/Author&gt;&lt;Year&gt;2014&lt;/Year&gt;&lt;RecNum&gt;185&lt;/RecNum&gt;&lt;DisplayText&gt;(Davis et al., 2014)&lt;/DisplayText&gt;&lt;record&gt;&lt;rec-number&gt;185&lt;/rec-number&gt;&lt;foreign-keys&gt;&lt;key app="EN" db-id="0zzrztwe5p59skesdrqpsfeu2s0xt5zd5v9p" timestamp="1443497717"&gt;185&lt;/key&gt;&lt;/foreign-keys&gt;&lt;ref-type name="Journal Article"&gt;17&lt;/ref-type&gt;&lt;contributors&gt;&lt;authors&gt;&lt;author&gt;Davis, A. M.&lt;/author&gt;&lt;author&gt;Lewis, S. E.&lt;/author&gt;&lt;author&gt;Brodie, J. E.&lt;/author&gt;&lt;author&gt;Benson, Ash&lt;/author&gt;&lt;/authors&gt;&lt;/contributors&gt;&lt;titles&gt;&lt;title&gt;The potential benefits of herbicide regulation: A cautionary note for the Great Barrier Reef catchment area&lt;/title&gt;&lt;secondary-title&gt;Science of The Total Environment&lt;/secondary-title&gt;&lt;/titles&gt;&lt;periodical&gt;&lt;full-title&gt;Science of the total environment&lt;/full-title&gt;&lt;/periodical&gt;&lt;pages&gt;81-92&lt;/pages&gt;&lt;volume&gt;490&lt;/volume&gt;&lt;keywords&gt;&lt;keyword&gt;Risk analysis&lt;/keyword&gt;&lt;keyword&gt;Water quality&lt;/keyword&gt;&lt;keyword&gt;Perverse outcomes&lt;/keyword&gt;&lt;keyword&gt;Pest management&lt;/keyword&gt;&lt;/keywords&gt;&lt;dates&gt;&lt;year&gt;2014&lt;/year&gt;&lt;pub-dates&gt;&lt;date&gt;8/15/&lt;/date&gt;&lt;/pub-dates&gt;&lt;/dates&gt;&lt;isbn&gt;0048-9697&lt;/isbn&gt;&lt;urls&gt;&lt;related-urls&gt;&lt;url&gt;http://www.sciencedirect.com/science/article/pii/S0048969714004999&lt;/url&gt;&lt;/related-urls&gt;&lt;/urls&gt;&lt;electronic-resource-num&gt;http://dx.doi.org/10.1016/j.scitotenv.2014.04.005&lt;/electronic-resource-num&gt;&lt;/record&gt;&lt;/Cite&gt;&lt;/EndNote&gt;</w:instrText>
      </w:r>
      <w:r w:rsidR="00AB1277">
        <w:rPr>
          <w:lang w:val="en-AU" w:eastAsia="en-AU"/>
        </w:rPr>
        <w:fldChar w:fldCharType="separate"/>
      </w:r>
      <w:r w:rsidR="00AB1277">
        <w:rPr>
          <w:noProof/>
          <w:lang w:val="en-AU" w:eastAsia="en-AU"/>
        </w:rPr>
        <w:t>(Davis et al., 2014)</w:t>
      </w:r>
      <w:r w:rsidR="00AB1277">
        <w:rPr>
          <w:lang w:val="en-AU" w:eastAsia="en-AU"/>
        </w:rPr>
        <w:fldChar w:fldCharType="end"/>
      </w:r>
      <w:r>
        <w:rPr>
          <w:lang w:val="en-AU" w:eastAsia="en-AU"/>
        </w:rPr>
        <w:t xml:space="preserve">. It must be noted that in this assessment, 2,4-D and MCPA which were the most frequently detected alternatives in passives samplers this year, were predicted to have lower environmental risks than the priority PSIIs. It appears that care must be taken when restricting or prohibiting the use of certain problematic herbicides as alternatives may not be having the desired result of reducing off-site environmental impacts. Rather than shifting usage to herbicides with potentially similar risk profiles, improved management practices with an emphasis on those that are the most cost effective may prove </w:t>
      </w:r>
      <w:r>
        <w:rPr>
          <w:lang w:val="en-AU" w:eastAsia="en-AU"/>
        </w:rPr>
        <w:lastRenderedPageBreak/>
        <w:t xml:space="preserve">more </w:t>
      </w:r>
      <w:r w:rsidR="000D05E0">
        <w:rPr>
          <w:lang w:val="en-AU" w:eastAsia="en-AU"/>
        </w:rPr>
        <w:t>useful</w:t>
      </w:r>
      <w:r>
        <w:rPr>
          <w:lang w:val="en-AU" w:eastAsia="en-AU"/>
        </w:rPr>
        <w:t xml:space="preserve"> in reaching Reef Plan targets by 2018 </w:t>
      </w:r>
      <w:r w:rsidR="00AB1277">
        <w:rPr>
          <w:lang w:val="en-AU" w:eastAsia="en-AU"/>
        </w:rPr>
        <w:fldChar w:fldCharType="begin">
          <w:fldData xml:space="preserve">PEVuZE5vdGU+PENpdGU+PEF1dGhvcj5EYXZpczwvQXV0aG9yPjxZZWFyPjIwMTQ8L1llYXI+PFJl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</w:fldData>
        </w:fldChar>
      </w:r>
      <w:r w:rsidR="002831E3">
        <w:rPr>
          <w:lang w:val="en-AU" w:eastAsia="en-AU"/>
        </w:rPr>
        <w:instrText xml:space="preserve"> ADDIN EN.CITE </w:instrText>
      </w:r>
      <w:r w:rsidR="002831E3">
        <w:rPr>
          <w:lang w:val="en-AU" w:eastAsia="en-AU"/>
        </w:rPr>
        <w:fldChar w:fldCharType="begin">
          <w:fldData xml:space="preserve">PEVuZE5vdGU+PENpdGU+PEF1dGhvcj5EYXZpczwvQXV0aG9yPjxZZWFyPjIwMTQ8L1llYXI+PFJl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</w:fldData>
        </w:fldChar>
      </w:r>
      <w:r w:rsidR="002831E3">
        <w:rPr>
          <w:lang w:val="en-AU" w:eastAsia="en-AU"/>
        </w:rPr>
        <w:instrText xml:space="preserve"> ADDIN EN.CITE.DATA </w:instrText>
      </w:r>
      <w:r w:rsidR="002831E3">
        <w:rPr>
          <w:lang w:val="en-AU" w:eastAsia="en-AU"/>
        </w:rPr>
      </w:r>
      <w:r w:rsidR="002831E3">
        <w:rPr>
          <w:lang w:val="en-AU" w:eastAsia="en-AU"/>
        </w:rPr>
        <w:fldChar w:fldCharType="end"/>
      </w:r>
      <w:r w:rsidR="00AB1277">
        <w:rPr>
          <w:lang w:val="en-AU" w:eastAsia="en-AU"/>
        </w:rPr>
      </w:r>
      <w:r w:rsidR="00AB1277">
        <w:rPr>
          <w:lang w:val="en-AU" w:eastAsia="en-AU"/>
        </w:rPr>
        <w:fldChar w:fldCharType="separate"/>
      </w:r>
      <w:r w:rsidR="002831E3">
        <w:rPr>
          <w:noProof/>
          <w:lang w:val="en-AU" w:eastAsia="en-AU"/>
        </w:rPr>
        <w:t>(Davis et al., 2014, Lewis et al., 2013, Lewis et al., 2014)</w:t>
      </w:r>
      <w:r w:rsidR="00AB1277">
        <w:rPr>
          <w:lang w:val="en-AU" w:eastAsia="en-AU"/>
        </w:rPr>
        <w:fldChar w:fldCharType="end"/>
      </w:r>
      <w:r>
        <w:rPr>
          <w:lang w:val="en-AU" w:eastAsia="en-AU"/>
        </w:rPr>
        <w:t>.</w:t>
      </w:r>
    </w:p>
    <w:p w14:paraId="76BEF69B" w14:textId="77777777" w:rsidR="0059608E" w:rsidRDefault="0059608E" w:rsidP="006130D4">
      <w:pPr>
        <w:spacing w:line="360" w:lineRule="auto"/>
        <w:rPr>
          <w:lang w:val="en-AU" w:eastAsia="en-AU"/>
        </w:rPr>
      </w:pPr>
    </w:p>
    <w:p w14:paraId="17078794" w14:textId="58800038" w:rsidR="00304720" w:rsidRDefault="0059608E" w:rsidP="00304720">
      <w:pPr>
        <w:spacing w:line="360" w:lineRule="auto"/>
        <w:rPr>
          <w:lang w:val="en-AU"/>
        </w:rPr>
      </w:pPr>
      <w:r>
        <w:rPr>
          <w:lang w:val="en-AU"/>
        </w:rPr>
        <w:t xml:space="preserve">The sampling conducted as part of the terrestrial run-off component since 2010 shows that localised areas of highly elevated PSII herbicide concentrations occurs near river mouths within regions where fixed site monitoring in near shore areas indicate a lower risk to PSII herbicides (i.e. the Wet Tropics). (It must be noted that some of these passive samplers were deployed between 3 – 14 days to specifically target peaks in concentration, and thus the averaging effect seen in the fixed site samplers is decreased). Grab and passive samples collected on transects extending from rivers during high river flow events show a clear dilution effect with increasing distance from a river mouth, however concentrations at even the most distant sites (for e.g. up to 30 km in the case of Sisters Island on the Tully River transect) </w:t>
      </w:r>
      <w:r w:rsidR="00CD24D2">
        <w:rPr>
          <w:lang w:val="en-AU"/>
        </w:rPr>
        <w:t xml:space="preserve">have </w:t>
      </w:r>
      <w:r>
        <w:rPr>
          <w:lang w:val="en-AU"/>
        </w:rPr>
        <w:t xml:space="preserve">clearly increased when compared to pre-event concentrations. </w:t>
      </w:r>
      <w:r w:rsidR="00165BFA">
        <w:rPr>
          <w:lang w:val="en-AU"/>
        </w:rPr>
        <w:t xml:space="preserve">In some catchments, the concentrations of herbicides are more constantly elevated, such at Barratta Creek where flow is less seasonally driven. At the upstream sampling sites, time-weighted PSII-HEq concentrations were elevated for at least 13 weeks this wet season. </w:t>
      </w:r>
      <w:r>
        <w:rPr>
          <w:lang w:val="en-AU"/>
        </w:rPr>
        <w:t>Whilst the frequency and intensity of concentration pulses are reduced with distance</w:t>
      </w:r>
      <w:r w:rsidR="00165BFA">
        <w:rPr>
          <w:lang w:val="en-AU"/>
        </w:rPr>
        <w:t xml:space="preserve"> from river sources</w:t>
      </w:r>
      <w:r>
        <w:rPr>
          <w:lang w:val="en-AU"/>
        </w:rPr>
        <w:t xml:space="preserve">, </w:t>
      </w:r>
      <w:r w:rsidR="004D2460">
        <w:rPr>
          <w:lang w:val="en-AU"/>
        </w:rPr>
        <w:t xml:space="preserve">the </w:t>
      </w:r>
      <w:r>
        <w:rPr>
          <w:lang w:val="en-AU"/>
        </w:rPr>
        <w:t>low-level chronic exposure of herbicides in near shore marine areas</w:t>
      </w:r>
      <w:r w:rsidR="004D2460">
        <w:rPr>
          <w:lang w:val="en-AU"/>
        </w:rPr>
        <w:t xml:space="preserve"> as demonstrated in this MMP</w:t>
      </w:r>
      <w:r>
        <w:rPr>
          <w:lang w:val="en-AU"/>
        </w:rPr>
        <w:t xml:space="preserve"> may still have significant impacts including changes in microbial communities</w:t>
      </w:r>
      <w:r w:rsidR="00D37225">
        <w:rPr>
          <w:lang w:val="en-AU"/>
        </w:rPr>
        <w:t xml:space="preserve"> </w:t>
      </w:r>
      <w:r w:rsidR="00D37225">
        <w:rPr>
          <w:lang w:val="en-AU"/>
        </w:rPr>
        <w:fldChar w:fldCharType="begin"/>
      </w:r>
      <w:r w:rsidR="00D37225">
        <w:rPr>
          <w:lang w:val="en-AU"/>
        </w:rPr>
        <w:instrText xml:space="preserve"> ADDIN EN.CITE &lt;EndNote&gt;&lt;Cite&gt;&lt;Author&gt;Magnusson&lt;/Author&gt;&lt;Year&gt;2012&lt;/Year&gt;&lt;RecNum&gt;348&lt;/RecNum&gt;&lt;DisplayText&gt;(Magnusson et al., 2012)&lt;/DisplayText&gt;&lt;record&gt;&lt;rec-number&gt;348&lt;/rec-number&gt;&lt;foreign-keys&gt;&lt;key app="EN" db-id="0zzrztwe5p59skesdrqpsfeu2s0xt5zd5v9p" timestamp="1466649930"&gt;348&lt;/key&gt;&lt;/foreign-keys&gt;&lt;ref-type name="Journal Article"&gt;17&lt;/ref-type&gt;&lt;contributors&gt;&lt;authors&gt;&lt;author&gt;Magnusson, Marie&lt;/author&gt;&lt;author&gt;Heimann, Kirsten&lt;/author&gt;&lt;author&gt;Ridd, Michael&lt;/author&gt;&lt;author&gt;Negri, Andrew P&lt;/author&gt;&lt;/authors&gt;&lt;/contributors&gt;&lt;titles&gt;&lt;title&gt;Chronic herbicide exposures affect the sensitivity and community structure of tropical benthic microalgae&lt;/title&gt;&lt;secondary-title&gt;Marine pollution bulletin&lt;/secondary-title&gt;&lt;/titles&gt;&lt;periodical&gt;&lt;full-title&gt;Marine pollution bulletin&lt;/full-title&gt;&lt;/periodical&gt;&lt;pages&gt;363-372&lt;/pages&gt;&lt;volume&gt;65&lt;/volume&gt;&lt;number&gt;4&lt;/number&gt;&lt;dates&gt;&lt;year&gt;2012&lt;/year&gt;&lt;/dates&gt;&lt;isbn&gt;0025-326X&lt;/isbn&gt;&lt;urls&gt;&lt;/urls&gt;&lt;/record&gt;&lt;/Cite&gt;&lt;/EndNote&gt;</w:instrText>
      </w:r>
      <w:r w:rsidR="00D37225">
        <w:rPr>
          <w:lang w:val="en-AU"/>
        </w:rPr>
        <w:fldChar w:fldCharType="separate"/>
      </w:r>
      <w:r w:rsidR="00D37225">
        <w:rPr>
          <w:noProof/>
          <w:lang w:val="en-AU"/>
        </w:rPr>
        <w:t>(Magnusson et al., 2012)</w:t>
      </w:r>
      <w:r w:rsidR="00D37225">
        <w:rPr>
          <w:lang w:val="en-AU"/>
        </w:rPr>
        <w:fldChar w:fldCharType="end"/>
      </w:r>
      <w:r>
        <w:rPr>
          <w:lang w:val="en-AU"/>
        </w:rPr>
        <w:t>, effects on seagrass energetics and growth</w:t>
      </w:r>
      <w:r w:rsidR="0030520A">
        <w:rPr>
          <w:lang w:val="en-AU"/>
        </w:rPr>
        <w:t xml:space="preserve"> </w:t>
      </w:r>
      <w:r w:rsidR="0030520A">
        <w:rPr>
          <w:lang w:val="en-AU"/>
        </w:rPr>
        <w:fldChar w:fldCharType="begin"/>
      </w:r>
      <w:r w:rsidR="0030520A">
        <w:rPr>
          <w:lang w:val="en-AU"/>
        </w:rPr>
        <w:instrText xml:space="preserve"> ADDIN EN.CITE &lt;EndNote&gt;&lt;Cite&gt;&lt;Author&gt;Negri&lt;/Author&gt;&lt;Year&gt;2015&lt;/Year&gt;&lt;RecNum&gt;349&lt;/RecNum&gt;&lt;DisplayText&gt;(Negri et al., 2015)&lt;/DisplayText&gt;&lt;record&gt;&lt;rec-number&gt;349&lt;/rec-number&gt;&lt;foreign-keys&gt;&lt;key app="EN" db-id="0zzrztwe5p59skesdrqpsfeu2s0xt5zd5v9p" timestamp="1466650176"&gt;349&lt;/key&gt;&lt;/foreign-keys&gt;&lt;ref-type name="Journal Article"&gt;17&lt;/ref-type&gt;&lt;contributors&gt;&lt;authors&gt;&lt;author&gt;Negri, Andrew P&lt;/author&gt;&lt;author&gt;Flores, Florita&lt;/author&gt;&lt;author&gt;Mercurio, Phil&lt;/author&gt;&lt;author&gt;Mueller, Jochen F&lt;/author&gt;&lt;author&gt;Collier, Catherine J&lt;/author&gt;&lt;/authors&gt;&lt;/contributors&gt;&lt;titles&gt;&lt;title&gt;Lethal and sub-lethal chronic effects of the herbicide diuron on seagrass&lt;/title&gt;&lt;secondary-title&gt;Aquatic Toxicology&lt;/secondary-title&gt;&lt;/titles&gt;&lt;periodical&gt;&lt;full-title&gt;Aquatic Toxicology&lt;/full-title&gt;&lt;/periodical&gt;&lt;pages&gt;73-83&lt;/pages&gt;&lt;volume&gt;165&lt;/volume&gt;&lt;dates&gt;&lt;year&gt;2015&lt;/year&gt;&lt;/dates&gt;&lt;isbn&gt;0166-445X&lt;/isbn&gt;&lt;urls&gt;&lt;/urls&gt;&lt;/record&gt;&lt;/Cite&gt;&lt;/EndNote&gt;</w:instrText>
      </w:r>
      <w:r w:rsidR="0030520A">
        <w:rPr>
          <w:lang w:val="en-AU"/>
        </w:rPr>
        <w:fldChar w:fldCharType="separate"/>
      </w:r>
      <w:r w:rsidR="0030520A">
        <w:rPr>
          <w:noProof/>
          <w:lang w:val="en-AU"/>
        </w:rPr>
        <w:t>(Negri et al., 2015)</w:t>
      </w:r>
      <w:r w:rsidR="0030520A">
        <w:rPr>
          <w:lang w:val="en-AU"/>
        </w:rPr>
        <w:fldChar w:fldCharType="end"/>
      </w:r>
      <w:r>
        <w:rPr>
          <w:lang w:val="en-AU"/>
        </w:rPr>
        <w:t xml:space="preserve">, reduced </w:t>
      </w:r>
      <w:r w:rsidR="000A4BE1">
        <w:rPr>
          <w:lang w:val="en-AU"/>
        </w:rPr>
        <w:t xml:space="preserve">photosynthesis and </w:t>
      </w:r>
      <w:r>
        <w:rPr>
          <w:lang w:val="en-AU"/>
        </w:rPr>
        <w:t>reproductive output of corals</w:t>
      </w:r>
      <w:r w:rsidR="00CD6549">
        <w:rPr>
          <w:lang w:val="en-AU"/>
        </w:rPr>
        <w:t xml:space="preserve"> </w:t>
      </w:r>
      <w:r w:rsidR="00CD6549">
        <w:rPr>
          <w:lang w:val="en-AU"/>
        </w:rPr>
        <w:fldChar w:fldCharType="begin"/>
      </w:r>
      <w:r w:rsidR="000A4BE1">
        <w:rPr>
          <w:lang w:val="en-AU"/>
        </w:rPr>
        <w:instrText xml:space="preserve"> ADDIN EN.CITE &lt;EndNote&gt;&lt;Cite&gt;&lt;Author&gt;Cantin&lt;/Author&gt;&lt;Year&gt;2007&lt;/Year&gt;&lt;RecNum&gt;350&lt;/RecNum&gt;&lt;DisplayText&gt;(Cantin et al., 2007, Negri et al., 2005)&lt;/DisplayText&gt;&lt;record&gt;&lt;rec-number&gt;350&lt;/rec-number&gt;&lt;foreign-keys&gt;&lt;key app="EN" db-id="0zzrztwe5p59skesdrqpsfeu2s0xt5zd5v9p" timestamp="1466650621"&gt;350&lt;/key&gt;&lt;/foreign-keys&gt;&lt;ref-type name="Journal Article"&gt;17&lt;/ref-type&gt;&lt;contributors&gt;&lt;authors&gt;&lt;author&gt;Cantin, Neal E&lt;/author&gt;&lt;author&gt;Negri, Andrew P&lt;/author&gt;&lt;author&gt;Willis, Bette L&lt;/author&gt;&lt;/authors&gt;&lt;/contributors&gt;&lt;titles&gt;&lt;title&gt;Photoinhibition from chronic herbicide exposure reduces reproductive output of reef-building corals&lt;/title&gt;&lt;secondary-title&gt;Marine Ecology Progress Series&lt;/secondary-title&gt;&lt;/titles&gt;&lt;periodical&gt;&lt;full-title&gt;Marine Ecology Progress Series&lt;/full-title&gt;&lt;/periodical&gt;&lt;pages&gt;81-93&lt;/pages&gt;&lt;volume&gt;344&lt;/volume&gt;&lt;dates&gt;&lt;year&gt;2007&lt;/year&gt;&lt;/dates&gt;&lt;isbn&gt;1616-1599&lt;/isbn&gt;&lt;urls&gt;&lt;/urls&gt;&lt;/record&gt;&lt;/Cite&gt;&lt;Cite&gt;&lt;Author&gt;Negri&lt;/Author&gt;&lt;Year&gt;2005&lt;/Year&gt;&lt;RecNum&gt;351&lt;/RecNum&gt;&lt;record&gt;&lt;rec-number&gt;351&lt;/rec-number&gt;&lt;foreign-keys&gt;&lt;key app="EN" db-id="0zzrztwe5p59skesdrqpsfeu2s0xt5zd5v9p" timestamp="1466650784"&gt;351&lt;/key&gt;&lt;/foreign-keys&gt;&lt;ref-type name="Journal Article"&gt;17&lt;/ref-type&gt;&lt;contributors&gt;&lt;authors&gt;&lt;author&gt;Negri, Andrew&lt;/author&gt;&lt;author&gt;Vollhardt, Claudia&lt;/author&gt;&lt;author&gt;Humphrey, Craig&lt;/author&gt;&lt;author&gt;Heyward, Andrew&lt;/author&gt;&lt;author&gt;Jones, Ross&lt;/author&gt;&lt;author&gt;Eaglesham, Geoff&lt;/author&gt;&lt;author&gt;Fabricius, Katharina&lt;/author&gt;&lt;/authors&gt;&lt;/contributors&gt;&lt;titles&gt;&lt;title&gt;Effects of the herbicide diuron on the early life history stages of coral&lt;/title&gt;&lt;secondary-title&gt;Marine Pollution Bulletin&lt;/secondary-title&gt;&lt;/titles&gt;&lt;periodical&gt;&lt;full-title&gt;Marine pollution bulletin&lt;/full-title&gt;&lt;/periodical&gt;&lt;pages&gt;370-383&lt;/pages&gt;&lt;volume&gt;51&lt;/volume&gt;&lt;number&gt;1&lt;/number&gt;&lt;dates&gt;&lt;year&gt;2005&lt;/year&gt;&lt;/dates&gt;&lt;isbn&gt;0025-326X&lt;/isbn&gt;&lt;urls&gt;&lt;/urls&gt;&lt;/record&gt;&lt;/Cite&gt;&lt;/EndNote&gt;</w:instrText>
      </w:r>
      <w:r w:rsidR="00CD6549">
        <w:rPr>
          <w:lang w:val="en-AU"/>
        </w:rPr>
        <w:fldChar w:fldCharType="separate"/>
      </w:r>
      <w:r w:rsidR="000A4BE1">
        <w:rPr>
          <w:noProof/>
          <w:lang w:val="en-AU"/>
        </w:rPr>
        <w:t>(Cantin et al., 2007, Negri et al., 2005)</w:t>
      </w:r>
      <w:r w:rsidR="00CD6549">
        <w:rPr>
          <w:lang w:val="en-AU"/>
        </w:rPr>
        <w:fldChar w:fldCharType="end"/>
      </w:r>
      <w:r w:rsidR="00F1201F">
        <w:rPr>
          <w:lang w:val="en-AU"/>
        </w:rPr>
        <w:t>, as demonstrated in Reef/ tropical photosynthetic species</w:t>
      </w:r>
      <w:r w:rsidR="000D05E0">
        <w:rPr>
          <w:lang w:val="en-AU"/>
        </w:rPr>
        <w:t xml:space="preserve">. </w:t>
      </w:r>
      <w:r w:rsidR="00CB3BE5">
        <w:rPr>
          <w:lang w:val="en-AU"/>
        </w:rPr>
        <w:t>Furthermore, t</w:t>
      </w:r>
      <w:r w:rsidR="002E50D5">
        <w:rPr>
          <w:lang w:val="en-AU"/>
        </w:rPr>
        <w:t>he cumulative</w:t>
      </w:r>
      <w:r w:rsidR="00216278">
        <w:rPr>
          <w:lang w:val="en-AU"/>
        </w:rPr>
        <w:t xml:space="preserve"> impacts of herbicide exposure and other external stressors (such as rising sea surface temperature) </w:t>
      </w:r>
      <w:r w:rsidR="006A5ED0">
        <w:rPr>
          <w:lang w:val="en-AU"/>
        </w:rPr>
        <w:t>have been demonstrated and are likely to increase</w:t>
      </w:r>
      <w:r w:rsidR="00454ECC">
        <w:rPr>
          <w:lang w:val="en-AU"/>
        </w:rPr>
        <w:t xml:space="preserve"> </w:t>
      </w:r>
      <w:r w:rsidR="001F6F89">
        <w:rPr>
          <w:lang w:val="en-AU"/>
        </w:rPr>
        <w:t xml:space="preserve">in the future based on current climate trends </w:t>
      </w:r>
      <w:r w:rsidR="00454ECC">
        <w:rPr>
          <w:lang w:val="en-AU"/>
        </w:rPr>
        <w:fldChar w:fldCharType="begin">
          <w:fldData xml:space="preserve">PEVuZE5vdGU+PENpdGU+PEF1dGhvcj5OZWdyaTwvQXV0aG9yPjxZZWFyPjIwMTE8L1llYXI+PFJl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</w:fldData>
        </w:fldChar>
      </w:r>
      <w:r w:rsidR="003C044A">
        <w:rPr>
          <w:lang w:val="en-AU"/>
        </w:rPr>
        <w:instrText xml:space="preserve"> ADDIN EN.CITE </w:instrText>
      </w:r>
      <w:r w:rsidR="003C044A">
        <w:rPr>
          <w:lang w:val="en-AU"/>
        </w:rPr>
        <w:fldChar w:fldCharType="begin">
          <w:fldData xml:space="preserve">PEVuZE5vdGU+PENpdGU+PEF1dGhvcj5OZWdyaTwvQXV0aG9yPjxZZWFyPjIwMTE8L1llYXI+PFJl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</w:fldData>
        </w:fldChar>
      </w:r>
      <w:r w:rsidR="003C044A">
        <w:rPr>
          <w:lang w:val="en-AU"/>
        </w:rPr>
        <w:instrText xml:space="preserve"> ADDIN EN.CITE.DATA </w:instrText>
      </w:r>
      <w:r w:rsidR="003C044A">
        <w:rPr>
          <w:lang w:val="en-AU"/>
        </w:rPr>
      </w:r>
      <w:r w:rsidR="003C044A">
        <w:rPr>
          <w:lang w:val="en-AU"/>
        </w:rPr>
        <w:fldChar w:fldCharType="end"/>
      </w:r>
      <w:r w:rsidR="00454ECC">
        <w:rPr>
          <w:lang w:val="en-AU"/>
        </w:rPr>
      </w:r>
      <w:r w:rsidR="00454ECC">
        <w:rPr>
          <w:lang w:val="en-AU"/>
        </w:rPr>
        <w:fldChar w:fldCharType="separate"/>
      </w:r>
      <w:r w:rsidR="003C044A">
        <w:rPr>
          <w:noProof/>
          <w:lang w:val="en-AU"/>
        </w:rPr>
        <w:t>(Negri et al., 2011, van Dam et al., 2012, van Dam, 2012)</w:t>
      </w:r>
      <w:r w:rsidR="00454ECC">
        <w:rPr>
          <w:lang w:val="en-AU"/>
        </w:rPr>
        <w:fldChar w:fldCharType="end"/>
      </w:r>
      <w:r w:rsidR="00304720">
        <w:rPr>
          <w:lang w:val="en-AU"/>
        </w:rPr>
        <w:t>.</w:t>
      </w:r>
      <w:r w:rsidR="006A5ED0">
        <w:rPr>
          <w:lang w:val="en-AU"/>
        </w:rPr>
        <w:t xml:space="preserve"> These interactions reemphasise the importance of programs such as Reef Plan and the MMP in </w:t>
      </w:r>
      <w:r w:rsidR="00331023">
        <w:rPr>
          <w:lang w:val="en-AU"/>
        </w:rPr>
        <w:t>implementing effe</w:t>
      </w:r>
      <w:r w:rsidR="006B4A8A">
        <w:rPr>
          <w:lang w:val="en-AU"/>
        </w:rPr>
        <w:t xml:space="preserve">ctive land management practices </w:t>
      </w:r>
      <w:r w:rsidR="001F6F89">
        <w:rPr>
          <w:lang w:val="en-AU"/>
        </w:rPr>
        <w:t xml:space="preserve">and </w:t>
      </w:r>
      <w:r w:rsidR="007E638C">
        <w:rPr>
          <w:lang w:val="en-AU"/>
        </w:rPr>
        <w:t>measuring</w:t>
      </w:r>
      <w:r w:rsidR="001F6F89">
        <w:rPr>
          <w:lang w:val="en-AU"/>
        </w:rPr>
        <w:t xml:space="preserve"> the </w:t>
      </w:r>
      <w:r w:rsidR="00ED0501">
        <w:rPr>
          <w:lang w:val="en-AU"/>
        </w:rPr>
        <w:t xml:space="preserve">resulting </w:t>
      </w:r>
      <w:r w:rsidR="007E638C">
        <w:rPr>
          <w:lang w:val="en-AU"/>
        </w:rPr>
        <w:t>trends in</w:t>
      </w:r>
      <w:r w:rsidR="00857BB3">
        <w:rPr>
          <w:lang w:val="en-AU"/>
        </w:rPr>
        <w:t xml:space="preserve"> water quality</w:t>
      </w:r>
      <w:r w:rsidR="00702ADA">
        <w:rPr>
          <w:lang w:val="en-AU"/>
        </w:rPr>
        <w:t>,</w:t>
      </w:r>
      <w:r w:rsidR="00ED0501">
        <w:rPr>
          <w:lang w:val="en-AU"/>
        </w:rPr>
        <w:t xml:space="preserve"> </w:t>
      </w:r>
      <w:r w:rsidR="00702ADA">
        <w:rPr>
          <w:lang w:val="en-AU"/>
        </w:rPr>
        <w:t>thus</w:t>
      </w:r>
      <w:r w:rsidR="00ED0501">
        <w:rPr>
          <w:lang w:val="en-AU"/>
        </w:rPr>
        <w:t xml:space="preserve"> protecting </w:t>
      </w:r>
      <w:r w:rsidR="006B4A8A">
        <w:rPr>
          <w:lang w:val="en-AU"/>
        </w:rPr>
        <w:t>sensit</w:t>
      </w:r>
      <w:r w:rsidR="00875ED1">
        <w:rPr>
          <w:lang w:val="en-AU"/>
        </w:rPr>
        <w:t>ive marine organism</w:t>
      </w:r>
      <w:r w:rsidR="00ED0501">
        <w:rPr>
          <w:lang w:val="en-AU"/>
        </w:rPr>
        <w:t>s</w:t>
      </w:r>
      <w:r w:rsidR="00875ED1">
        <w:rPr>
          <w:lang w:val="en-AU"/>
        </w:rPr>
        <w:t xml:space="preserve"> against</w:t>
      </w:r>
      <w:r w:rsidR="00ED0501">
        <w:rPr>
          <w:lang w:val="en-AU"/>
        </w:rPr>
        <w:t xml:space="preserve"> the consequences of</w:t>
      </w:r>
      <w:r w:rsidR="00875ED1">
        <w:rPr>
          <w:lang w:val="en-AU"/>
        </w:rPr>
        <w:t xml:space="preserve"> global stressors such as climate change.</w:t>
      </w:r>
      <w:r w:rsidR="003C12B5">
        <w:rPr>
          <w:lang w:val="en-AU"/>
        </w:rPr>
        <w:t xml:space="preserve"> </w:t>
      </w:r>
      <w:r w:rsidR="00857BB3">
        <w:rPr>
          <w:lang w:val="en-AU"/>
        </w:rPr>
        <w:t xml:space="preserve"> </w:t>
      </w:r>
    </w:p>
    <w:p w14:paraId="16E90891" w14:textId="77777777" w:rsidR="0059608E" w:rsidRDefault="0059608E" w:rsidP="006130D4">
      <w:pPr>
        <w:spacing w:line="360" w:lineRule="auto"/>
        <w:rPr>
          <w:lang w:val="en-AU"/>
        </w:rPr>
      </w:pPr>
    </w:p>
    <w:p w14:paraId="04FA6750" w14:textId="77777777" w:rsidR="0059608E" w:rsidRDefault="0059608E" w:rsidP="0066689E">
      <w:pPr>
        <w:pStyle w:val="Heading1"/>
      </w:pPr>
      <w:bookmarkStart w:id="683" w:name="_Toc455069481"/>
      <w:bookmarkStart w:id="684" w:name="_Toc455070131"/>
      <w:bookmarkStart w:id="685" w:name="_Toc455070403"/>
      <w:bookmarkStart w:id="686" w:name="_Toc455151790"/>
      <w:bookmarkStart w:id="687" w:name="_Toc455069483"/>
      <w:bookmarkStart w:id="688" w:name="_Toc455070133"/>
      <w:bookmarkStart w:id="689" w:name="_Toc455070405"/>
      <w:bookmarkStart w:id="690" w:name="_Toc455151792"/>
      <w:bookmarkStart w:id="691" w:name="_Toc455069484"/>
      <w:bookmarkStart w:id="692" w:name="_Toc455070134"/>
      <w:bookmarkStart w:id="693" w:name="_Toc455070406"/>
      <w:bookmarkStart w:id="694" w:name="_Toc455151793"/>
      <w:bookmarkStart w:id="695" w:name="_Toc455069487"/>
      <w:bookmarkStart w:id="696" w:name="_Toc455070137"/>
      <w:bookmarkStart w:id="697" w:name="_Toc455070409"/>
      <w:bookmarkStart w:id="698" w:name="_Toc455151796"/>
      <w:bookmarkStart w:id="699" w:name="_Toc461457779"/>
      <w:bookmarkStart w:id="700" w:name="_Toc462651960"/>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r>
        <w:t>SUMMARY</w:t>
      </w:r>
      <w:bookmarkEnd w:id="699"/>
      <w:bookmarkEnd w:id="700"/>
    </w:p>
    <w:p w14:paraId="155A2A3A" w14:textId="77777777" w:rsidR="0059608E" w:rsidRDefault="0059608E" w:rsidP="006130D4">
      <w:pPr>
        <w:spacing w:line="360" w:lineRule="auto"/>
        <w:rPr>
          <w:lang w:val="en-AU" w:eastAsia="en-AU"/>
        </w:rPr>
      </w:pPr>
      <w:r>
        <w:rPr>
          <w:lang w:val="en-AU" w:eastAsia="en-AU"/>
        </w:rPr>
        <w:t xml:space="preserve">Passive sampling in the fixed site monitoring component of the program showed that diuron continued to be the dominant PSII herbicide detected in all four NRM regions. Due to its potency, it was also the major contributing PSII herbicide to the PSII-HEq Max concentrations at each site. The PSII-HEq Max and Wet Avg values were similar to </w:t>
      </w:r>
      <w:r w:rsidR="00986476">
        <w:rPr>
          <w:lang w:val="en-AU" w:eastAsia="en-AU"/>
        </w:rPr>
        <w:t xml:space="preserve">or lower than </w:t>
      </w:r>
      <w:r>
        <w:rPr>
          <w:lang w:val="en-AU" w:eastAsia="en-AU"/>
        </w:rPr>
        <w:t xml:space="preserve">the previous monitoring year, </w:t>
      </w:r>
      <w:r w:rsidR="00984A2B">
        <w:rPr>
          <w:lang w:val="en-AU" w:eastAsia="en-AU"/>
        </w:rPr>
        <w:t>and</w:t>
      </w:r>
      <w:r>
        <w:rPr>
          <w:lang w:val="en-AU" w:eastAsia="en-AU"/>
        </w:rPr>
        <w:t xml:space="preserve"> decreased rainfall and below-median river discharge was a likely contributing factor. PSII-HEq Max values at fixed sites ranged from Category 5 to 3 on the PSII-HEq Index, with the newly established site at Sandy Creek having the highest concentrations. No PSII herbicides with a GBRMPA guideline exceeded its guideline value in the fixed site monitoring component, however passive sampling conducted at upstream locations in the Barratta Creek detected PSII herbicides at concentrations above GBRMPA guideline levels, reaching Category 1 on the PSII Index. The PSII herbicides diuron, atrazine and hexazinone were again the most frequently detected and abundant herbicides in polar passive samplers, however there were frequent detections of emerging </w:t>
      </w:r>
      <w:r>
        <w:rPr>
          <w:lang w:val="en-AU" w:eastAsia="en-AU"/>
        </w:rPr>
        <w:lastRenderedPageBreak/>
        <w:t>alternative herbicides such as metolachlor, 2,4-D and MCPA</w:t>
      </w:r>
      <w:r w:rsidR="00945A0D">
        <w:rPr>
          <w:lang w:val="en-AU" w:eastAsia="en-AU"/>
        </w:rPr>
        <w:t xml:space="preserve"> in the ED passive samplers</w:t>
      </w:r>
      <w:r w:rsidR="00924C30">
        <w:rPr>
          <w:lang w:val="en-AU" w:eastAsia="en-AU"/>
        </w:rPr>
        <w:t>;</w:t>
      </w:r>
      <w:r>
        <w:rPr>
          <w:lang w:val="en-AU" w:eastAsia="en-AU"/>
        </w:rPr>
        <w:t xml:space="preserve"> and pendimethalin in the non-polar passive samplers. Diuron, atrazine and hexazinone were also the dominant herbicides detected in passive samplers collected along transects extending from ri</w:t>
      </w:r>
      <w:r w:rsidR="00945A0D">
        <w:rPr>
          <w:lang w:val="en-AU" w:eastAsia="en-AU"/>
        </w:rPr>
        <w:t>vers to monitor terrestrial run-</w:t>
      </w:r>
      <w:r>
        <w:rPr>
          <w:lang w:val="en-AU" w:eastAsia="en-AU"/>
        </w:rPr>
        <w:t>off in the Wet Tropics. PSII-HEq values ranged from 0.41 ng L</w:t>
      </w:r>
      <w:r>
        <w:rPr>
          <w:vertAlign w:val="superscript"/>
          <w:lang w:val="en-AU" w:eastAsia="en-AU"/>
        </w:rPr>
        <w:t>-1</w:t>
      </w:r>
      <w:r>
        <w:rPr>
          <w:lang w:val="en-AU" w:eastAsia="en-AU"/>
        </w:rPr>
        <w:t xml:space="preserve"> (Category 5) to 21 ng L</w:t>
      </w:r>
      <w:r>
        <w:rPr>
          <w:vertAlign w:val="superscript"/>
          <w:lang w:val="en-AU" w:eastAsia="en-AU"/>
        </w:rPr>
        <w:t>-1</w:t>
      </w:r>
      <w:r>
        <w:rPr>
          <w:lang w:val="en-AU" w:eastAsia="en-AU"/>
        </w:rPr>
        <w:t xml:space="preserve"> (Category 4). Diuron exceeded the ANZECC &amp; ARMCANZ marine </w:t>
      </w:r>
      <w:r w:rsidR="00FF334D">
        <w:rPr>
          <w:lang w:val="en-AU" w:eastAsia="en-AU"/>
        </w:rPr>
        <w:t>IWLs</w:t>
      </w:r>
      <w:r>
        <w:rPr>
          <w:lang w:val="en-AU" w:eastAsia="en-AU"/>
        </w:rPr>
        <w:t xml:space="preserve"> in a single grab sample, located at the Russell-Mulgrave River. </w:t>
      </w:r>
    </w:p>
    <w:p w14:paraId="3F12B575" w14:textId="77777777" w:rsidR="0059608E" w:rsidRDefault="0059608E" w:rsidP="006130D4">
      <w:pPr>
        <w:spacing w:line="360" w:lineRule="auto"/>
        <w:rPr>
          <w:lang w:val="en-AU" w:eastAsia="en-AU"/>
        </w:rPr>
      </w:pPr>
    </w:p>
    <w:p w14:paraId="4BC820CC" w14:textId="77777777" w:rsidR="0059608E" w:rsidRDefault="0059608E" w:rsidP="006130D4">
      <w:pPr>
        <w:spacing w:line="360" w:lineRule="auto"/>
      </w:pPr>
      <w:r>
        <w:rPr>
          <w:lang w:val="en-AU" w:eastAsia="en-AU"/>
        </w:rPr>
        <w:t xml:space="preserve">Despite most sites detecting relatively low levels of PSII herbicides, low level chronic exposure to PSII herbicides may still have a profound effect on this fragile ecosystem. In particular, the compound effects of simultaneous stressors on key organisms on the Reef including the effects of global climate change (increasing sea temperatures, ocean acidification), an increase in the severity and frequency of damaging weather events such as cyclones, and increases in the frequency of flood events are not fully understood. In view of these multiple driving factors for change, interpreting trends remains difficult, but is essential when ascertaining whether improving or declining water quality is driven by land management practices </w:t>
      </w:r>
      <w:r w:rsidR="00437E42">
        <w:rPr>
          <w:lang w:val="en-AU" w:eastAsia="en-AU"/>
        </w:rPr>
        <w:t xml:space="preserve">and success of Reef Plan initiatives </w:t>
      </w:r>
      <w:r>
        <w:rPr>
          <w:lang w:val="en-AU" w:eastAsia="en-AU"/>
        </w:rPr>
        <w:t xml:space="preserve">or is an artefact of weather conditions. Further access to data </w:t>
      </w:r>
      <w:r w:rsidR="00437E42">
        <w:rPr>
          <w:lang w:val="en-AU" w:eastAsia="en-AU"/>
        </w:rPr>
        <w:t>for</w:t>
      </w:r>
      <w:r>
        <w:rPr>
          <w:lang w:val="en-AU" w:eastAsia="en-AU"/>
        </w:rPr>
        <w:t xml:space="preserve"> potential pressure</w:t>
      </w:r>
      <w:r w:rsidR="00437E42">
        <w:rPr>
          <w:lang w:val="en-AU" w:eastAsia="en-AU"/>
        </w:rPr>
        <w:t>s</w:t>
      </w:r>
      <w:r>
        <w:rPr>
          <w:lang w:val="en-AU" w:eastAsia="en-AU"/>
        </w:rPr>
        <w:t xml:space="preserve"> (updated land use maps, pesticide usage and feedback regarding the uptake of land management practices) would be useful in </w:t>
      </w:r>
      <w:r w:rsidR="00945A0D">
        <w:rPr>
          <w:lang w:val="en-AU" w:eastAsia="en-AU"/>
        </w:rPr>
        <w:t>further</w:t>
      </w:r>
      <w:r>
        <w:rPr>
          <w:lang w:val="en-AU" w:eastAsia="en-AU"/>
        </w:rPr>
        <w:t xml:space="preserve"> interpret</w:t>
      </w:r>
      <w:r w:rsidR="00945A0D">
        <w:rPr>
          <w:lang w:val="en-AU" w:eastAsia="en-AU"/>
        </w:rPr>
        <w:t>ing</w:t>
      </w:r>
      <w:r>
        <w:rPr>
          <w:lang w:val="en-AU" w:eastAsia="en-AU"/>
        </w:rPr>
        <w:t xml:space="preserve"> these trends. The long-term continuous data sets collected are of significant depth to provide insight into impacts on ecosystem health, and assist in prioritising management action.</w:t>
      </w:r>
      <w:r w:rsidRPr="002265DC">
        <w:t xml:space="preserve"> </w:t>
      </w:r>
      <w:r>
        <w:t xml:space="preserve">Monitoring an area as vast and complex as the Reef remains a challenge however, long-term monitoring programs such as the MMP are valuable and sensitive tools that can assist in protecting such a </w:t>
      </w:r>
      <w:r w:rsidR="00E42DA6">
        <w:t>significant</w:t>
      </w:r>
      <w:r>
        <w:t xml:space="preserve"> ecosystem.</w:t>
      </w:r>
    </w:p>
    <w:p w14:paraId="579EFD09" w14:textId="419553D6" w:rsidR="0059608E" w:rsidRDefault="00CD24D2" w:rsidP="0066689E">
      <w:pPr>
        <w:pStyle w:val="Heading1"/>
      </w:pPr>
      <w:bookmarkStart w:id="701" w:name="_Toc462651961"/>
      <w:r>
        <w:t>DIRECTIONS FOR MONITORING</w:t>
      </w:r>
      <w:bookmarkEnd w:id="701"/>
      <w:r w:rsidR="0059608E">
        <w:t xml:space="preserve"> </w:t>
      </w:r>
    </w:p>
    <w:p w14:paraId="095E34B0" w14:textId="77777777" w:rsidR="0059608E" w:rsidRDefault="0059608E" w:rsidP="006130D4">
      <w:pPr>
        <w:tabs>
          <w:tab w:val="left" w:pos="10065"/>
        </w:tabs>
        <w:spacing w:line="360" w:lineRule="auto"/>
        <w:rPr>
          <w:lang w:val="en-AU" w:eastAsia="en-AU"/>
        </w:rPr>
      </w:pPr>
      <w:r>
        <w:rPr>
          <w:lang w:val="en-AU" w:eastAsia="en-AU"/>
        </w:rPr>
        <w:t xml:space="preserve">A review of the MMP in 2013 provided a number of recommendations to the design of the MMP to ensure that the </w:t>
      </w:r>
      <w:r w:rsidRPr="00A107E0">
        <w:rPr>
          <w:lang w:val="en-AU" w:eastAsia="en-AU"/>
        </w:rPr>
        <w:t xml:space="preserve">future program design is fit for purpose </w:t>
      </w:r>
      <w:r>
        <w:rPr>
          <w:lang w:val="en-AU" w:eastAsia="en-AU"/>
        </w:rPr>
        <w:t xml:space="preserve">to meet Reef Plan objectives </w:t>
      </w:r>
      <w:r w:rsidRPr="00A107E0">
        <w:rPr>
          <w:lang w:val="en-AU" w:eastAsia="en-AU"/>
        </w:rPr>
        <w:t>and delivers scientifically robust information in the most cost-effective manner</w:t>
      </w:r>
      <w:r>
        <w:rPr>
          <w:lang w:val="en-AU" w:eastAsia="en-AU"/>
        </w:rPr>
        <w:t xml:space="preserve"> (Kuhnert et al. 2013). A number of these recommendations were initiated in the 2014-</w:t>
      </w:r>
      <w:r w:rsidR="00924C30">
        <w:rPr>
          <w:lang w:val="en-AU" w:eastAsia="en-AU"/>
        </w:rPr>
        <w:t>20</w:t>
      </w:r>
      <w:r>
        <w:rPr>
          <w:lang w:val="en-AU" w:eastAsia="en-AU"/>
        </w:rPr>
        <w:t xml:space="preserve">15 monitoring year and included; </w:t>
      </w:r>
    </w:p>
    <w:p w14:paraId="7E18056C" w14:textId="77777777" w:rsidR="0059608E" w:rsidRDefault="0059608E" w:rsidP="0059608E">
      <w:pPr>
        <w:pStyle w:val="ListParagraph"/>
        <w:numPr>
          <w:ilvl w:val="0"/>
          <w:numId w:val="45"/>
        </w:numPr>
        <w:tabs>
          <w:tab w:val="left" w:pos="10065"/>
        </w:tabs>
        <w:spacing w:line="360" w:lineRule="auto"/>
        <w:rPr>
          <w:lang w:val="en-AU" w:eastAsia="en-AU"/>
        </w:rPr>
      </w:pPr>
      <w:r>
        <w:rPr>
          <w:lang w:val="en-AU" w:eastAsia="en-AU"/>
        </w:rPr>
        <w:t>Relocating</w:t>
      </w:r>
      <w:r w:rsidRPr="0038175E">
        <w:rPr>
          <w:lang w:val="en-AU" w:eastAsia="en-AU"/>
        </w:rPr>
        <w:t xml:space="preserve"> monitoring sites to positions that are more sensitive to changes in pesticide types and concentrations (such as closer to river mouths or intercepting flood plumes)</w:t>
      </w:r>
      <w:r>
        <w:rPr>
          <w:lang w:val="en-AU" w:eastAsia="en-AU"/>
        </w:rPr>
        <w:t>. These new sites included three in the Mackay Whitsunday region, to provide better spatial coverage in a region identified as high risk of PSII herbicide exposure from the 2013 Water Quality Risk Assessment</w:t>
      </w:r>
    </w:p>
    <w:p w14:paraId="7A94F6FE" w14:textId="77777777" w:rsidR="0059608E" w:rsidRDefault="0059608E" w:rsidP="0059608E">
      <w:pPr>
        <w:pStyle w:val="ListParagraph"/>
        <w:numPr>
          <w:ilvl w:val="0"/>
          <w:numId w:val="45"/>
        </w:numPr>
        <w:tabs>
          <w:tab w:val="left" w:pos="10065"/>
        </w:tabs>
        <w:spacing w:line="360" w:lineRule="auto"/>
        <w:rPr>
          <w:lang w:val="en-AU" w:eastAsia="en-AU"/>
        </w:rPr>
      </w:pPr>
      <w:r>
        <w:rPr>
          <w:lang w:val="en-AU" w:eastAsia="en-AU"/>
        </w:rPr>
        <w:t>P</w:t>
      </w:r>
      <w:r w:rsidRPr="0038175E">
        <w:rPr>
          <w:lang w:val="en-AU" w:eastAsia="en-AU"/>
        </w:rPr>
        <w:t xml:space="preserve">rioritising sampling during the wet season rather than the dry season – the periods of the year that are most sensitive to changing pesticide profiles. </w:t>
      </w:r>
      <w:r>
        <w:rPr>
          <w:lang w:val="en-AU" w:eastAsia="en-AU"/>
        </w:rPr>
        <w:t xml:space="preserve">This includes deploying non-polar passive samplers during the wet season only, and conducting targeted grab sampling during flow events at up to four focus regions to add to long-term data sets and better characterise </w:t>
      </w:r>
      <w:r w:rsidR="003023DF">
        <w:rPr>
          <w:lang w:val="en-AU" w:eastAsia="en-AU"/>
        </w:rPr>
        <w:t xml:space="preserve">flood </w:t>
      </w:r>
      <w:r>
        <w:rPr>
          <w:lang w:val="en-AU" w:eastAsia="en-AU"/>
        </w:rPr>
        <w:t xml:space="preserve">plumes </w:t>
      </w:r>
    </w:p>
    <w:p w14:paraId="3FD46ABB" w14:textId="77777777" w:rsidR="0059608E" w:rsidRDefault="0059608E" w:rsidP="00106CE5">
      <w:pPr>
        <w:pStyle w:val="ListParagraph"/>
        <w:numPr>
          <w:ilvl w:val="0"/>
          <w:numId w:val="45"/>
        </w:numPr>
        <w:tabs>
          <w:tab w:val="left" w:pos="10065"/>
        </w:tabs>
        <w:spacing w:line="360" w:lineRule="auto"/>
        <w:rPr>
          <w:lang w:val="en-AU" w:eastAsia="en-AU"/>
        </w:rPr>
      </w:pPr>
      <w:r>
        <w:rPr>
          <w:lang w:val="en-AU" w:eastAsia="en-AU"/>
        </w:rPr>
        <w:t>Ongoing inter</w:t>
      </w:r>
      <w:r w:rsidR="00EB2940">
        <w:rPr>
          <w:lang w:val="en-AU" w:eastAsia="en-AU"/>
        </w:rPr>
        <w:t>-</w:t>
      </w:r>
      <w:r>
        <w:rPr>
          <w:lang w:val="en-AU" w:eastAsia="en-AU"/>
        </w:rPr>
        <w:t>laboratory analysis of samples and replication to better understand the statistical power and variability of data</w:t>
      </w:r>
    </w:p>
    <w:p w14:paraId="530F5688" w14:textId="77777777" w:rsidR="00457EF8" w:rsidRPr="00106CE5" w:rsidRDefault="00457EF8" w:rsidP="00457EF8">
      <w:pPr>
        <w:pStyle w:val="ListParagraph"/>
        <w:tabs>
          <w:tab w:val="left" w:pos="10065"/>
        </w:tabs>
        <w:spacing w:line="360" w:lineRule="auto"/>
        <w:rPr>
          <w:lang w:val="en-AU" w:eastAsia="en-AU"/>
        </w:rPr>
      </w:pPr>
    </w:p>
    <w:p w14:paraId="0E778E01" w14:textId="77777777" w:rsidR="000C1191" w:rsidRDefault="0059608E" w:rsidP="006130D4">
      <w:pPr>
        <w:tabs>
          <w:tab w:val="left" w:pos="10065"/>
        </w:tabs>
        <w:spacing w:line="360" w:lineRule="auto"/>
        <w:rPr>
          <w:lang w:val="en-AU" w:eastAsia="en-AU"/>
        </w:rPr>
      </w:pPr>
      <w:r>
        <w:rPr>
          <w:lang w:val="en-AU" w:eastAsia="en-AU"/>
        </w:rPr>
        <w:lastRenderedPageBreak/>
        <w:t xml:space="preserve">Continual efforts will be made to seek opportunities to collaborate with other Reef Plan programs (such as the Paddock to Reef and </w:t>
      </w:r>
      <w:r w:rsidR="003023DF">
        <w:rPr>
          <w:lang w:val="en-AU" w:eastAsia="en-AU"/>
        </w:rPr>
        <w:t>GBRCLMP</w:t>
      </w:r>
      <w:r>
        <w:rPr>
          <w:lang w:val="en-AU" w:eastAsia="en-AU"/>
        </w:rPr>
        <w:t xml:space="preserve">) to provide a more </w:t>
      </w:r>
      <w:r w:rsidR="003023DF">
        <w:rPr>
          <w:lang w:val="en-AU" w:eastAsia="en-AU"/>
        </w:rPr>
        <w:t>integrated</w:t>
      </w:r>
      <w:r>
        <w:rPr>
          <w:lang w:val="en-AU" w:eastAsia="en-AU"/>
        </w:rPr>
        <w:t xml:space="preserve"> view of</w:t>
      </w:r>
      <w:r w:rsidRPr="00450A4F">
        <w:rPr>
          <w:lang w:val="en-AU" w:eastAsia="en-AU"/>
        </w:rPr>
        <w:t xml:space="preserve"> management practice adoption, paddock scale monitoring, catchment monitoring and marine monitoring</w:t>
      </w:r>
      <w:r w:rsidRPr="00083C9C">
        <w:rPr>
          <w:lang w:val="en-AU" w:eastAsia="en-AU"/>
        </w:rPr>
        <w:t xml:space="preserve"> </w:t>
      </w:r>
      <w:r>
        <w:rPr>
          <w:lang w:val="en-AU" w:eastAsia="en-AU"/>
        </w:rPr>
        <w:t>that will i</w:t>
      </w:r>
      <w:r w:rsidRPr="00450A4F">
        <w:rPr>
          <w:lang w:val="en-AU" w:eastAsia="en-AU"/>
        </w:rPr>
        <w:t>mprove information on the impacts of key po</w:t>
      </w:r>
      <w:r>
        <w:rPr>
          <w:lang w:val="en-AU" w:eastAsia="en-AU"/>
        </w:rPr>
        <w:t xml:space="preserve">llutants on critical ecosystems. Other areas of focus will be </w:t>
      </w:r>
      <w:r w:rsidR="000C1191">
        <w:rPr>
          <w:lang w:val="en-AU" w:eastAsia="en-AU"/>
        </w:rPr>
        <w:t>to</w:t>
      </w:r>
    </w:p>
    <w:p w14:paraId="1B8F73BD" w14:textId="77777777" w:rsidR="000C1191" w:rsidRDefault="0059608E" w:rsidP="000C1191">
      <w:pPr>
        <w:pStyle w:val="ListParagraph"/>
        <w:numPr>
          <w:ilvl w:val="0"/>
          <w:numId w:val="49"/>
        </w:numPr>
        <w:tabs>
          <w:tab w:val="left" w:pos="10065"/>
        </w:tabs>
        <w:spacing w:line="360" w:lineRule="auto"/>
        <w:rPr>
          <w:lang w:val="en-AU" w:eastAsia="en-AU"/>
        </w:rPr>
      </w:pPr>
      <w:r w:rsidRPr="000C1191">
        <w:rPr>
          <w:lang w:val="en-AU" w:eastAsia="en-AU"/>
        </w:rPr>
        <w:t>continue to develop analytical methods to capture emerging alternative herbicides which are likely to have an increasing contribution to herbicide loads into the Reef</w:t>
      </w:r>
    </w:p>
    <w:p w14:paraId="6957D60D" w14:textId="77777777" w:rsidR="000C1191" w:rsidRDefault="000C1191" w:rsidP="000C1191">
      <w:pPr>
        <w:pStyle w:val="ListParagraph"/>
        <w:numPr>
          <w:ilvl w:val="0"/>
          <w:numId w:val="49"/>
        </w:numPr>
        <w:tabs>
          <w:tab w:val="left" w:pos="10065"/>
        </w:tabs>
        <w:spacing w:line="360" w:lineRule="auto"/>
        <w:rPr>
          <w:lang w:val="en-AU" w:eastAsia="en-AU"/>
        </w:rPr>
      </w:pPr>
      <w:r>
        <w:rPr>
          <w:lang w:val="en-AU" w:eastAsia="en-AU"/>
        </w:rPr>
        <w:t>consider condu</w:t>
      </w:r>
      <w:r w:rsidR="00CC166B">
        <w:rPr>
          <w:lang w:val="en-AU" w:eastAsia="en-AU"/>
        </w:rPr>
        <w:t>cting further field calibration studies to measure the uptake of emerging alternative herbicides and provide better estimates of water concentration;</w:t>
      </w:r>
      <w:r w:rsidR="0059608E" w:rsidRPr="000C1191">
        <w:rPr>
          <w:lang w:val="en-AU" w:eastAsia="en-AU"/>
        </w:rPr>
        <w:t xml:space="preserve"> </w:t>
      </w:r>
      <w:r w:rsidR="00714FA4" w:rsidRPr="000C1191">
        <w:rPr>
          <w:lang w:val="en-AU" w:eastAsia="en-AU"/>
        </w:rPr>
        <w:t xml:space="preserve">and </w:t>
      </w:r>
      <w:r w:rsidR="006A27D8">
        <w:rPr>
          <w:lang w:val="en-AU" w:eastAsia="en-AU"/>
        </w:rPr>
        <w:t>to</w:t>
      </w:r>
    </w:p>
    <w:p w14:paraId="69BB99FF" w14:textId="77777777" w:rsidR="0059608E" w:rsidRPr="000C1191" w:rsidRDefault="0059608E" w:rsidP="000C1191">
      <w:pPr>
        <w:pStyle w:val="ListParagraph"/>
        <w:numPr>
          <w:ilvl w:val="0"/>
          <w:numId w:val="49"/>
        </w:numPr>
        <w:tabs>
          <w:tab w:val="left" w:pos="10065"/>
        </w:tabs>
        <w:spacing w:line="360" w:lineRule="auto"/>
        <w:rPr>
          <w:lang w:val="en-AU" w:eastAsia="en-AU"/>
        </w:rPr>
      </w:pPr>
      <w:r w:rsidRPr="000C1191">
        <w:rPr>
          <w:lang w:val="en-AU" w:eastAsia="en-AU"/>
        </w:rPr>
        <w:t>assist in developing a pesticide reporting metric</w:t>
      </w:r>
      <w:r w:rsidR="001C7A9D" w:rsidRPr="000C1191">
        <w:rPr>
          <w:lang w:val="en-AU" w:eastAsia="en-AU"/>
        </w:rPr>
        <w:t xml:space="preserve"> for inclusion into the annual Report Card</w:t>
      </w:r>
      <w:r w:rsidRPr="000C1191">
        <w:rPr>
          <w:lang w:val="en-AU" w:eastAsia="en-AU"/>
        </w:rPr>
        <w:t xml:space="preserve">. </w:t>
      </w:r>
    </w:p>
    <w:p w14:paraId="5D0FAD57" w14:textId="77777777" w:rsidR="006A27D8" w:rsidRDefault="006A27D8" w:rsidP="006130D4">
      <w:pPr>
        <w:tabs>
          <w:tab w:val="left" w:pos="10065"/>
        </w:tabs>
        <w:spacing w:line="360" w:lineRule="auto"/>
        <w:rPr>
          <w:lang w:val="en-AU" w:eastAsia="en-AU"/>
        </w:rPr>
      </w:pPr>
      <w:r>
        <w:rPr>
          <w:lang w:val="en-AU" w:eastAsia="en-AU"/>
        </w:rPr>
        <w:br w:type="page"/>
      </w:r>
    </w:p>
    <w:p w14:paraId="3D79DD6A" w14:textId="77777777" w:rsidR="0059608E" w:rsidRDefault="0059608E" w:rsidP="006130D4">
      <w:pPr>
        <w:tabs>
          <w:tab w:val="left" w:pos="10065"/>
        </w:tabs>
        <w:spacing w:line="360" w:lineRule="auto"/>
        <w:rPr>
          <w:lang w:val="en-AU" w:eastAsia="en-AU"/>
        </w:rPr>
      </w:pPr>
    </w:p>
    <w:p w14:paraId="072FFA30" w14:textId="77777777" w:rsidR="0059608E" w:rsidRPr="00C11BBA" w:rsidRDefault="0059608E" w:rsidP="0066689E">
      <w:pPr>
        <w:pStyle w:val="Heading1"/>
      </w:pPr>
      <w:bookmarkStart w:id="702" w:name="_Toc461457781"/>
      <w:bookmarkStart w:id="703" w:name="_Toc462651962"/>
      <w:r>
        <w:t>R</w:t>
      </w:r>
      <w:r w:rsidRPr="00C11BBA">
        <w:t>EFERENCES</w:t>
      </w:r>
      <w:bookmarkEnd w:id="702"/>
      <w:bookmarkEnd w:id="703"/>
    </w:p>
    <w:p w14:paraId="0613BDA6" w14:textId="77777777" w:rsidR="00611004" w:rsidRPr="00611004" w:rsidRDefault="006C60D9" w:rsidP="00611004">
      <w:pPr>
        <w:pStyle w:val="EndNoteBibliography"/>
        <w:ind w:left="720" w:hanging="720"/>
      </w:pPr>
      <w:r>
        <w:fldChar w:fldCharType="begin"/>
      </w:r>
      <w:r>
        <w:instrText xml:space="preserve"> ADDIN EN.REFLIST </w:instrText>
      </w:r>
      <w:r>
        <w:fldChar w:fldCharType="separate"/>
      </w:r>
      <w:r w:rsidR="00611004" w:rsidRPr="00611004">
        <w:t xml:space="preserve">ABS. 2010. </w:t>
      </w:r>
      <w:r w:rsidR="00611004" w:rsidRPr="00611004">
        <w:rPr>
          <w:i/>
        </w:rPr>
        <w:t xml:space="preserve">4619.0 - Land Management Practices in the Great Barrier Reef Catchments, Preliminary, 2008-09 </w:t>
      </w:r>
      <w:r w:rsidR="00611004" w:rsidRPr="00611004">
        <w:t>[Online]. Australian Bureau of Statistics, Canberra.  [Accessed 6 November 2014].</w:t>
      </w:r>
    </w:p>
    <w:p w14:paraId="081FF539" w14:textId="77777777" w:rsidR="00611004" w:rsidRPr="00611004" w:rsidRDefault="00611004" w:rsidP="00611004">
      <w:pPr>
        <w:pStyle w:val="EndNoteBibliography"/>
        <w:ind w:left="720" w:hanging="720"/>
      </w:pPr>
      <w:r w:rsidRPr="00611004">
        <w:t xml:space="preserve">ÁLVAREZ-ROMERO, J. G., DEVLIN, M., DA SILVA, E. T., PETUS, C., BAN, N. C., PRESSEY, R. L., KOOL, J., ROBERTS, J. J., CERDEIRA-ESTRADA, S. &amp; WENGER, A. S. 2013. A novel approach to model exposure of coastal-marine ecosystems to riverine flood plumes based on remote sensing techniques. </w:t>
      </w:r>
      <w:r w:rsidRPr="00611004">
        <w:rPr>
          <w:i/>
        </w:rPr>
        <w:t>Journal of environmental management,</w:t>
      </w:r>
      <w:r w:rsidRPr="00611004">
        <w:t xml:space="preserve"> 119</w:t>
      </w:r>
      <w:r w:rsidRPr="00611004">
        <w:rPr>
          <w:b/>
        </w:rPr>
        <w:t>,</w:t>
      </w:r>
      <w:r w:rsidRPr="00611004">
        <w:t xml:space="preserve"> 194-207.</w:t>
      </w:r>
    </w:p>
    <w:p w14:paraId="30E732FD" w14:textId="77777777" w:rsidR="00611004" w:rsidRPr="00611004" w:rsidRDefault="00611004" w:rsidP="00611004">
      <w:pPr>
        <w:pStyle w:val="EndNoteBibliography"/>
        <w:ind w:left="720" w:hanging="720"/>
      </w:pPr>
      <w:r w:rsidRPr="00611004">
        <w:t>ANZECC &amp; ARMCANZ 2000. Australian and New Zealand Guidelines for Fresh and Marine Water Quality. Volumes 1 (&amp; 2) The Guidelines. National Water Quality Management Strategy No. 4. Australian &amp; New Zealand Environment &amp; Conservation Council and the Agriculture &amp; Resource Management Council of Australia &amp; New Zealand.</w:t>
      </w:r>
    </w:p>
    <w:p w14:paraId="11AFFF99" w14:textId="77777777" w:rsidR="00611004" w:rsidRPr="00611004" w:rsidRDefault="00611004" w:rsidP="00611004">
      <w:pPr>
        <w:pStyle w:val="EndNoteBibliography"/>
        <w:ind w:left="720" w:hanging="720"/>
      </w:pPr>
      <w:r w:rsidRPr="00611004">
        <w:t xml:space="preserve">BAINBRIDGE, Z. T., BRODIE, J. E., FAITHFUL, J. W., SYDES, D. A. &amp; LEWIS, S. E. 2009. Identifying the land-based sources of suspended sediments, nutrients and pesticides discharged to the Great Barrier Reef from the Tully–Murray Basin, Queensland, Australia. </w:t>
      </w:r>
      <w:r w:rsidRPr="00611004">
        <w:rPr>
          <w:i/>
        </w:rPr>
        <w:t>Marine and Freshwater Research,</w:t>
      </w:r>
      <w:r w:rsidRPr="00611004">
        <w:t xml:space="preserve"> 60</w:t>
      </w:r>
      <w:r w:rsidRPr="00611004">
        <w:rPr>
          <w:b/>
        </w:rPr>
        <w:t>,</w:t>
      </w:r>
      <w:r w:rsidRPr="00611004">
        <w:t xml:space="preserve"> 1081-1090.</w:t>
      </w:r>
    </w:p>
    <w:p w14:paraId="3B301574" w14:textId="77777777" w:rsidR="00611004" w:rsidRPr="00611004" w:rsidRDefault="00611004" w:rsidP="00611004">
      <w:pPr>
        <w:pStyle w:val="EndNoteBibliography"/>
        <w:ind w:left="720" w:hanging="720"/>
      </w:pPr>
      <w:r w:rsidRPr="00611004">
        <w:t>BATLEY, G. E., VAN DAM, R., WARNE, M. S. J., CHAPMAN, J. C., FOX, D. R., HICKEY, C. W. &amp; STAUBER, J. L. 2014. Revision of the Method for Deriving Water Quality Guideline Values for Toxicants. A Water for a Healthy Country Flagship Report. Prepared for the Council of Australian Government’s Standing Council on Environment and Water (SCEW). CSIRO.</w:t>
      </w:r>
    </w:p>
    <w:p w14:paraId="592694E0" w14:textId="77777777" w:rsidR="00611004" w:rsidRPr="00611004" w:rsidRDefault="00611004" w:rsidP="00611004">
      <w:pPr>
        <w:pStyle w:val="EndNoteBibliography"/>
        <w:ind w:left="720" w:hanging="720"/>
      </w:pPr>
      <w:r w:rsidRPr="00611004">
        <w:t>BENTLEY, C., DEVLIN, M., PAXMAN, C., CHUE, K. &amp; MUELLER, J. 2012. Pesticide monitoring in inshore waters of the Great Barrier Reef using both time-integrated and event monitoring techniques (2011-2012).</w:t>
      </w:r>
    </w:p>
    <w:p w14:paraId="591D8CB2" w14:textId="79B46427" w:rsidR="00611004" w:rsidRPr="00611004" w:rsidRDefault="00611004" w:rsidP="00611004">
      <w:pPr>
        <w:pStyle w:val="EndNoteBibliography"/>
        <w:ind w:left="720" w:hanging="720"/>
      </w:pPr>
      <w:r w:rsidRPr="00611004">
        <w:t xml:space="preserve">BOM. 2016a. </w:t>
      </w:r>
      <w:r w:rsidRPr="00611004">
        <w:rPr>
          <w:i/>
        </w:rPr>
        <w:t xml:space="preserve">Daily rainfall totals for Australia </w:t>
      </w:r>
      <w:r w:rsidRPr="00611004">
        <w:t xml:space="preserve">[Online]. Bureau of Meteorology. Available: </w:t>
      </w:r>
      <w:hyperlink r:id="rId45" w:history="1">
        <w:r w:rsidRPr="00611004">
          <w:rPr>
            <w:rStyle w:val="Hyperlink"/>
            <w:rFonts w:cs="Arial"/>
          </w:rPr>
          <w:t>http://www.bom.gov.au/jsp/awap/rain/index.jsp</w:t>
        </w:r>
      </w:hyperlink>
      <w:r w:rsidRPr="00611004">
        <w:t xml:space="preserve"> [Accessed 15 June 2016].</w:t>
      </w:r>
    </w:p>
    <w:p w14:paraId="12818574" w14:textId="5626DE0C" w:rsidR="00611004" w:rsidRPr="00611004" w:rsidRDefault="00611004" w:rsidP="00611004">
      <w:pPr>
        <w:pStyle w:val="EndNoteBibliography"/>
        <w:ind w:left="720" w:hanging="720"/>
      </w:pPr>
      <w:r w:rsidRPr="00611004">
        <w:t xml:space="preserve">BOM. 2016b. </w:t>
      </w:r>
      <w:r w:rsidRPr="00611004">
        <w:rPr>
          <w:i/>
        </w:rPr>
        <w:t xml:space="preserve">ENSO Wrap-Up </w:t>
      </w:r>
      <w:r w:rsidRPr="00611004">
        <w:t xml:space="preserve">[Online]. Bureau of Meteorology. Available: </w:t>
      </w:r>
      <w:hyperlink r:id="rId46" w:history="1">
        <w:r w:rsidRPr="00611004">
          <w:rPr>
            <w:rStyle w:val="Hyperlink"/>
            <w:rFonts w:cs="Arial"/>
          </w:rPr>
          <w:t>http://www.bom.gov.au/climate/enso/</w:t>
        </w:r>
      </w:hyperlink>
      <w:r w:rsidRPr="00611004">
        <w:t xml:space="preserve"> [Accessed 17 June 2016].</w:t>
      </w:r>
    </w:p>
    <w:p w14:paraId="3AA1A8FE" w14:textId="629C2489" w:rsidR="00611004" w:rsidRPr="00611004" w:rsidRDefault="00611004" w:rsidP="00611004">
      <w:pPr>
        <w:pStyle w:val="EndNoteBibliography"/>
        <w:ind w:left="720" w:hanging="720"/>
      </w:pPr>
      <w:r w:rsidRPr="00611004">
        <w:t xml:space="preserve">BOM. 2016c. </w:t>
      </w:r>
      <w:r w:rsidRPr="00611004">
        <w:rPr>
          <w:i/>
        </w:rPr>
        <w:t xml:space="preserve">Severe Tropical Cyclone Marcia </w:t>
      </w:r>
      <w:r w:rsidRPr="00611004">
        <w:t xml:space="preserve">[Online]. Bureau of Meteorology, Canberra. Available: </w:t>
      </w:r>
      <w:hyperlink r:id="rId47" w:history="1">
        <w:r w:rsidRPr="00611004">
          <w:rPr>
            <w:rStyle w:val="Hyperlink"/>
            <w:rFonts w:cs="Arial"/>
          </w:rPr>
          <w:t>http://www.bom.gov.au/cyclone/history/marcia.shtml</w:t>
        </w:r>
      </w:hyperlink>
      <w:r w:rsidRPr="00611004">
        <w:t xml:space="preserve"> [Accessed 6 June 2016].</w:t>
      </w:r>
    </w:p>
    <w:p w14:paraId="319165E9" w14:textId="0FA8C14F" w:rsidR="00611004" w:rsidRPr="00611004" w:rsidRDefault="00611004" w:rsidP="00611004">
      <w:pPr>
        <w:pStyle w:val="EndNoteBibliography"/>
        <w:ind w:left="720" w:hanging="720"/>
      </w:pPr>
      <w:r w:rsidRPr="00611004">
        <w:t xml:space="preserve">BOM. 2016d. </w:t>
      </w:r>
      <w:r w:rsidRPr="00611004">
        <w:rPr>
          <w:i/>
        </w:rPr>
        <w:t xml:space="preserve">Severe Tropical Cyclone Nathan </w:t>
      </w:r>
      <w:r w:rsidRPr="00611004">
        <w:t xml:space="preserve">[Online]. Bureau of Meteorology, Canberra. Available: </w:t>
      </w:r>
      <w:hyperlink r:id="rId48" w:history="1">
        <w:r w:rsidRPr="00611004">
          <w:rPr>
            <w:rStyle w:val="Hyperlink"/>
            <w:rFonts w:cs="Arial"/>
          </w:rPr>
          <w:t>http://www.bom.gov.au/announcements/sevwx/qld/qldtc20150310.shtml</w:t>
        </w:r>
      </w:hyperlink>
      <w:r w:rsidRPr="00611004">
        <w:t xml:space="preserve"> [Accessed 6 June 2016].</w:t>
      </w:r>
    </w:p>
    <w:p w14:paraId="2FF4AB9A" w14:textId="3EE80D54" w:rsidR="00611004" w:rsidRPr="00611004" w:rsidRDefault="00611004" w:rsidP="00611004">
      <w:pPr>
        <w:pStyle w:val="EndNoteBibliography"/>
        <w:ind w:left="720" w:hanging="720"/>
      </w:pPr>
      <w:r w:rsidRPr="00611004">
        <w:t xml:space="preserve">BOM. 2016e. </w:t>
      </w:r>
      <w:r w:rsidRPr="00611004">
        <w:rPr>
          <w:i/>
        </w:rPr>
        <w:t xml:space="preserve">Tropical Cyclones in Queensland </w:t>
      </w:r>
      <w:r w:rsidRPr="00611004">
        <w:t xml:space="preserve">[Online]. Bureau of Meteorology, Canberra. Available: </w:t>
      </w:r>
      <w:hyperlink r:id="rId49" w:anchor="history" w:history="1">
        <w:r w:rsidRPr="00611004">
          <w:rPr>
            <w:rStyle w:val="Hyperlink"/>
            <w:rFonts w:cs="Arial"/>
          </w:rPr>
          <w:t>http://www.bom.gov.au/cyclone/about/eastern.shtml#history</w:t>
        </w:r>
      </w:hyperlink>
      <w:r w:rsidRPr="00611004">
        <w:t xml:space="preserve"> [Accessed 14 June 2016].</w:t>
      </w:r>
    </w:p>
    <w:p w14:paraId="00CEDFDE" w14:textId="77777777" w:rsidR="00611004" w:rsidRPr="00611004" w:rsidRDefault="00611004" w:rsidP="00611004">
      <w:pPr>
        <w:pStyle w:val="EndNoteBibliography"/>
        <w:ind w:left="720" w:hanging="720"/>
      </w:pPr>
      <w:r w:rsidRPr="00611004">
        <w:t xml:space="preserve">BOOIJ, K., SMEDES, F. &amp; VAN WEERLEE, E. M. 2002. Spiking of performance reference compounds in low density polyethylene and silicone passive water samplers. </w:t>
      </w:r>
      <w:r w:rsidRPr="00611004">
        <w:rPr>
          <w:i/>
        </w:rPr>
        <w:t>Chemosphere,</w:t>
      </w:r>
      <w:r w:rsidRPr="00611004">
        <w:t xml:space="preserve"> 46</w:t>
      </w:r>
      <w:r w:rsidRPr="00611004">
        <w:rPr>
          <w:b/>
        </w:rPr>
        <w:t>,</w:t>
      </w:r>
      <w:r w:rsidRPr="00611004">
        <w:t xml:space="preserve"> 1157-1161.</w:t>
      </w:r>
    </w:p>
    <w:p w14:paraId="174FDC64" w14:textId="77777777" w:rsidR="00611004" w:rsidRPr="00611004" w:rsidRDefault="00611004" w:rsidP="00611004">
      <w:pPr>
        <w:pStyle w:val="EndNoteBibliography"/>
        <w:ind w:left="720" w:hanging="720"/>
      </w:pPr>
      <w:r w:rsidRPr="00611004">
        <w:t>BRODIE, J., WATERHOUSE, J., SCHAFFELKE, B., KROON, F., THORBURN, P., ROLFE, J., JOHNSON, J., FABRICIUS, K., LEWIS, S., DEVLIN, M., WARNE, M. &amp; MCKENZIE, L. 2013. Scientific Consensus Statement. Land use impacts on Great Barrier Reef water quality and ecosystem condition. The State of Queensland, Reef Water Quality Protection Plan Secretariat.</w:t>
      </w:r>
    </w:p>
    <w:p w14:paraId="62CCD7AC" w14:textId="77777777" w:rsidR="00611004" w:rsidRPr="00611004" w:rsidRDefault="00611004" w:rsidP="00611004">
      <w:pPr>
        <w:pStyle w:val="EndNoteBibliography"/>
        <w:ind w:left="720" w:hanging="720"/>
      </w:pPr>
      <w:r w:rsidRPr="00611004">
        <w:t xml:space="preserve">CANTIN, N. E., NEGRI, A. P. &amp; WILLIS, B. L. 2007. Photoinhibition from chronic herbicide exposure reduces reproductive output of reef-building corals. </w:t>
      </w:r>
      <w:r w:rsidRPr="00611004">
        <w:rPr>
          <w:i/>
        </w:rPr>
        <w:t>Marine Ecology Progress Series,</w:t>
      </w:r>
      <w:r w:rsidRPr="00611004">
        <w:t xml:space="preserve"> 344</w:t>
      </w:r>
      <w:r w:rsidRPr="00611004">
        <w:rPr>
          <w:b/>
        </w:rPr>
        <w:t>,</w:t>
      </w:r>
      <w:r w:rsidRPr="00611004">
        <w:t xml:space="preserve"> 81-93.</w:t>
      </w:r>
    </w:p>
    <w:p w14:paraId="67A17CED" w14:textId="77777777" w:rsidR="00611004" w:rsidRPr="00611004" w:rsidRDefault="00611004" w:rsidP="00611004">
      <w:pPr>
        <w:pStyle w:val="EndNoteBibliography"/>
        <w:ind w:left="720" w:hanging="720"/>
      </w:pPr>
      <w:r w:rsidRPr="00611004">
        <w:t xml:space="preserve">DAVIS, A. M., LEWIS, S. E., BRODIE, J. E. &amp; BENSON, A. 2014. The potential benefits of herbicide regulation: A cautionary note for the Great Barrier Reef catchment area. </w:t>
      </w:r>
      <w:r w:rsidRPr="00611004">
        <w:rPr>
          <w:i/>
        </w:rPr>
        <w:t>Science of The Total Environment,</w:t>
      </w:r>
      <w:r w:rsidRPr="00611004">
        <w:t xml:space="preserve"> 490</w:t>
      </w:r>
      <w:r w:rsidRPr="00611004">
        <w:rPr>
          <w:b/>
        </w:rPr>
        <w:t>,</w:t>
      </w:r>
      <w:r w:rsidRPr="00611004">
        <w:t xml:space="preserve"> 81-92.</w:t>
      </w:r>
    </w:p>
    <w:p w14:paraId="424D8F88" w14:textId="77777777" w:rsidR="00611004" w:rsidRPr="00611004" w:rsidRDefault="00611004" w:rsidP="00611004">
      <w:pPr>
        <w:pStyle w:val="EndNoteBibliography"/>
        <w:ind w:left="720" w:hanging="720"/>
      </w:pPr>
      <w:r w:rsidRPr="00611004">
        <w:t>DEVLIN, M., LEWIS, S., DAVIS, A., SMITH, R., NEGRI, A., THOMPSON, M. &amp; POGGIO, M. 2015. Advancing our understanding of the source, management, transport and impacts of pesticides on the Great Barrier Reef 2011 - 2015. . Tropical Water and Aquatic Ecosystem Research (TropWATER), James Cook University, Cairns.</w:t>
      </w:r>
    </w:p>
    <w:p w14:paraId="1F887C65" w14:textId="77777777" w:rsidR="00611004" w:rsidRPr="00611004" w:rsidRDefault="00611004" w:rsidP="00611004">
      <w:pPr>
        <w:pStyle w:val="EndNoteBibliography"/>
        <w:ind w:left="720" w:hanging="720"/>
      </w:pPr>
      <w:r w:rsidRPr="00611004">
        <w:t xml:space="preserve">DEVLIN, M. &amp; SCHAFFELKE, B. 2009. Spatial extent of riverine flood plumes and exposure of marine ecosystems in the Tully coastal region, Great Barrier Reef. </w:t>
      </w:r>
      <w:r w:rsidRPr="00611004">
        <w:rPr>
          <w:i/>
        </w:rPr>
        <w:t>Marine and Freshwater Research,</w:t>
      </w:r>
      <w:r w:rsidRPr="00611004">
        <w:t xml:space="preserve"> 60</w:t>
      </w:r>
      <w:r w:rsidRPr="00611004">
        <w:rPr>
          <w:b/>
        </w:rPr>
        <w:t>,</w:t>
      </w:r>
      <w:r w:rsidRPr="00611004">
        <w:t xml:space="preserve"> 1109-1122.</w:t>
      </w:r>
    </w:p>
    <w:p w14:paraId="45218BD4" w14:textId="77777777" w:rsidR="00611004" w:rsidRPr="00611004" w:rsidRDefault="00611004" w:rsidP="00611004">
      <w:pPr>
        <w:pStyle w:val="EndNoteBibliography"/>
        <w:ind w:left="720" w:hanging="720"/>
      </w:pPr>
      <w:r w:rsidRPr="00611004">
        <w:t>DEVLIN, M. J., WENGER, A., PETUS, C., DA SILVA, E. T., DEBOSE, J. &amp; ÁLVAREZ-ROMERO, J. 2012. Reef Rescue Marine Monitoring Program. Final Report of JCU Activities 2011/12– Flood Plumes and Extreme weather monitoring for the Great Barrier Reef Marine Park Authority. James Cook University. Townsville.</w:t>
      </w:r>
    </w:p>
    <w:p w14:paraId="53DB24B5" w14:textId="77777777" w:rsidR="00611004" w:rsidRPr="00611004" w:rsidRDefault="00611004" w:rsidP="00611004">
      <w:pPr>
        <w:pStyle w:val="EndNoteBibliography"/>
        <w:ind w:left="720" w:hanging="720"/>
      </w:pPr>
      <w:r w:rsidRPr="00611004">
        <w:t>DIGHT, I. 2009. Burdekin Water Quality Improvement Plan, NQ Dry Tropics. Townsville.</w:t>
      </w:r>
    </w:p>
    <w:p w14:paraId="2BA93BA2" w14:textId="5F696C33" w:rsidR="00611004" w:rsidRPr="00611004" w:rsidRDefault="00611004" w:rsidP="00611004">
      <w:pPr>
        <w:pStyle w:val="EndNoteBibliography"/>
        <w:ind w:left="720" w:hanging="720"/>
      </w:pPr>
      <w:r w:rsidRPr="00611004">
        <w:lastRenderedPageBreak/>
        <w:t xml:space="preserve">DOE. 2016. </w:t>
      </w:r>
      <w:r w:rsidRPr="00611004">
        <w:rPr>
          <w:i/>
        </w:rPr>
        <w:t xml:space="preserve">National Water Quality Management Strategy </w:t>
      </w:r>
      <w:r w:rsidRPr="00611004">
        <w:t>[Online]. Department of the Environment, Canberra. Available: https://</w:t>
      </w:r>
      <w:hyperlink r:id="rId50" w:anchor="process" w:history="1">
        <w:r w:rsidRPr="00611004">
          <w:rPr>
            <w:rStyle w:val="Hyperlink"/>
            <w:rFonts w:cs="Arial"/>
          </w:rPr>
          <w:t>www.environment.gov.au/water/quality/national-water-quality-management-strategy#process</w:t>
        </w:r>
      </w:hyperlink>
      <w:r w:rsidRPr="00611004">
        <w:t xml:space="preserve"> [Accessed 14 June 2016].</w:t>
      </w:r>
    </w:p>
    <w:p w14:paraId="37B86C23" w14:textId="77777777" w:rsidR="00611004" w:rsidRPr="00611004" w:rsidRDefault="00611004" w:rsidP="00611004">
      <w:pPr>
        <w:pStyle w:val="EndNoteBibliography"/>
        <w:ind w:left="720" w:hanging="720"/>
      </w:pPr>
      <w:r w:rsidRPr="00611004">
        <w:t>DSITI 2015. Notification of Reported Exceedances of Pesticide Water Quality Guidelines in 2015–16 No.7. Deparment of Science, Information Technology and Innovation, Brisbane.</w:t>
      </w:r>
    </w:p>
    <w:p w14:paraId="51C342E1" w14:textId="77777777" w:rsidR="00611004" w:rsidRPr="00611004" w:rsidRDefault="00611004" w:rsidP="00611004">
      <w:pPr>
        <w:pStyle w:val="EndNoteBibliography"/>
        <w:ind w:left="720" w:hanging="720"/>
      </w:pPr>
      <w:r w:rsidRPr="00611004">
        <w:t>DSITIA 2012a. Land use summary 1999–2009 for the Fitzroy NRM region. Queensland Department of Science, Information Technology, Innovation and the Arts, Brisbane.</w:t>
      </w:r>
    </w:p>
    <w:p w14:paraId="593B819E" w14:textId="77777777" w:rsidR="00611004" w:rsidRPr="00611004" w:rsidRDefault="00611004" w:rsidP="00611004">
      <w:pPr>
        <w:pStyle w:val="EndNoteBibliography"/>
        <w:ind w:left="720" w:hanging="720"/>
      </w:pPr>
      <w:r w:rsidRPr="00611004">
        <w:t>DSITIA 2012b. Land use summary 1999–2009 for the Wet Tropics NRM region. Queensland Department of Science, Information Technology, Innovation and the Arts, Brisbane.</w:t>
      </w:r>
    </w:p>
    <w:p w14:paraId="20B645B2" w14:textId="77777777" w:rsidR="00611004" w:rsidRPr="00611004" w:rsidRDefault="00611004" w:rsidP="00611004">
      <w:pPr>
        <w:pStyle w:val="EndNoteBibliography"/>
        <w:ind w:left="720" w:hanging="720"/>
      </w:pPr>
      <w:r w:rsidRPr="00611004">
        <w:t>DSITIA 2012c. Land use summary 1999–2009: Burdekin NRM region. Queensland Department of Science, Information Technology, Innovation and the Arts, Brisbane.</w:t>
      </w:r>
    </w:p>
    <w:p w14:paraId="0A9D9B4F" w14:textId="77777777" w:rsidR="00611004" w:rsidRPr="00611004" w:rsidRDefault="00611004" w:rsidP="00611004">
      <w:pPr>
        <w:pStyle w:val="EndNoteBibliography"/>
        <w:ind w:left="720" w:hanging="720"/>
      </w:pPr>
      <w:r w:rsidRPr="00611004">
        <w:t>DSITIA 2012d. Land use summary 1999–2009: Great Barrier Reef catchments. Brisbane: Queensland Department of Science, Information Technology, Innovation and the Arts.</w:t>
      </w:r>
    </w:p>
    <w:p w14:paraId="703F6725" w14:textId="77777777" w:rsidR="00611004" w:rsidRPr="00611004" w:rsidRDefault="00611004" w:rsidP="00611004">
      <w:pPr>
        <w:pStyle w:val="EndNoteBibliography"/>
        <w:ind w:left="720" w:hanging="720"/>
      </w:pPr>
      <w:r w:rsidRPr="00611004">
        <w:t>DSITIA 2012e. Land use Summary 1999–2009: Mackay–Whitsunday NRM Region. Queensland Department of Science, Information Technology, Innovation and the Arts, Brisbane.</w:t>
      </w:r>
    </w:p>
    <w:p w14:paraId="19F40DAD" w14:textId="77777777" w:rsidR="00611004" w:rsidRPr="00611004" w:rsidRDefault="00611004" w:rsidP="00611004">
      <w:pPr>
        <w:pStyle w:val="EndNoteBibliography"/>
        <w:ind w:left="720" w:hanging="720"/>
      </w:pPr>
      <w:r w:rsidRPr="00611004">
        <w:t xml:space="preserve">ESCHER, B. I., QUAYLE, P., MULLER, R., SCHREIBER, U. &amp; MUELLER, J. F. 2006. Passive sampling of herbicides combined with effect analysis in algae using a novel high-throughput phytotoxicity assay (Maxi-Imaging-PAM). </w:t>
      </w:r>
      <w:r w:rsidRPr="00611004">
        <w:rPr>
          <w:i/>
        </w:rPr>
        <w:t>Journal of Environmental Monitoring,</w:t>
      </w:r>
      <w:r w:rsidRPr="00611004">
        <w:t xml:space="preserve"> 8</w:t>
      </w:r>
      <w:r w:rsidRPr="00611004">
        <w:rPr>
          <w:b/>
        </w:rPr>
        <w:t>,</w:t>
      </w:r>
      <w:r w:rsidRPr="00611004">
        <w:t xml:space="preserve"> 456-464.</w:t>
      </w:r>
    </w:p>
    <w:p w14:paraId="3722EA56" w14:textId="77777777" w:rsidR="00611004" w:rsidRPr="00611004" w:rsidRDefault="00611004" w:rsidP="00611004">
      <w:pPr>
        <w:pStyle w:val="EndNoteBibliography"/>
        <w:ind w:left="720" w:hanging="720"/>
      </w:pPr>
      <w:r w:rsidRPr="00611004">
        <w:t>FLORES, F., COLLIER, C. J., MERCURIO, P. &amp; NEGRI, A. P. 2013. Phytotoxicity of Four Photosystem II Herbicides to Tropical Seagrasses. 8.</w:t>
      </w:r>
    </w:p>
    <w:p w14:paraId="6FC8CF9A" w14:textId="77777777" w:rsidR="00611004" w:rsidRPr="00611004" w:rsidRDefault="00611004" w:rsidP="00611004">
      <w:pPr>
        <w:pStyle w:val="EndNoteBibliography"/>
        <w:ind w:left="720" w:hanging="720"/>
      </w:pPr>
      <w:r w:rsidRPr="00611004">
        <w:t>GALLEN, C., DEVLIN, M., PAXMAN, C., BANKS, A. &amp; MUELLER, J. 2013. Pesticide monitoring in inshore waters of the Great Barrier Reef using both time-integrated and event monitoring techniques (2012-2013). The University of Queensland, The National Research Centre for Environmental Toxicology (Entox).</w:t>
      </w:r>
    </w:p>
    <w:p w14:paraId="26FB8DE7" w14:textId="77777777" w:rsidR="00611004" w:rsidRPr="00611004" w:rsidRDefault="00611004" w:rsidP="00611004">
      <w:pPr>
        <w:pStyle w:val="EndNoteBibliography"/>
        <w:ind w:left="720" w:hanging="720"/>
      </w:pPr>
      <w:r w:rsidRPr="00611004">
        <w:t>GALLEN, C., DEVLIN, M., THOMPSON, K., PAXMAN, C. &amp; MUELLER, J. 2014. Pesticide monitoring in inshore waters of the Great Barrier Reef using both time-integrated and event monitoring techniques (2013 - 2014). The University of Queensland, The National Research Centre for Environmental Toxicology (Entox).</w:t>
      </w:r>
    </w:p>
    <w:p w14:paraId="61FB67D4" w14:textId="77777777" w:rsidR="00611004" w:rsidRPr="00611004" w:rsidRDefault="00611004" w:rsidP="00611004">
      <w:pPr>
        <w:pStyle w:val="EndNoteBibliography"/>
        <w:ind w:left="720" w:hanging="720"/>
      </w:pPr>
      <w:r w:rsidRPr="00611004">
        <w:t>GARZON-GARCIA, A., WALLACE, R., HUGGINS, R., TURNER, R., SMITH, R. A., ORR, D., FERGUSON, B., GARDINER, R., THOMSON, B. &amp; WARNE, M. S. J. 2015. Total suspended solids, nutrient and pesticide loads (2013–2014) for rivers that discharge to the Great Barrier Reef – Great Barrier Reef Catchment Loads Monitoring Program. Department of Science, Information Technology and Innovation. Brisbane.</w:t>
      </w:r>
    </w:p>
    <w:p w14:paraId="4B7D40DF" w14:textId="77777777" w:rsidR="00611004" w:rsidRPr="00611004" w:rsidRDefault="00611004" w:rsidP="00611004">
      <w:pPr>
        <w:pStyle w:val="EndNoteBibliography"/>
        <w:ind w:left="720" w:hanging="720"/>
      </w:pPr>
      <w:r w:rsidRPr="00611004">
        <w:t>GBRMPA 2010. Water Quality Guidelines for the Great Barrier Reef Marine Park. Revised Edition 2010. Great Barrier Reef Marine Park Authority, Townsville.</w:t>
      </w:r>
    </w:p>
    <w:p w14:paraId="5480B54A" w14:textId="77777777" w:rsidR="00611004" w:rsidRPr="00611004" w:rsidRDefault="00611004" w:rsidP="00611004">
      <w:pPr>
        <w:pStyle w:val="EndNoteBibliography"/>
        <w:ind w:left="720" w:hanging="720"/>
      </w:pPr>
      <w:r w:rsidRPr="00611004">
        <w:t>GBRMPA 2013a. Great Barrier Reef Region Strategic Assessment: Strategic assessment report. Great Barrier Reef Marine Park Authority, Townsville.</w:t>
      </w:r>
    </w:p>
    <w:p w14:paraId="3E5C0B7B" w14:textId="77777777" w:rsidR="00611004" w:rsidRPr="00611004" w:rsidRDefault="00611004" w:rsidP="00611004">
      <w:pPr>
        <w:pStyle w:val="EndNoteBibliography"/>
        <w:ind w:left="720" w:hanging="720"/>
      </w:pPr>
      <w:r w:rsidRPr="00611004">
        <w:t>GBRMPA 2013b. Reef Water Quality Protection Plan 2013. Reef Water Quality Protection Plan Secretariat, July 2013. Great Barrier Reef Marine Park Authority, Townsville.</w:t>
      </w:r>
    </w:p>
    <w:p w14:paraId="3B0D2048" w14:textId="77777777" w:rsidR="00611004" w:rsidRPr="00611004" w:rsidRDefault="00611004" w:rsidP="00611004">
      <w:pPr>
        <w:pStyle w:val="EndNoteBibliography"/>
        <w:ind w:left="720" w:hanging="720"/>
      </w:pPr>
      <w:r w:rsidRPr="00611004">
        <w:t>GBRMPA 2014. Great Barrier Reef Outlook Report 2014. Great Barrier Reef Marine Park Authority, Townsville.</w:t>
      </w:r>
    </w:p>
    <w:p w14:paraId="7705A9CD" w14:textId="77777777" w:rsidR="00611004" w:rsidRPr="00611004" w:rsidRDefault="00611004" w:rsidP="00611004">
      <w:pPr>
        <w:pStyle w:val="EndNoteBibliography"/>
        <w:ind w:left="720" w:hanging="720"/>
      </w:pPr>
      <w:r w:rsidRPr="00611004">
        <w:t xml:space="preserve">JONES, R. J. &amp; KERSWELL, A. P. 2003. Phytotoxicity of photosystem II (PSII) herbicides to coral. </w:t>
      </w:r>
      <w:r w:rsidRPr="00611004">
        <w:rPr>
          <w:i/>
        </w:rPr>
        <w:t>Marine Ecology Progress Series,</w:t>
      </w:r>
      <w:r w:rsidRPr="00611004">
        <w:t xml:space="preserve"> 261</w:t>
      </w:r>
      <w:r w:rsidRPr="00611004">
        <w:rPr>
          <w:b/>
        </w:rPr>
        <w:t>,</w:t>
      </w:r>
      <w:r w:rsidRPr="00611004">
        <w:t xml:space="preserve"> 149-159.</w:t>
      </w:r>
    </w:p>
    <w:p w14:paraId="443AB864" w14:textId="77777777" w:rsidR="00611004" w:rsidRPr="00611004" w:rsidRDefault="00611004" w:rsidP="00611004">
      <w:pPr>
        <w:pStyle w:val="EndNoteBibliography"/>
        <w:ind w:left="720" w:hanging="720"/>
      </w:pPr>
      <w:r w:rsidRPr="00611004">
        <w:t xml:space="preserve">KASERZON, S., HAWKER, D. W., KENNEDY, K., BARTKOW, M., CARTER, S., BOOIJ, K. &amp; MUELLER, J. 2014. Characterisation and comparison of the uptake of ionizable and polar pesticides, pharmaceuticals and personal care products by POCIS and Chemcatchers. </w:t>
      </w:r>
      <w:r w:rsidRPr="00611004">
        <w:rPr>
          <w:i/>
        </w:rPr>
        <w:t>Environmental Science: Processes &amp; Impacts,</w:t>
      </w:r>
      <w:r w:rsidRPr="00611004">
        <w:t xml:space="preserve"> 16</w:t>
      </w:r>
      <w:r w:rsidRPr="00611004">
        <w:rPr>
          <w:b/>
        </w:rPr>
        <w:t>,</w:t>
      </w:r>
      <w:r w:rsidRPr="00611004">
        <w:t xml:space="preserve"> 2517-2526.</w:t>
      </w:r>
    </w:p>
    <w:p w14:paraId="47868BAA" w14:textId="77777777" w:rsidR="00611004" w:rsidRPr="00611004" w:rsidRDefault="00611004" w:rsidP="00611004">
      <w:pPr>
        <w:pStyle w:val="EndNoteBibliography"/>
        <w:ind w:left="720" w:hanging="720"/>
      </w:pPr>
      <w:r w:rsidRPr="00611004">
        <w:t>KENNEDY, K., BENTLEY, C., PAXMAN, C., DUNN, A., HEFFERNAN, A., KASERZON, S. &amp; MUELLER, J. 2010. Final Report-Monitoring of organic chemicals in the Great Barrier Reef Marine Park using time integrated monitoring tools (2009-2010).</w:t>
      </w:r>
    </w:p>
    <w:p w14:paraId="3EEE071B" w14:textId="77777777" w:rsidR="00611004" w:rsidRPr="00611004" w:rsidRDefault="00611004" w:rsidP="00611004">
      <w:pPr>
        <w:pStyle w:val="EndNoteBibliography"/>
        <w:ind w:left="720" w:hanging="720"/>
      </w:pPr>
      <w:r w:rsidRPr="00611004">
        <w:t>KENNEDY, K., DEVLIN, M., BENTLEY, C., PAXMAN, C., CHUE, K. &amp; MUELLER, J. 2012. Pesticide monitoring in inshore waters of the Great Barrier Reef using both time-integrated and event monitoring techniques (2010-2011). The University of Queensland, The National Research Centre for Environmental Toxicology (Entox).</w:t>
      </w:r>
    </w:p>
    <w:p w14:paraId="3F34D7B5" w14:textId="77777777" w:rsidR="00611004" w:rsidRPr="00611004" w:rsidRDefault="00611004" w:rsidP="00611004">
      <w:pPr>
        <w:pStyle w:val="EndNoteBibliography"/>
        <w:ind w:left="720" w:hanging="720"/>
      </w:pPr>
      <w:r w:rsidRPr="00611004">
        <w:t>KROON, F., TURNER, R., SMITH, R., WARNE, M., HUNTER, H., BARTLEY, R., WILKINSON, S., LEWIS, S., WATERS, D. &amp; CARROLL, C. 2013. 2013 Scientific Consensus Statement: Chapter 4 Sources of sediment, nutrients, pesticides and other pollutants in the Great Barrier Reef catchment.</w:t>
      </w:r>
    </w:p>
    <w:p w14:paraId="19100FAB" w14:textId="77777777" w:rsidR="00611004" w:rsidRPr="00611004" w:rsidRDefault="00611004" w:rsidP="00611004">
      <w:pPr>
        <w:pStyle w:val="EndNoteBibliography"/>
        <w:ind w:left="720" w:hanging="720"/>
      </w:pPr>
      <w:r w:rsidRPr="00611004">
        <w:lastRenderedPageBreak/>
        <w:t xml:space="preserve">KROON, F. J., KUHNERT, P. M., HENDERSON, B. L., WILKINSON, S. N., KINSEY-HENDERSON, A., ABBOTT, B., BRODIE, J. E. &amp; TURNER, R. D. 2012. River loads of suspended solids, nitrogen, phosphorus and herbicides delivered to the Great Barrier Reef lagoon. </w:t>
      </w:r>
      <w:r w:rsidRPr="00611004">
        <w:rPr>
          <w:i/>
        </w:rPr>
        <w:t>Marine pollution bulletin,</w:t>
      </w:r>
      <w:r w:rsidRPr="00611004">
        <w:t xml:space="preserve"> 65</w:t>
      </w:r>
      <w:r w:rsidRPr="00611004">
        <w:rPr>
          <w:b/>
        </w:rPr>
        <w:t>,</w:t>
      </w:r>
      <w:r w:rsidRPr="00611004">
        <w:t xml:space="preserve"> 167-81.</w:t>
      </w:r>
    </w:p>
    <w:p w14:paraId="1EB0803C" w14:textId="77777777" w:rsidR="00611004" w:rsidRPr="00611004" w:rsidRDefault="00611004" w:rsidP="00611004">
      <w:pPr>
        <w:pStyle w:val="EndNoteBibliography"/>
        <w:ind w:left="720" w:hanging="720"/>
      </w:pPr>
      <w:r w:rsidRPr="00611004">
        <w:t>KUHNERT, P. M., LIU, Y., HENDERSON, B., DAMBACHER, J., LAWRENCE, E. &amp; KROON, F. 2014. Review of the Marine Monitoring Program (MMP), Final Report for the Great Barrier Reef Marine Park Authority (GBRMPA). CSIRO, Australia.</w:t>
      </w:r>
    </w:p>
    <w:p w14:paraId="6F718EF5" w14:textId="77777777" w:rsidR="00611004" w:rsidRPr="00611004" w:rsidRDefault="00611004" w:rsidP="00611004">
      <w:pPr>
        <w:pStyle w:val="EndNoteBibliography"/>
        <w:ind w:left="720" w:hanging="720"/>
      </w:pPr>
      <w:r w:rsidRPr="00611004">
        <w:t>LARSON, J., LEON, J., MCGRATH, C. &amp; TRANCOSO, R. 2013. Review of the catchment processes relevant to the Great Barrier Reef region. Great Barrier Reef Marine Park Authority, Townsville.</w:t>
      </w:r>
    </w:p>
    <w:p w14:paraId="3BABF6F3" w14:textId="77777777" w:rsidR="00611004" w:rsidRPr="00611004" w:rsidRDefault="00611004" w:rsidP="00611004">
      <w:pPr>
        <w:pStyle w:val="EndNoteBibliography"/>
        <w:ind w:left="720" w:hanging="720"/>
      </w:pPr>
      <w:r w:rsidRPr="00611004">
        <w:t xml:space="preserve">LEWIS, S., BRODIE, J., ANDERSEN, J., ARMOUR, J., BAILLIE, C., DAVIS, A., EAGLESHAM, G., ELLEDGE, A., FILLOLS, E., FLORES, F., GALLEN, C., KOOKANA, R., MCHUGH, J., MASTERS, B., MERCURIO, P., MORTIMORE, C., MUELLER, J., NEGRI, A., O’BRIEN, D., OLIVER, D., PACKETT, B., PAXMAN, C., ROJAS-PONCE, S., SHAW, M., SILBURN, M., SMITH, R., THORNTON, C., TURNER, R. &amp; WARNE, M. 2014. Pesticide Dynamics in the Great Barrier Reef Catchment and Lagoon: Management Practices (Sugar, Grazing, Bananas) and Risk Assessments: Overview report for project number RRRD037 and RRRD038. Report to the Reef Rescue Water Quality Research &amp; Development Program. Reef and Rainforest Research Centre , Cairns </w:t>
      </w:r>
    </w:p>
    <w:p w14:paraId="2C64BED0" w14:textId="77777777" w:rsidR="00611004" w:rsidRPr="00611004" w:rsidRDefault="00611004" w:rsidP="00611004">
      <w:pPr>
        <w:pStyle w:val="EndNoteBibliography"/>
        <w:ind w:left="720" w:hanging="720"/>
      </w:pPr>
      <w:r w:rsidRPr="00611004">
        <w:t>LEWIS, S., BRODIE, J. E., LEDEE, E. &amp; ALEWIJNSE, M. 2006. The Spatial Extent of Delivery of Terrestrial Materials from the Burdekin Region in the GBR Lagoon ACTFR Report No. 06/02 Australian Centre for Tropical Freshwater Research,  Burdekin Dry Tropics NRM.</w:t>
      </w:r>
    </w:p>
    <w:p w14:paraId="6AF8CAA4" w14:textId="77777777" w:rsidR="00611004" w:rsidRPr="00611004" w:rsidRDefault="00611004" w:rsidP="00611004">
      <w:pPr>
        <w:pStyle w:val="EndNoteBibliography"/>
        <w:ind w:left="720" w:hanging="720"/>
      </w:pPr>
      <w:r w:rsidRPr="00611004">
        <w:t xml:space="preserve">LEWIS, S. E., BRODIE, J. E., BAINBRIDGE, Z. T., ROHDE, K. W., DAVIS, A. M., MASTERS, B. L., MAUGHAN, M., DEVLIN, M. J., MUELLER, J. F. &amp; SCHAFFELKE, B. 2009. Herbicides: a new threat to the Great Barrier Reef. </w:t>
      </w:r>
      <w:r w:rsidRPr="00611004">
        <w:rPr>
          <w:i/>
        </w:rPr>
        <w:t>Environmental Pollution,</w:t>
      </w:r>
      <w:r w:rsidRPr="00611004">
        <w:t xml:space="preserve"> 157</w:t>
      </w:r>
      <w:r w:rsidRPr="00611004">
        <w:rPr>
          <w:b/>
        </w:rPr>
        <w:t>,</w:t>
      </w:r>
      <w:r w:rsidRPr="00611004">
        <w:t xml:space="preserve"> 2470-2484.</w:t>
      </w:r>
    </w:p>
    <w:p w14:paraId="6E522622" w14:textId="77777777" w:rsidR="00611004" w:rsidRPr="00611004" w:rsidRDefault="00611004" w:rsidP="00611004">
      <w:pPr>
        <w:pStyle w:val="EndNoteBibliography"/>
        <w:ind w:left="720" w:hanging="720"/>
      </w:pPr>
      <w:r w:rsidRPr="00611004">
        <w:t>LEWIS, S. E., SILBURN, D. M., SHAW, M., DAVIS, A., O’BRIEN, D. S., OLIVER, D., BRODIE, J. E., ANDERSEN, J. S., KOOKANA, R., FILLOLS, E., ROJAS-PONCE, S., MCHUGH, J. &amp; BAILLIE, C. 2013. Pesticides in the sugarcane industry: an evaluation of improved management practices. Report to the Reef Rescue Water Quality Research &amp; Development Program. Reef and Rainforest Research Centre, Cairns.</w:t>
      </w:r>
    </w:p>
    <w:p w14:paraId="10DE0016" w14:textId="77777777" w:rsidR="00611004" w:rsidRPr="00611004" w:rsidRDefault="00611004" w:rsidP="00611004">
      <w:pPr>
        <w:pStyle w:val="EndNoteBibliography"/>
        <w:ind w:left="720" w:hanging="720"/>
      </w:pPr>
      <w:r w:rsidRPr="00611004">
        <w:t xml:space="preserve">MAGNUSSON, M., HEIMANN, K., QUAYLE, P. &amp; NEGRI, A. P. 2010. Additive toxicity of herbicide mixtures and comparative sensitivity of tropical benthic microalgae. </w:t>
      </w:r>
      <w:r w:rsidRPr="00611004">
        <w:rPr>
          <w:i/>
        </w:rPr>
        <w:t>Marine Pollution Bulletin,</w:t>
      </w:r>
      <w:r w:rsidRPr="00611004">
        <w:t xml:space="preserve"> 60</w:t>
      </w:r>
      <w:r w:rsidRPr="00611004">
        <w:rPr>
          <w:b/>
        </w:rPr>
        <w:t>,</w:t>
      </w:r>
      <w:r w:rsidRPr="00611004">
        <w:t xml:space="preserve"> 1978-1987.</w:t>
      </w:r>
    </w:p>
    <w:p w14:paraId="7E5D7447" w14:textId="77777777" w:rsidR="00611004" w:rsidRPr="00611004" w:rsidRDefault="00611004" w:rsidP="00611004">
      <w:pPr>
        <w:pStyle w:val="EndNoteBibliography"/>
        <w:ind w:left="720" w:hanging="720"/>
      </w:pPr>
      <w:r w:rsidRPr="00611004">
        <w:t xml:space="preserve">MAGNUSSON, M., HEIMANN, K., RIDD, M. &amp; NEGRI, A. P. 2012. Chronic herbicide exposures affect the sensitivity and community structure of tropical benthic microalgae. </w:t>
      </w:r>
      <w:r w:rsidRPr="00611004">
        <w:rPr>
          <w:i/>
        </w:rPr>
        <w:t>Marine pollution bulletin,</w:t>
      </w:r>
      <w:r w:rsidRPr="00611004">
        <w:t xml:space="preserve"> 65</w:t>
      </w:r>
      <w:r w:rsidRPr="00611004">
        <w:rPr>
          <w:b/>
        </w:rPr>
        <w:t>,</w:t>
      </w:r>
      <w:r w:rsidRPr="00611004">
        <w:t xml:space="preserve"> 363-372.</w:t>
      </w:r>
    </w:p>
    <w:p w14:paraId="1251A6BC" w14:textId="77777777" w:rsidR="00611004" w:rsidRPr="00611004" w:rsidRDefault="00611004" w:rsidP="00611004">
      <w:pPr>
        <w:pStyle w:val="EndNoteBibliography"/>
        <w:ind w:left="720" w:hanging="720"/>
      </w:pPr>
      <w:r w:rsidRPr="00611004">
        <w:t xml:space="preserve">MULLER, R., SCHREIBER, U., ESCHER, B. I., QUAYLE, P., NASH, S. M. B. &amp; MUELLER, J. F. 2008. Rapid exposure assessment of PSII herbicides in surface water using a novel chlorophyll a fluorescence imaging assay. </w:t>
      </w:r>
      <w:r w:rsidRPr="00611004">
        <w:rPr>
          <w:i/>
        </w:rPr>
        <w:t>Science of the Total Environment,</w:t>
      </w:r>
      <w:r w:rsidRPr="00611004">
        <w:t xml:space="preserve"> 401</w:t>
      </w:r>
      <w:r w:rsidRPr="00611004">
        <w:rPr>
          <w:b/>
        </w:rPr>
        <w:t>,</w:t>
      </w:r>
      <w:r w:rsidRPr="00611004">
        <w:t xml:space="preserve"> 51-59.</w:t>
      </w:r>
    </w:p>
    <w:p w14:paraId="3F8AD536" w14:textId="77777777" w:rsidR="00611004" w:rsidRPr="00611004" w:rsidRDefault="00611004" w:rsidP="00611004">
      <w:pPr>
        <w:pStyle w:val="EndNoteBibliography"/>
        <w:ind w:left="720" w:hanging="720"/>
      </w:pPr>
      <w:r w:rsidRPr="00611004">
        <w:t xml:space="preserve">NASH, S. B., MCMAHON, K., EAGLESHAM, G. &amp; MÜLLER, J. 2005. Application of a novel phytotoxicity assay for the detection of herbicides in Hervey Bay and the Great Sandy Straits. </w:t>
      </w:r>
      <w:r w:rsidRPr="00611004">
        <w:rPr>
          <w:i/>
        </w:rPr>
        <w:t>Marine Pollution Bulletin,</w:t>
      </w:r>
      <w:r w:rsidRPr="00611004">
        <w:t xml:space="preserve"> 51</w:t>
      </w:r>
      <w:r w:rsidRPr="00611004">
        <w:rPr>
          <w:b/>
        </w:rPr>
        <w:t>,</w:t>
      </w:r>
      <w:r w:rsidRPr="00611004">
        <w:t xml:space="preserve"> 351-360.</w:t>
      </w:r>
    </w:p>
    <w:p w14:paraId="5D297402" w14:textId="77777777" w:rsidR="00611004" w:rsidRPr="00611004" w:rsidRDefault="00611004" w:rsidP="00611004">
      <w:pPr>
        <w:pStyle w:val="EndNoteBibliography"/>
        <w:ind w:left="720" w:hanging="720"/>
      </w:pPr>
      <w:r w:rsidRPr="00611004">
        <w:t xml:space="preserve">NEGRI, A., VOLLHARDT, C., HUMPHREY, C., HEYWARD, A., JONES, R., EAGLESHAM, G. &amp; FABRICIUS, K. 2005. Effects of the herbicide diuron on the early life history stages of coral. </w:t>
      </w:r>
      <w:r w:rsidRPr="00611004">
        <w:rPr>
          <w:i/>
        </w:rPr>
        <w:t>Marine Pollution Bulletin,</w:t>
      </w:r>
      <w:r w:rsidRPr="00611004">
        <w:t xml:space="preserve"> 51</w:t>
      </w:r>
      <w:r w:rsidRPr="00611004">
        <w:rPr>
          <w:b/>
        </w:rPr>
        <w:t>,</w:t>
      </w:r>
      <w:r w:rsidRPr="00611004">
        <w:t xml:space="preserve"> 370-383.</w:t>
      </w:r>
    </w:p>
    <w:p w14:paraId="552FDC57" w14:textId="77777777" w:rsidR="00611004" w:rsidRPr="00611004" w:rsidRDefault="00611004" w:rsidP="00611004">
      <w:pPr>
        <w:pStyle w:val="EndNoteBibliography"/>
        <w:ind w:left="720" w:hanging="720"/>
      </w:pPr>
      <w:r w:rsidRPr="00611004">
        <w:t xml:space="preserve">NEGRI, A. P., FLORES, F., MERCURIO, P., MUELLER, J. F. &amp; COLLIER, C. J. 2015. Lethal and sub-lethal chronic effects of the herbicide diuron on seagrass. </w:t>
      </w:r>
      <w:r w:rsidRPr="00611004">
        <w:rPr>
          <w:i/>
        </w:rPr>
        <w:t>Aquatic Toxicology,</w:t>
      </w:r>
      <w:r w:rsidRPr="00611004">
        <w:t xml:space="preserve"> 165</w:t>
      </w:r>
      <w:r w:rsidRPr="00611004">
        <w:rPr>
          <w:b/>
        </w:rPr>
        <w:t>,</w:t>
      </w:r>
      <w:r w:rsidRPr="00611004">
        <w:t xml:space="preserve"> 73-83.</w:t>
      </w:r>
    </w:p>
    <w:p w14:paraId="4E5A7B64" w14:textId="77777777" w:rsidR="00611004" w:rsidRPr="00611004" w:rsidRDefault="00611004" w:rsidP="00611004">
      <w:pPr>
        <w:pStyle w:val="EndNoteBibliography"/>
        <w:ind w:left="720" w:hanging="720"/>
      </w:pPr>
      <w:r w:rsidRPr="00611004">
        <w:t xml:space="preserve">NEGRI, A. P., FLORES, F., RÖTHIG, T. &amp; UTHICKE, S. 2011. Herbicides increase the vulnerability of corals to rising sea surface temperature. </w:t>
      </w:r>
      <w:r w:rsidRPr="00611004">
        <w:rPr>
          <w:i/>
        </w:rPr>
        <w:t>Limnology and Oceanography,</w:t>
      </w:r>
      <w:r w:rsidRPr="00611004">
        <w:t xml:space="preserve"> 56</w:t>
      </w:r>
      <w:r w:rsidRPr="00611004">
        <w:rPr>
          <w:b/>
        </w:rPr>
        <w:t>,</w:t>
      </w:r>
      <w:r w:rsidRPr="00611004">
        <w:t xml:space="preserve"> 471-485.</w:t>
      </w:r>
    </w:p>
    <w:p w14:paraId="6786A198" w14:textId="77777777" w:rsidR="00611004" w:rsidRPr="00611004" w:rsidRDefault="00611004" w:rsidP="00611004">
      <w:pPr>
        <w:pStyle w:val="EndNoteBibliography"/>
        <w:ind w:left="720" w:hanging="720"/>
      </w:pPr>
      <w:r w:rsidRPr="00611004">
        <w:t xml:space="preserve">NEGRI, A. P., MERCURIO, P., FLORES, F. &amp; MUELLER, J. F. 2014. Pesticide dynamics in the Great Barrier Reef catchment and lagoon: grazing, bananas and grain. Herbicide persistence in the marine environment. Report to the Reef Rescue Water Quality Research &amp; Development Program. Reef and Rainforest Research Centre Limited, Cairns </w:t>
      </w:r>
    </w:p>
    <w:p w14:paraId="3A90A25F" w14:textId="77777777" w:rsidR="00611004" w:rsidRPr="00611004" w:rsidRDefault="00611004" w:rsidP="00611004">
      <w:pPr>
        <w:pStyle w:val="EndNoteBibliography"/>
        <w:ind w:left="720" w:hanging="720"/>
      </w:pPr>
      <w:r w:rsidRPr="00611004">
        <w:t xml:space="preserve">O’BRIEN, D., BARTKOW, M. &amp; MUELLER, J. F. 2011a. Determination of deployment specific chemical uptake rates for SDB-RPD Empore disk using a passive flow monitor (PFM). </w:t>
      </w:r>
      <w:r w:rsidRPr="00611004">
        <w:rPr>
          <w:i/>
        </w:rPr>
        <w:t>Chemosphere,</w:t>
      </w:r>
      <w:r w:rsidRPr="00611004">
        <w:t xml:space="preserve"> 83</w:t>
      </w:r>
      <w:r w:rsidRPr="00611004">
        <w:rPr>
          <w:b/>
        </w:rPr>
        <w:t>,</w:t>
      </w:r>
      <w:r w:rsidRPr="00611004">
        <w:t xml:space="preserve"> 1290-1295.</w:t>
      </w:r>
    </w:p>
    <w:p w14:paraId="0EC2A417" w14:textId="77777777" w:rsidR="00611004" w:rsidRPr="00611004" w:rsidRDefault="00611004" w:rsidP="00611004">
      <w:pPr>
        <w:pStyle w:val="EndNoteBibliography"/>
        <w:ind w:left="720" w:hanging="720"/>
      </w:pPr>
      <w:r w:rsidRPr="00611004">
        <w:t xml:space="preserve">O’BRIEN, D., LEWIS, S., DAVIS, A., GALLEN, C., SMITH, R., TURNER, R., WARNE, M., TURNER, S., CASWELL, S. &amp; MUELLER, J. F. 2016. Spatial and temporal variability in pesticide exposure downstream of a heavily irrigated cropping area: application of different monitoring techniques. </w:t>
      </w:r>
      <w:r w:rsidRPr="00611004">
        <w:rPr>
          <w:i/>
        </w:rPr>
        <w:t>Journal of agricultural and food chemistry,</w:t>
      </w:r>
      <w:r w:rsidRPr="00611004">
        <w:t xml:space="preserve"> 64</w:t>
      </w:r>
      <w:r w:rsidRPr="00611004">
        <w:rPr>
          <w:b/>
        </w:rPr>
        <w:t>,</w:t>
      </w:r>
      <w:r w:rsidRPr="00611004">
        <w:t xml:space="preserve"> 3975-3989.</w:t>
      </w:r>
    </w:p>
    <w:p w14:paraId="60C641CB" w14:textId="77777777" w:rsidR="00611004" w:rsidRPr="00611004" w:rsidRDefault="00611004" w:rsidP="00611004">
      <w:pPr>
        <w:pStyle w:val="EndNoteBibliography"/>
        <w:ind w:left="720" w:hanging="720"/>
      </w:pPr>
      <w:r w:rsidRPr="00611004">
        <w:lastRenderedPageBreak/>
        <w:t xml:space="preserve">O’BRIEN, D. S., BOOIJ, K., HAWKER, D. W. &amp; MUELLER, J. F. 2011b. Method for the in situ calibration of a passive phosphate sampler in estuarine and marine waters. </w:t>
      </w:r>
      <w:r w:rsidRPr="00611004">
        <w:rPr>
          <w:i/>
        </w:rPr>
        <w:t>Environmental science &amp; technology,</w:t>
      </w:r>
      <w:r w:rsidRPr="00611004">
        <w:t xml:space="preserve"> 45</w:t>
      </w:r>
      <w:r w:rsidRPr="00611004">
        <w:rPr>
          <w:b/>
        </w:rPr>
        <w:t>,</w:t>
      </w:r>
      <w:r w:rsidRPr="00611004">
        <w:t xml:space="preserve"> 2871-2877.</w:t>
      </w:r>
    </w:p>
    <w:p w14:paraId="637EC9ED" w14:textId="77777777" w:rsidR="00611004" w:rsidRPr="00611004" w:rsidRDefault="00611004" w:rsidP="00611004">
      <w:pPr>
        <w:pStyle w:val="EndNoteBibliography"/>
        <w:ind w:left="720" w:hanging="720"/>
      </w:pPr>
      <w:r w:rsidRPr="00611004">
        <w:t>SCHAFFELKE, B., CARLETON, J., DOYLE, J., FURNAS, M., GUNN, K., SKUZA, M., WRIGHT, M. &amp; ZAGORSKIS, I. 2011. Reef Rescue Marine Monitoring Program. Final Report of AIMS Activities 2010/11– Inshore Water Quality Monitoring. Australian Institute of Marine Science, Townsville.</w:t>
      </w:r>
    </w:p>
    <w:p w14:paraId="7EAA0AAD" w14:textId="77777777" w:rsidR="00611004" w:rsidRPr="00611004" w:rsidRDefault="00611004" w:rsidP="00611004">
      <w:pPr>
        <w:pStyle w:val="EndNoteBibliography"/>
        <w:ind w:left="720" w:hanging="720"/>
      </w:pPr>
      <w:r w:rsidRPr="00611004">
        <w:t xml:space="preserve">SCHMIDT, S. 2005. Development and evaluation of the Maxi-Imaging-PAM algae assay using 96 well plates. </w:t>
      </w:r>
      <w:r w:rsidRPr="00611004">
        <w:rPr>
          <w:i/>
        </w:rPr>
        <w:t>The National Research Centre for Environmental Toxicology</w:t>
      </w:r>
      <w:r w:rsidRPr="00611004">
        <w:t>.</w:t>
      </w:r>
    </w:p>
    <w:p w14:paraId="30A6CA18" w14:textId="77777777" w:rsidR="00611004" w:rsidRPr="00611004" w:rsidRDefault="00611004" w:rsidP="00611004">
      <w:pPr>
        <w:pStyle w:val="EndNoteBibliography"/>
        <w:ind w:left="720" w:hanging="720"/>
      </w:pPr>
      <w:r w:rsidRPr="00611004">
        <w:t xml:space="preserve">SHAW, M., EAGLESHAM, G. &amp; MUELLER, J. F. 2009. Uptake and release of polar compounds in SDB-RPS Empore™ disks; implications for their use as passive samplers. </w:t>
      </w:r>
      <w:r w:rsidRPr="00611004">
        <w:rPr>
          <w:i/>
        </w:rPr>
        <w:t>Chemosphere,</w:t>
      </w:r>
      <w:r w:rsidRPr="00611004">
        <w:t xml:space="preserve"> 75</w:t>
      </w:r>
      <w:r w:rsidRPr="00611004">
        <w:rPr>
          <w:b/>
        </w:rPr>
        <w:t>,</w:t>
      </w:r>
      <w:r w:rsidRPr="00611004">
        <w:t xml:space="preserve"> 1-7.</w:t>
      </w:r>
    </w:p>
    <w:p w14:paraId="0C327E62" w14:textId="77777777" w:rsidR="00611004" w:rsidRPr="00611004" w:rsidRDefault="00611004" w:rsidP="00611004">
      <w:pPr>
        <w:pStyle w:val="EndNoteBibliography"/>
        <w:ind w:left="720" w:hanging="720"/>
      </w:pPr>
      <w:r w:rsidRPr="00611004">
        <w:t xml:space="preserve">SHAW, M. &amp; MUELLER, J. F. 2009. Time Integrative Passive Sampling: How Well Do Chemcatchers Integrate Fluctuating Pollutant Concentrations? </w:t>
      </w:r>
      <w:r w:rsidRPr="00611004">
        <w:rPr>
          <w:i/>
        </w:rPr>
        <w:t>Environmental Science &amp; Technology,</w:t>
      </w:r>
      <w:r w:rsidRPr="00611004">
        <w:t xml:space="preserve"> 43</w:t>
      </w:r>
      <w:r w:rsidRPr="00611004">
        <w:rPr>
          <w:b/>
        </w:rPr>
        <w:t>,</w:t>
      </w:r>
      <w:r w:rsidRPr="00611004">
        <w:t xml:space="preserve"> 1443-1448.</w:t>
      </w:r>
    </w:p>
    <w:p w14:paraId="106C67B4" w14:textId="77777777" w:rsidR="00611004" w:rsidRPr="00611004" w:rsidRDefault="00611004" w:rsidP="00611004">
      <w:pPr>
        <w:pStyle w:val="EndNoteBibliography"/>
        <w:ind w:left="720" w:hanging="720"/>
      </w:pPr>
      <w:r w:rsidRPr="00611004">
        <w:t xml:space="preserve">SMITH, R., MIDDLEBROOK, R., TURNER, R., HUGGINS, R., VARDY, S. &amp; WARNE, M. 2012. Large-scale pesticide monitoring across Great Barrier Reef catchments–paddock to reef integrated monitoring, modelling and reporting program. </w:t>
      </w:r>
      <w:r w:rsidRPr="00611004">
        <w:rPr>
          <w:i/>
        </w:rPr>
        <w:t>Marine pollution bulletin,</w:t>
      </w:r>
      <w:r w:rsidRPr="00611004">
        <w:t xml:space="preserve"> 65</w:t>
      </w:r>
      <w:r w:rsidRPr="00611004">
        <w:rPr>
          <w:b/>
        </w:rPr>
        <w:t>,</w:t>
      </w:r>
      <w:r w:rsidRPr="00611004">
        <w:t xml:space="preserve"> 117-127.</w:t>
      </w:r>
    </w:p>
    <w:p w14:paraId="550109C2" w14:textId="77777777" w:rsidR="00611004" w:rsidRPr="00611004" w:rsidRDefault="00611004" w:rsidP="00611004">
      <w:pPr>
        <w:pStyle w:val="EndNoteBibliography"/>
        <w:ind w:left="720" w:hanging="720"/>
      </w:pPr>
      <w:r w:rsidRPr="00611004">
        <w:t>SMITH, R., TURNER, R., VARDY, S., HUGGINS, R., WALLACE, R. &amp; WARNE, M. S. J. 2015. An evaluation of the prevalence of alternate pesticides of environmental concern in Great Barrier Reef catchments: RP57C. . Department of Science, Information Technology, Innovation and the Arts. Brisbane.</w:t>
      </w:r>
    </w:p>
    <w:p w14:paraId="78F63552" w14:textId="77777777" w:rsidR="00611004" w:rsidRPr="00611004" w:rsidRDefault="00611004" w:rsidP="00611004">
      <w:pPr>
        <w:pStyle w:val="EndNoteBibliography"/>
        <w:ind w:left="720" w:hanging="720"/>
      </w:pPr>
      <w:r w:rsidRPr="00611004">
        <w:t xml:space="preserve">STEPHENS, B. S., KAPERNICK, A., EAGLESHAM, G. &amp; MUELLER, J. 2005. Aquatic passive sampling of herbicides on naked particle loaded membranes: accelerated measurement and empirical estimation of kinetic parameters. </w:t>
      </w:r>
      <w:r w:rsidRPr="00611004">
        <w:rPr>
          <w:i/>
        </w:rPr>
        <w:t>Environmental science &amp; technology,</w:t>
      </w:r>
      <w:r w:rsidRPr="00611004">
        <w:t xml:space="preserve"> 39</w:t>
      </w:r>
      <w:r w:rsidRPr="00611004">
        <w:rPr>
          <w:b/>
        </w:rPr>
        <w:t>,</w:t>
      </w:r>
      <w:r w:rsidRPr="00611004">
        <w:t xml:space="preserve"> 8891-8897.</w:t>
      </w:r>
    </w:p>
    <w:p w14:paraId="48587F3C" w14:textId="77777777" w:rsidR="00611004" w:rsidRPr="00611004" w:rsidRDefault="00611004" w:rsidP="00611004">
      <w:pPr>
        <w:pStyle w:val="EndNoteBibliography"/>
        <w:ind w:left="720" w:hanging="720"/>
      </w:pPr>
      <w:r w:rsidRPr="00611004">
        <w:t xml:space="preserve">STEPHENS, B. S., KAPERNICK, A. P., EAGLESHAM, G. &amp; MUELLER, J. F. 2009. Event monitoring of herbicides with naked and membrane-covered Empore disk integrative passive sampling devices. </w:t>
      </w:r>
      <w:r w:rsidRPr="00611004">
        <w:rPr>
          <w:i/>
        </w:rPr>
        <w:t>Marine pollution bulletin,</w:t>
      </w:r>
      <w:r w:rsidRPr="00611004">
        <w:t xml:space="preserve"> 58</w:t>
      </w:r>
      <w:r w:rsidRPr="00611004">
        <w:rPr>
          <w:b/>
        </w:rPr>
        <w:t>,</w:t>
      </w:r>
      <w:r w:rsidRPr="00611004">
        <w:t xml:space="preserve"> 1116-1122.</w:t>
      </w:r>
    </w:p>
    <w:p w14:paraId="4E4CB024" w14:textId="77777777" w:rsidR="00611004" w:rsidRPr="00611004" w:rsidRDefault="00611004" w:rsidP="00611004">
      <w:pPr>
        <w:pStyle w:val="EndNoteBibliography"/>
        <w:ind w:left="720" w:hanging="720"/>
      </w:pPr>
      <w:r w:rsidRPr="00611004">
        <w:t>TRAAS, T. P., VAN DE MEENT, D., POSTHUMA, L., HAMERS, T., KATER, B. J., DE ZWART, D. &amp; ALDENBERG, T. 2002. The potentially affected fraction as a measure of ecological risk. CRC Press: Boca Raton, FL.</w:t>
      </w:r>
    </w:p>
    <w:p w14:paraId="324508D4" w14:textId="77777777" w:rsidR="00611004" w:rsidRPr="00611004" w:rsidRDefault="00611004" w:rsidP="00611004">
      <w:pPr>
        <w:pStyle w:val="EndNoteBibliography"/>
        <w:ind w:left="720" w:hanging="720"/>
      </w:pPr>
      <w:r w:rsidRPr="00611004">
        <w:t>TURNER, R., HUGGINS, R., WALLACE, R., SMITH, R., VARDY, S. &amp; WARNE, M. S. J. 2012. Sediment, nutrient, and pesticide loads: Great Barrier Reef Catchment Loads Monitoring Program 2009–2010. Department of Science, Information Technology, Innovation and the Arts, Brisbane.</w:t>
      </w:r>
    </w:p>
    <w:p w14:paraId="1B17A864" w14:textId="77777777" w:rsidR="00611004" w:rsidRPr="00611004" w:rsidRDefault="00611004" w:rsidP="00611004">
      <w:pPr>
        <w:pStyle w:val="EndNoteBibliography"/>
        <w:ind w:left="720" w:hanging="720"/>
      </w:pPr>
      <w:r w:rsidRPr="00611004">
        <w:t>TURNER, R., HUGGINS, R., WALLACE, R., SMITH, R. &amp; WARNE, M. S. J. 2013. Total suspended solids, nutrient and pesticide loads (2010-2011) for rivers that discharge to the Great Barrier Reef Great Barrier Reef Catchment Loads Monitoring 2010-2011. Department of Science, Information Technology, Innovation and the Arts, Brisbane.</w:t>
      </w:r>
    </w:p>
    <w:p w14:paraId="1938AB77" w14:textId="77777777" w:rsidR="00611004" w:rsidRPr="00611004" w:rsidRDefault="00611004" w:rsidP="00611004">
      <w:pPr>
        <w:pStyle w:val="EndNoteBibliography"/>
        <w:ind w:left="720" w:hanging="720"/>
      </w:pPr>
      <w:r w:rsidRPr="00611004">
        <w:t xml:space="preserve">VAN DAM, J. W. 2012. </w:t>
      </w:r>
      <w:r w:rsidRPr="00611004">
        <w:rPr>
          <w:i/>
        </w:rPr>
        <w:t>Combined effects of temperature and herbicides on symbiont-bearing calcifying reef organisms.</w:t>
      </w:r>
      <w:r w:rsidRPr="00611004">
        <w:t xml:space="preserve"> PhD.</w:t>
      </w:r>
    </w:p>
    <w:p w14:paraId="7C1A5528" w14:textId="77777777" w:rsidR="00611004" w:rsidRPr="00611004" w:rsidRDefault="00611004" w:rsidP="00611004">
      <w:pPr>
        <w:pStyle w:val="EndNoteBibliography"/>
        <w:ind w:left="720" w:hanging="720"/>
      </w:pPr>
      <w:r w:rsidRPr="00611004">
        <w:t xml:space="preserve">VAN DAM, J. W., NEGRI, A. P., MUELLER, J. F., ALTENBURGER, R. &amp; UTHICKE, S. 2012. Additive Pressures of Elevated Sea Surface Temperatures and Herbicides on Symbiont-Bearing Foraminifera. </w:t>
      </w:r>
      <w:r w:rsidRPr="00611004">
        <w:rPr>
          <w:i/>
        </w:rPr>
        <w:t>PLoS ONE,</w:t>
      </w:r>
      <w:r w:rsidRPr="00611004">
        <w:t xml:space="preserve"> 7</w:t>
      </w:r>
      <w:r w:rsidRPr="00611004">
        <w:rPr>
          <w:b/>
        </w:rPr>
        <w:t>,</w:t>
      </w:r>
      <w:r w:rsidRPr="00611004">
        <w:t xml:space="preserve"> e33900.</w:t>
      </w:r>
    </w:p>
    <w:p w14:paraId="0382292C" w14:textId="77777777" w:rsidR="00611004" w:rsidRPr="00611004" w:rsidRDefault="00611004" w:rsidP="00611004">
      <w:pPr>
        <w:pStyle w:val="EndNoteBibliography"/>
        <w:ind w:left="720" w:hanging="720"/>
      </w:pPr>
      <w:r w:rsidRPr="00611004">
        <w:t xml:space="preserve">VERMEIRSSEN, E. L., BRAMAZ, N., HOLLENDER, J., SINGER, H. &amp; ESCHER, B. I. 2009. Passive sampling combined with ecotoxicological and chemical analysis of pharmaceuticals and biocides–evaluation of three Chemcatcher™ configurations. </w:t>
      </w:r>
      <w:r w:rsidRPr="00611004">
        <w:rPr>
          <w:i/>
        </w:rPr>
        <w:t>Water research,</w:t>
      </w:r>
      <w:r w:rsidRPr="00611004">
        <w:t xml:space="preserve"> 43</w:t>
      </w:r>
      <w:r w:rsidRPr="00611004">
        <w:rPr>
          <w:b/>
        </w:rPr>
        <w:t>,</w:t>
      </w:r>
      <w:r w:rsidRPr="00611004">
        <w:t xml:space="preserve"> 903-914.</w:t>
      </w:r>
    </w:p>
    <w:p w14:paraId="1C0C378D" w14:textId="77777777" w:rsidR="00611004" w:rsidRPr="00611004" w:rsidRDefault="00611004" w:rsidP="00611004">
      <w:pPr>
        <w:pStyle w:val="EndNoteBibliography"/>
        <w:ind w:left="720" w:hanging="720"/>
      </w:pPr>
      <w:r w:rsidRPr="00611004">
        <w:t>WALLACE, R., HUGGINS, R., KING, O., GARDINER, R., THOMSON, B., ORR, D., FERGUSON, B., TAYLOR, C., SEVERINO, Z., SMITH, R. A., ST. J. WARNE, M., TURNER, R. D. R. &amp; MANN, M. 2016. Total suspended solids, nutrient and pesticide loads (2014–2015) for rivers that discharge to the Great Barrier Reef – Great Barrier Reef Catchment Loads Monitoring Program. Department of Science, Information Technology and Innovation. Brisbane.</w:t>
      </w:r>
    </w:p>
    <w:p w14:paraId="4BBD12C7" w14:textId="77777777" w:rsidR="00611004" w:rsidRPr="00611004" w:rsidRDefault="00611004" w:rsidP="00611004">
      <w:pPr>
        <w:pStyle w:val="EndNoteBibliography"/>
        <w:ind w:left="720" w:hanging="720"/>
      </w:pPr>
      <w:r w:rsidRPr="00611004">
        <w:t>WALLACE, R., HUGGINS, R., SMITH, R., TURNER, R., VARDY, S. &amp; WARNE, M. S. J. 2014. Total suspended solids, nutrient and pesticide loads (2011–2012) for rivers that discharge to the Great Barrier Reef – Great Barrier Reef Catchment Loads Monitoring Program 2011 – 2012. Department of Science, Information Technology, Innovation and the Arts. Brisbane.</w:t>
      </w:r>
    </w:p>
    <w:p w14:paraId="64C631FF" w14:textId="77777777" w:rsidR="00611004" w:rsidRPr="00611004" w:rsidRDefault="00611004" w:rsidP="00611004">
      <w:pPr>
        <w:pStyle w:val="EndNoteBibliography"/>
        <w:ind w:left="720" w:hanging="720"/>
      </w:pPr>
      <w:r w:rsidRPr="00611004">
        <w:t>WALLACE, R., HUGGINS, R., SMITH, R. A., TURNER, R., GARZON-GARCIA, A. &amp; WARNE, M. S. J. 2015. Total suspended solids, nutrient and pesticide loads (2012–2013) for rivers that discharge to the Great Barrier Reef – Great Barrier Reef Catchment Loads Monitoring Program 2012–2013. Department of Science, Information Technology and Innovation. Brisbane.</w:t>
      </w:r>
    </w:p>
    <w:p w14:paraId="78F9D2BB" w14:textId="77777777" w:rsidR="00611004" w:rsidRPr="00611004" w:rsidRDefault="00611004" w:rsidP="00611004">
      <w:pPr>
        <w:pStyle w:val="EndNoteBibliography"/>
        <w:ind w:left="720" w:hanging="720"/>
      </w:pPr>
      <w:r w:rsidRPr="00611004">
        <w:lastRenderedPageBreak/>
        <w:t xml:space="preserve">WARNE, M. S. J., BATLEY, G. E., BRAGA, O., CHAPMAN, J. C., FOX, D. R., HICKEY, C. W., STAUBER, J. L. &amp; VAN DAM, R. 2014. Revisions to the derivation of the Australian and New Zealand guidelines for toxicants in fresh and marine waters. </w:t>
      </w:r>
      <w:r w:rsidRPr="00611004">
        <w:rPr>
          <w:i/>
        </w:rPr>
        <w:t>Environmental Science and Pollution Research,</w:t>
      </w:r>
      <w:r w:rsidRPr="00611004">
        <w:t xml:space="preserve"> 21</w:t>
      </w:r>
      <w:r w:rsidRPr="00611004">
        <w:rPr>
          <w:b/>
        </w:rPr>
        <w:t>,</w:t>
      </w:r>
      <w:r w:rsidRPr="00611004">
        <w:t xml:space="preserve"> 51-60.</w:t>
      </w:r>
    </w:p>
    <w:p w14:paraId="2470EC61" w14:textId="77777777" w:rsidR="00611004" w:rsidRPr="00611004" w:rsidRDefault="00611004" w:rsidP="00611004">
      <w:pPr>
        <w:pStyle w:val="EndNoteBibliography"/>
        <w:ind w:left="720" w:hanging="720"/>
      </w:pPr>
      <w:r w:rsidRPr="00611004">
        <w:t>WARNE, M. S. J., BATLEY, G. E., VAN DAM, R. A., CHAPMAN, J. C., FOX, D. R., HICKEY, C. W. &amp; STAUBER, J. L. 2015. Revised Method for Deriving Australian and New Zealand Water Quality Guideline Values for Toxicants. Prepared for the Council of Australian Government’s Standing Council on Environment and Water (SCEW). . Department of Science, Information Technology and Innovation, Brisbane.</w:t>
      </w:r>
    </w:p>
    <w:p w14:paraId="002305A5" w14:textId="77777777" w:rsidR="00611004" w:rsidRPr="00611004" w:rsidRDefault="00611004" w:rsidP="00611004">
      <w:pPr>
        <w:pStyle w:val="EndNoteBibliography"/>
        <w:ind w:left="720" w:hanging="720"/>
      </w:pPr>
      <w:r w:rsidRPr="00611004">
        <w:t>WATERS, D. K., CARROLL, C., ELLIS, R., HATELEY, L., MCCLOSKEY, J., PACKETT, R., DOUGALL, C. &amp; FENTIE, B. 2014. Modelling reductions of pollutant loads due to improved management practices in the Great Barrier Reef catchments: Whole GBR, Volume 1. Department of Natural Resources and Mines, Brisbane.</w:t>
      </w:r>
    </w:p>
    <w:p w14:paraId="40427DC4" w14:textId="0F13A80F" w:rsidR="0059608E" w:rsidRDefault="006C60D9" w:rsidP="006C60D9">
      <w:pPr>
        <w:spacing w:line="360" w:lineRule="auto"/>
        <w:rPr>
          <w:lang w:val="en-AU"/>
        </w:rPr>
      </w:pPr>
      <w:r>
        <w:fldChar w:fldCharType="end"/>
      </w:r>
    </w:p>
    <w:p w14:paraId="51DFA7E3" w14:textId="77777777" w:rsidR="0059608E" w:rsidRPr="00F06248" w:rsidRDefault="0059608E" w:rsidP="0066689E">
      <w:pPr>
        <w:pStyle w:val="Heading1"/>
      </w:pPr>
      <w:bookmarkStart w:id="704" w:name="_Toc461457782"/>
      <w:bookmarkStart w:id="705" w:name="_Toc462651963"/>
      <w:r w:rsidRPr="00C11BBA">
        <w:t xml:space="preserve">APPENDIX A: </w:t>
      </w:r>
      <w:r>
        <w:t xml:space="preserve"> Complete analyte list for LCMS and GCMS analysis</w:t>
      </w:r>
      <w:bookmarkEnd w:id="704"/>
      <w:bookmarkEnd w:id="705"/>
    </w:p>
    <w:p w14:paraId="0C388796" w14:textId="77777777" w:rsidR="0059608E" w:rsidRPr="00901286" w:rsidRDefault="0059608E" w:rsidP="0059608E">
      <w:pPr>
        <w:pStyle w:val="Heading2"/>
        <w:numPr>
          <w:ilvl w:val="1"/>
          <w:numId w:val="2"/>
        </w:numPr>
        <w:spacing w:line="360" w:lineRule="auto"/>
        <w:ind w:left="567"/>
        <w:rPr>
          <w:lang w:val="en-AU"/>
        </w:rPr>
      </w:pPr>
      <w:bookmarkStart w:id="706" w:name="_Toc461457783"/>
      <w:bookmarkStart w:id="707" w:name="_Toc462651964"/>
      <w:r>
        <w:rPr>
          <w:lang w:val="en-AU"/>
        </w:rPr>
        <w:t>Sources of uncertainty</w:t>
      </w:r>
      <w:bookmarkEnd w:id="706"/>
      <w:bookmarkEnd w:id="707"/>
      <w:r>
        <w:rPr>
          <w:lang w:val="en-AU"/>
        </w:rPr>
        <w:t xml:space="preserve"> </w:t>
      </w:r>
    </w:p>
    <w:p w14:paraId="6FB629FB" w14:textId="77777777" w:rsidR="0059608E" w:rsidRDefault="0059608E" w:rsidP="006130D4">
      <w:pPr>
        <w:spacing w:line="360" w:lineRule="auto"/>
        <w:rPr>
          <w:lang w:val="en-AU" w:eastAsia="en-AU"/>
        </w:rPr>
      </w:pPr>
      <w:r>
        <w:rPr>
          <w:lang w:val="en-AU" w:eastAsia="en-AU"/>
        </w:rPr>
        <w:t>In order to interpret both trends in the long-term data and true changes in concentrations year to year, there must be an understanding of the inherent variability of the data. Possible sources of uncertainty when using the passive samplers may include (but are not limited to) the effects of salinity and water temperature on chemical uptake into the sampler, accurate measurement of exposure time, the integrity of the flow-limiting membrane over the deployment period, degree of biofouling on the surface of the sampler and its effect on the sampling area, analytical error and variability in the dissolution of the PFM used to approximate water flow (and sampling rates).</w:t>
      </w:r>
    </w:p>
    <w:p w14:paraId="3A756DA2" w14:textId="77777777" w:rsidR="0059608E" w:rsidRDefault="0059608E" w:rsidP="006130D4">
      <w:pPr>
        <w:spacing w:line="360" w:lineRule="auto"/>
        <w:rPr>
          <w:lang w:val="en-AU" w:eastAsia="en-AU"/>
        </w:rPr>
      </w:pPr>
    </w:p>
    <w:p w14:paraId="45FBA59C" w14:textId="77777777" w:rsidR="0059608E" w:rsidRDefault="0059608E" w:rsidP="006130D4">
      <w:pPr>
        <w:spacing w:line="360" w:lineRule="auto"/>
        <w:rPr>
          <w:lang w:val="en-AU" w:eastAsia="en-AU"/>
        </w:rPr>
      </w:pPr>
      <w:r>
        <w:rPr>
          <w:lang w:val="en-AU" w:eastAsia="en-AU"/>
        </w:rPr>
        <w:t xml:space="preserve">Salinity (ionic strength) has been found to have a very small effect on the solubility of the gypsum contained in the PFM, which is subsequently used to estimate sampling rates with respect to the water flow at a given site </w:t>
      </w:r>
      <w:r w:rsidR="00677694">
        <w:rPr>
          <w:lang w:val="en-AU" w:eastAsia="en-AU"/>
        </w:rPr>
        <w:fldChar w:fldCharType="begin"/>
      </w:r>
      <w:r w:rsidR="00437F9C">
        <w:rPr>
          <w:lang w:val="en-AU" w:eastAsia="en-AU"/>
        </w:rPr>
        <w:instrText xml:space="preserve"> ADDIN EN.CITE &lt;EndNote&gt;&lt;Cite&gt;&lt;Author&gt;O’Brien&lt;/Author&gt;&lt;Year&gt;2011&lt;/Year&gt;&lt;RecNum&gt;352&lt;/RecNum&gt;&lt;DisplayText&gt;(O’Brien et al., 2011b)&lt;/DisplayText&gt;&lt;record&gt;&lt;rec-number&gt;352&lt;/rec-number&gt;&lt;foreign-keys&gt;&lt;key app="EN" db-id="0zzrztwe5p59skesdrqpsfeu2s0xt5zd5v9p" timestamp="1466651556"&gt;352&lt;/key&gt;&lt;/foreign-keys&gt;&lt;ref-type name="Journal Article"&gt;17&lt;/ref-type&gt;&lt;contributors&gt;&lt;authors&gt;&lt;author&gt;O’Brien, Dominique S&lt;/author&gt;&lt;author&gt;Booij, Kees&lt;/author&gt;&lt;author&gt;Hawker, Darryl W&lt;/author&gt;&lt;author&gt;Mueller, Jochen F&lt;/author&gt;&lt;/authors&gt;&lt;/contributors&gt;&lt;titles&gt;&lt;title&gt;Method for the in situ calibration of a passive phosphate sampler in estuarine and marine waters&lt;/title&gt;&lt;secondary-title&gt;Environmental science &amp;amp; technology&lt;/secondary-title&gt;&lt;/titles&gt;&lt;periodical&gt;&lt;full-title&gt;Environmental Science &amp;amp; Technology&lt;/full-title&gt;&lt;/periodical&gt;&lt;pages&gt;2871-2877&lt;/pages&gt;&lt;volume&gt;45&lt;/volume&gt;&lt;number&gt;7&lt;/number&gt;&lt;dates&gt;&lt;year&gt;2011&lt;/year&gt;&lt;/dates&gt;&lt;isbn&gt;0013-936X&lt;/isbn&gt;&lt;urls&gt;&lt;/urls&gt;&lt;/record&gt;&lt;/Cite&gt;&lt;/EndNote&gt;</w:instrText>
      </w:r>
      <w:r w:rsidR="00677694">
        <w:rPr>
          <w:lang w:val="en-AU" w:eastAsia="en-AU"/>
        </w:rPr>
        <w:fldChar w:fldCharType="separate"/>
      </w:r>
      <w:r w:rsidR="00437F9C">
        <w:rPr>
          <w:noProof/>
          <w:lang w:val="en-AU" w:eastAsia="en-AU"/>
        </w:rPr>
        <w:t>(O’Brien et al., 2011b)</w:t>
      </w:r>
      <w:r w:rsidR="00677694">
        <w:rPr>
          <w:lang w:val="en-AU" w:eastAsia="en-AU"/>
        </w:rPr>
        <w:fldChar w:fldCharType="end"/>
      </w:r>
      <w:r>
        <w:rPr>
          <w:lang w:val="en-AU" w:eastAsia="en-AU"/>
        </w:rPr>
        <w:t>. The effect of salinity on a hypothetical calculation of water concentration from an ED, found that a change in salinity from 5 g L</w:t>
      </w:r>
      <w:r>
        <w:rPr>
          <w:vertAlign w:val="superscript"/>
          <w:lang w:val="en-AU" w:eastAsia="en-AU"/>
        </w:rPr>
        <w:t>-1</w:t>
      </w:r>
      <w:r>
        <w:rPr>
          <w:lang w:val="en-AU" w:eastAsia="en-AU"/>
        </w:rPr>
        <w:t xml:space="preserve"> (freshwater) to 35 g L</w:t>
      </w:r>
      <w:r>
        <w:rPr>
          <w:vertAlign w:val="superscript"/>
          <w:lang w:val="en-AU" w:eastAsia="en-AU"/>
        </w:rPr>
        <w:t>-1</w:t>
      </w:r>
      <w:r>
        <w:rPr>
          <w:lang w:val="en-AU" w:eastAsia="en-AU"/>
        </w:rPr>
        <w:t xml:space="preserve"> (marine water) did not change the estimated flow rate (to two significant figures) under either low or high dissolution rate conditions. The effect of water temperature on the dissolution of the PFM is not well understood, but as water temperature remains relatively constant between the wet and dry seasons (20 – 25 degrees) it is assumed to have a negligible effect.</w:t>
      </w:r>
    </w:p>
    <w:p w14:paraId="620D2FA1" w14:textId="77777777" w:rsidR="0059608E" w:rsidRDefault="0059608E" w:rsidP="006130D4">
      <w:pPr>
        <w:spacing w:line="360" w:lineRule="auto"/>
        <w:rPr>
          <w:lang w:val="en-AU" w:eastAsia="en-AU"/>
        </w:rPr>
      </w:pPr>
    </w:p>
    <w:p w14:paraId="2EE92B26" w14:textId="77777777" w:rsidR="0059608E" w:rsidRDefault="0059608E" w:rsidP="006130D4">
      <w:pPr>
        <w:spacing w:line="360" w:lineRule="auto"/>
        <w:rPr>
          <w:lang w:val="en-AU" w:eastAsia="en-AU"/>
        </w:rPr>
      </w:pPr>
      <w:r>
        <w:rPr>
          <w:lang w:val="en-AU" w:eastAsia="en-AU"/>
        </w:rPr>
        <w:t xml:space="preserve">Replicate PFMs are deployed at each passive sampler site, and the mass lost per day is used to estimate the sampling rate of chemicals. Normalised difference percentages between duplicate PFMs deployed at each site this monitoring year ranged between &lt;1 and 68 % (mean of 7.3%), showing good agreement (this excludes 27 sampler sets where PFM duplicates were both empty upon retrieval). </w:t>
      </w:r>
    </w:p>
    <w:p w14:paraId="42292DB7" w14:textId="77777777" w:rsidR="0059608E" w:rsidRDefault="0059608E" w:rsidP="006130D4">
      <w:pPr>
        <w:spacing w:line="360" w:lineRule="auto"/>
        <w:rPr>
          <w:lang w:val="en-AU" w:eastAsia="en-AU"/>
        </w:rPr>
      </w:pPr>
    </w:p>
    <w:p w14:paraId="40CBA850" w14:textId="77777777" w:rsidR="0059608E" w:rsidRDefault="0059608E" w:rsidP="006130D4">
      <w:pPr>
        <w:spacing w:line="360" w:lineRule="auto"/>
        <w:rPr>
          <w:lang w:val="en-AU"/>
        </w:rPr>
      </w:pPr>
      <w:r>
        <w:rPr>
          <w:lang w:val="en-AU"/>
        </w:rPr>
        <w:t xml:space="preserve">Duplicate EDs are deployed at each sampling site, and approximately one in every 10 samples has a duplicate sampler also analysed to determine the variability in the overall performance (chemical uptake) of </w:t>
      </w:r>
      <w:r>
        <w:rPr>
          <w:lang w:val="en-AU"/>
        </w:rPr>
        <w:lastRenderedPageBreak/>
        <w:t>the EDs (Appendix A; Table 16). This monitoring year, 17 ED sampler sets were analysed in duplicate, with 126 herbicide detections in both duplicates and 32 herbicide detections in only one of the duplicates. Mean coefficients of variation (%</w:t>
      </w:r>
      <w:r w:rsidR="002A4CF4">
        <w:rPr>
          <w:lang w:val="en-AU"/>
        </w:rPr>
        <w:t xml:space="preserve"> </w:t>
      </w:r>
      <w:r>
        <w:rPr>
          <w:lang w:val="en-AU"/>
        </w:rPr>
        <w:t xml:space="preserve">CVs) for chemicals (which includes detections in both duplicates only), ranged from 2.9 % (haloxyfop) to 44 % (prometryn). Variability in the estimated water concentrations of diuron, hexazinone and atrazine was 16 %, 14 % and 27 % respectively. </w:t>
      </w:r>
    </w:p>
    <w:p w14:paraId="6004CEF1" w14:textId="77777777" w:rsidR="0059608E" w:rsidRDefault="0059608E" w:rsidP="006130D4">
      <w:pPr>
        <w:spacing w:line="360" w:lineRule="auto"/>
        <w:rPr>
          <w:lang w:val="en-AU" w:eastAsia="en-AU"/>
        </w:rPr>
      </w:pPr>
    </w:p>
    <w:p w14:paraId="3383D123" w14:textId="77777777" w:rsidR="0059608E" w:rsidRDefault="0059608E" w:rsidP="006130D4">
      <w:pPr>
        <w:spacing w:line="360" w:lineRule="auto"/>
        <w:rPr>
          <w:lang w:val="en-AU"/>
        </w:rPr>
      </w:pPr>
      <w:r>
        <w:rPr>
          <w:lang w:val="en-AU" w:eastAsia="en-AU"/>
        </w:rPr>
        <w:t xml:space="preserve">Fifteen ED extracts were selected for comparative interlaboratory analysis between Entox and Queensland Health Forensic Scientific Services (QHFSS) </w:t>
      </w:r>
      <w:r>
        <w:rPr>
          <w:lang w:val="en-AU"/>
        </w:rPr>
        <w:t>to compare the analytical accuracy of Entox methods (Appendix A; Table 17). Twenty-one analytes were analysed by both QHFSS and Entox. There were 109 detections using the Entox method and 143 detections using the QHFSS method. Desethyl atrazine, metolachlor, 2,4-D, fluroxypyr and MCPA were detected relatively more frequently by QHFSS than Entox, however it must be noted that they were typically at very low concentration. There were 16 times where an analyte was detected by Entox and not by QH. Comparison of the results found that mean %CVs of analytes ranged from 5 % - 51 %, (excluding instances where there was only a single detection from one laboratory). Variability of diuron, atrazine and hexazinone (which are detected most frequently in this monitoring program) were 16, 11 and 11 % respectively. The overall variability (%CVs) in the duplicate analysis at Entox (2.9 – 44%) and the interlaboratory analysis between Entox and QHFSS (5 – 51%) were very comparable, as was analysis of the analysis of key herbicides diuron (both 16%), atrazine (11 and 14%) and hexazinone (11 and 27%). Interlaboratory analysis will be continued to determine whether trends/ bias emerge in the detection/ non-detection of certain chemicals. Duplication of samplers is key to understanding within site variability and the statistical power in detecting true change in pesticide concentrations at a given monitoring site over time.</w:t>
      </w:r>
    </w:p>
    <w:p w14:paraId="62FB0088" w14:textId="77777777" w:rsidR="0059608E" w:rsidRDefault="0059608E" w:rsidP="006130D4">
      <w:pPr>
        <w:spacing w:line="360" w:lineRule="auto"/>
        <w:rPr>
          <w:lang w:val="en-AU"/>
        </w:rPr>
      </w:pPr>
    </w:p>
    <w:p w14:paraId="525052EC" w14:textId="77777777" w:rsidR="0059608E" w:rsidRDefault="0059608E" w:rsidP="006130D4">
      <w:pPr>
        <w:spacing w:line="360" w:lineRule="auto"/>
        <w:rPr>
          <w:lang w:val="en-AU"/>
        </w:rPr>
      </w:pPr>
      <w:r w:rsidRPr="00CB705A">
        <w:rPr>
          <w:lang w:val="en-AU"/>
        </w:rPr>
        <w:t>The objective of most passive sampling field studies is to derive</w:t>
      </w:r>
      <w:r>
        <w:rPr>
          <w:lang w:val="en-AU"/>
        </w:rPr>
        <w:t xml:space="preserve"> </w:t>
      </w:r>
      <w:r w:rsidRPr="00CB705A">
        <w:rPr>
          <w:lang w:val="en-AU"/>
        </w:rPr>
        <w:t>an accurate estimate of the concentration of pollutants present in</w:t>
      </w:r>
      <w:r>
        <w:rPr>
          <w:lang w:val="en-AU"/>
        </w:rPr>
        <w:t xml:space="preserve"> </w:t>
      </w:r>
      <w:r w:rsidRPr="00CB705A">
        <w:rPr>
          <w:lang w:val="en-AU"/>
        </w:rPr>
        <w:t>the environment. However, the environmental concentrations obtained</w:t>
      </w:r>
      <w:r>
        <w:rPr>
          <w:lang w:val="en-AU"/>
        </w:rPr>
        <w:t xml:space="preserve"> </w:t>
      </w:r>
      <w:r w:rsidRPr="00CB705A">
        <w:rPr>
          <w:lang w:val="en-AU"/>
        </w:rPr>
        <w:t>from passive sampling can only be accurate when appropriate</w:t>
      </w:r>
      <w:r>
        <w:rPr>
          <w:lang w:val="en-AU"/>
        </w:rPr>
        <w:t xml:space="preserve"> </w:t>
      </w:r>
      <w:r w:rsidRPr="00CB705A">
        <w:rPr>
          <w:lang w:val="en-AU"/>
        </w:rPr>
        <w:t>calibration data</w:t>
      </w:r>
      <w:r>
        <w:rPr>
          <w:lang w:val="en-AU"/>
        </w:rPr>
        <w:t xml:space="preserve"> (i.e. sampling or chemical uptake rates usually in units of L day</w:t>
      </w:r>
      <w:r>
        <w:rPr>
          <w:vertAlign w:val="superscript"/>
          <w:lang w:val="en-AU"/>
        </w:rPr>
        <w:t>-1</w:t>
      </w:r>
      <w:r>
        <w:rPr>
          <w:lang w:val="en-AU"/>
        </w:rPr>
        <w:t xml:space="preserve">) </w:t>
      </w:r>
      <w:r w:rsidRPr="00CB705A">
        <w:rPr>
          <w:lang w:val="en-AU"/>
        </w:rPr>
        <w:t>is used to derive these values</w:t>
      </w:r>
      <w:r>
        <w:rPr>
          <w:lang w:val="en-AU"/>
        </w:rPr>
        <w:t xml:space="preserve">. Sampling rates are influenced by the prevailing conditions at a sampling site and include temperature, water flow and the degree of sampler biofouling, and cannot be easily predicted based on a chemical’s physico-chemical properties. Whilst there is an ever-increasing amount of calibration data available for commonly detected anthropogenic chemicals, calibration data is still lacking for many, particularly for new and emerging chemicals. </w:t>
      </w:r>
    </w:p>
    <w:p w14:paraId="6E8A08B0" w14:textId="77777777" w:rsidR="0059608E" w:rsidRDefault="0059608E" w:rsidP="006130D4">
      <w:pPr>
        <w:spacing w:line="360" w:lineRule="auto"/>
        <w:rPr>
          <w:lang w:val="en-AU"/>
        </w:rPr>
      </w:pPr>
    </w:p>
    <w:p w14:paraId="407C49CA" w14:textId="77777777" w:rsidR="0059608E" w:rsidRDefault="0059608E" w:rsidP="006130D4">
      <w:pPr>
        <w:spacing w:line="360" w:lineRule="auto"/>
      </w:pPr>
      <w:r w:rsidRPr="00225C09">
        <w:rPr>
          <w:lang w:val="en-AU"/>
        </w:rPr>
        <w:t>The sampling rates (R</w:t>
      </w:r>
      <w:r w:rsidRPr="002A4CF4">
        <w:rPr>
          <w:vertAlign w:val="subscript"/>
          <w:lang w:val="en-AU"/>
        </w:rPr>
        <w:t>s</w:t>
      </w:r>
      <w:r w:rsidRPr="00225C09">
        <w:rPr>
          <w:lang w:val="en-AU"/>
        </w:rPr>
        <w:t xml:space="preserve">) of many polar chemicals </w:t>
      </w:r>
      <w:r>
        <w:rPr>
          <w:lang w:val="en-AU"/>
        </w:rPr>
        <w:t xml:space="preserve">relevant to the Reef </w:t>
      </w:r>
      <w:r w:rsidRPr="00225C09">
        <w:rPr>
          <w:lang w:val="en-AU"/>
        </w:rPr>
        <w:t xml:space="preserve">have been reported in both field and laboratory calibration experiments throughout the literature </w:t>
      </w:r>
      <w:r w:rsidR="002A54BA">
        <w:rPr>
          <w:lang w:val="en-AU"/>
        </w:rPr>
        <w:fldChar w:fldCharType="begin">
          <w:fldData xml:space="preserve">PEVuZE5vdGU+PENpdGU+PEF1dGhvcj5TaGF3PC9BdXRob3I+PFllYXI+MjAwOTwvWWVhcj48UmVj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</w:fldData>
        </w:fldChar>
      </w:r>
      <w:r w:rsidR="008326B4">
        <w:rPr>
          <w:lang w:val="en-AU"/>
        </w:rPr>
        <w:instrText xml:space="preserve"> ADDIN EN.CITE </w:instrText>
      </w:r>
      <w:r w:rsidR="008326B4">
        <w:rPr>
          <w:lang w:val="en-AU"/>
        </w:rPr>
        <w:fldChar w:fldCharType="begin">
          <w:fldData xml:space="preserve">PEVuZE5vdGU+PENpdGU+PEF1dGhvcj5TaGF3PC9BdXRob3I+PFllYXI+MjAwOTwvWWVhcj48UmVj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</w:fldData>
        </w:fldChar>
      </w:r>
      <w:r w:rsidR="008326B4">
        <w:rPr>
          <w:lang w:val="en-AU"/>
        </w:rPr>
        <w:instrText xml:space="preserve"> ADDIN EN.CITE.DATA </w:instrText>
      </w:r>
      <w:r w:rsidR="008326B4">
        <w:rPr>
          <w:lang w:val="en-AU"/>
        </w:rPr>
      </w:r>
      <w:r w:rsidR="008326B4">
        <w:rPr>
          <w:lang w:val="en-AU"/>
        </w:rPr>
        <w:fldChar w:fldCharType="end"/>
      </w:r>
      <w:r w:rsidR="002A54BA">
        <w:rPr>
          <w:lang w:val="en-AU"/>
        </w:rPr>
      </w:r>
      <w:r w:rsidR="002A54BA">
        <w:rPr>
          <w:lang w:val="en-AU"/>
        </w:rPr>
        <w:fldChar w:fldCharType="separate"/>
      </w:r>
      <w:r w:rsidR="008326B4">
        <w:rPr>
          <w:noProof/>
          <w:lang w:val="en-AU"/>
        </w:rPr>
        <w:t>(Shaw and Mueller, 2009, Shaw et al., 2009, Stephens et al., 2009, Stephens et al., 2005, Booij et al., 2002, O’Brien et al., 2011a, Vermeirssen et al., 2009, Kaserzon et al., 2014)</w:t>
      </w:r>
      <w:r w:rsidR="002A54BA">
        <w:rPr>
          <w:lang w:val="en-AU"/>
        </w:rPr>
        <w:fldChar w:fldCharType="end"/>
      </w:r>
      <w:r>
        <w:rPr>
          <w:lang w:val="en-AU"/>
        </w:rPr>
        <w:t>, although rates vary due to the conditions under which they were conducted</w:t>
      </w:r>
      <w:r w:rsidRPr="00225C09">
        <w:rPr>
          <w:lang w:val="en-AU"/>
        </w:rPr>
        <w:t>. Atrazine was common to all of these studies and was chosen as a reference point to estimate compound specific sampling rates of other herbicides on a proportional basis (i.e. R</w:t>
      </w:r>
      <w:r w:rsidRPr="002A4CF4">
        <w:rPr>
          <w:vertAlign w:val="subscript"/>
          <w:lang w:val="en-AU"/>
        </w:rPr>
        <w:t>s</w:t>
      </w:r>
      <w:r w:rsidRPr="00225C09">
        <w:rPr>
          <w:lang w:val="en-AU"/>
        </w:rPr>
        <w:t xml:space="preserve"> of chemical X / R</w:t>
      </w:r>
      <w:r w:rsidRPr="002A4CF4">
        <w:rPr>
          <w:vertAlign w:val="subscript"/>
          <w:lang w:val="en-AU"/>
        </w:rPr>
        <w:t>s</w:t>
      </w:r>
      <w:r w:rsidRPr="00225C09">
        <w:rPr>
          <w:lang w:val="en-AU"/>
        </w:rPr>
        <w:t xml:space="preserve"> of atrazine)</w:t>
      </w:r>
      <w:r>
        <w:rPr>
          <w:lang w:val="en-AU"/>
        </w:rPr>
        <w:t>.</w:t>
      </w:r>
    </w:p>
    <w:p w14:paraId="7B279BFA" w14:textId="77777777" w:rsidR="0059608E" w:rsidRDefault="0059608E" w:rsidP="006130D4">
      <w:pPr>
        <w:spacing w:line="360" w:lineRule="auto"/>
      </w:pPr>
    </w:p>
    <w:p w14:paraId="3997BE9B" w14:textId="77777777" w:rsidR="0059608E" w:rsidRDefault="0059608E" w:rsidP="006130D4">
      <w:pPr>
        <w:spacing w:line="360" w:lineRule="auto"/>
        <w:rPr>
          <w:lang w:val="en-AU"/>
        </w:rPr>
      </w:pPr>
      <w:r>
        <w:lastRenderedPageBreak/>
        <w:t>The relationship between the sampling rate of atrazine and flow effects has been extensively investigated</w:t>
      </w:r>
      <w:r w:rsidR="008326B4">
        <w:t xml:space="preserve"> </w:t>
      </w:r>
      <w:r w:rsidR="008326B4">
        <w:fldChar w:fldCharType="begin"/>
      </w:r>
      <w:r w:rsidR="008326B4">
        <w:instrText xml:space="preserve"> ADDIN EN.CITE &lt;EndNote&gt;&lt;Cite&gt;&lt;Author&gt;O’Brien&lt;/Author&gt;&lt;Year&gt;2011&lt;/Year&gt;&lt;RecNum&gt;357&lt;/RecNum&gt;&lt;DisplayText&gt;(O’Brien et al., 2011a)&lt;/DisplayText&gt;&lt;record&gt;&lt;rec-number&gt;357&lt;/rec-number&gt;&lt;foreign-keys&gt;&lt;key app="EN" db-id="0zzrztwe5p59skesdrqpsfeu2s0xt5zd5v9p" timestamp="1466651881"&gt;357&lt;/key&gt;&lt;/foreign-keys&gt;&lt;ref-type name="Journal Article"&gt;17&lt;/ref-type&gt;&lt;contributors&gt;&lt;authors&gt;&lt;author&gt;O’Brien, Dominique&lt;/author&gt;&lt;author&gt;Bartkow, Michael&lt;/author&gt;&lt;author&gt;Mueller, Jochen F&lt;/author&gt;&lt;/authors&gt;&lt;/contributors&gt;&lt;titles&gt;&lt;title&gt;Determination of deployment specific chemical uptake rates for SDB-RPD Empore disk using a passive flow monitor (PFM)&lt;/title&gt;&lt;secondary-title&gt;Chemosphere&lt;/secondary-title&gt;&lt;/titles&gt;&lt;periodical&gt;&lt;full-title&gt;Chemosphere&lt;/full-title&gt;&lt;/periodical&gt;&lt;pages&gt;1290-1295&lt;/pages&gt;&lt;volume&gt;83&lt;/volume&gt;&lt;number&gt;9&lt;/number&gt;&lt;dates&gt;&lt;year&gt;2011&lt;/year&gt;&lt;/dates&gt;&lt;isbn&gt;0045-6535&lt;/isbn&gt;&lt;urls&gt;&lt;/urls&gt;&lt;/record&gt;&lt;/Cite&gt;&lt;/EndNote&gt;</w:instrText>
      </w:r>
      <w:r w:rsidR="008326B4">
        <w:fldChar w:fldCharType="separate"/>
      </w:r>
      <w:r w:rsidR="008326B4">
        <w:rPr>
          <w:noProof/>
        </w:rPr>
        <w:t>(O’Brien et al., 2011a)</w:t>
      </w:r>
      <w:r w:rsidR="008326B4">
        <w:fldChar w:fldCharType="end"/>
      </w:r>
      <w:r>
        <w:t xml:space="preserve">. </w:t>
      </w:r>
      <w:r w:rsidRPr="00225C09">
        <w:rPr>
          <w:lang w:val="en-AU"/>
        </w:rPr>
        <w:t xml:space="preserve">Using this relationship, a sampling rate for each herbicide </w:t>
      </w:r>
      <w:r>
        <w:rPr>
          <w:lang w:val="en-AU"/>
        </w:rPr>
        <w:t>was</w:t>
      </w:r>
      <w:r w:rsidRPr="00225C09">
        <w:rPr>
          <w:lang w:val="en-AU"/>
        </w:rPr>
        <w:t xml:space="preserve"> calculated, specific to the flow conditions encountered at a particular site during each deployment. By inserting the relevant water velocity (estimated from PFM loss rate) into the equation and adjusting the resulting sampling rate by their proportion relative to atrazine, compound specific sampling rates were estimated for other herbicides, to provide estimates of herbicide water concentrations.</w:t>
      </w:r>
      <w:r>
        <w:rPr>
          <w:lang w:val="en-AU"/>
        </w:rPr>
        <w:t xml:space="preserve"> For herbicides where no calibration data is available, the sampling rate of atrazine has been assumed. Whilst there is always variability in calibration data, regardless of whether calibration data is available or has been assumed, the objectives of the pesticide monitoring component (to monitor trends in pesticide concentrations) of the MMP can be achieved, provided the same calibration data is used year-on-year.</w:t>
      </w:r>
    </w:p>
    <w:p w14:paraId="0D7812A8" w14:textId="77777777" w:rsidR="0059608E" w:rsidRDefault="00341670" w:rsidP="00341670">
      <w:pPr>
        <w:pStyle w:val="Heading2"/>
        <w:numPr>
          <w:ilvl w:val="1"/>
          <w:numId w:val="2"/>
        </w:numPr>
        <w:ind w:left="0" w:hanging="10"/>
      </w:pPr>
      <w:bookmarkStart w:id="708" w:name="_Toc455069493"/>
      <w:bookmarkStart w:id="709" w:name="_Toc461457784"/>
      <w:bookmarkStart w:id="710" w:name="_Toc462651965"/>
      <w:bookmarkEnd w:id="708"/>
      <w:r>
        <w:t>Analytical details</w:t>
      </w:r>
      <w:r w:rsidR="006C60D9">
        <w:t>, target chemicals and quality assurance quality control (QAQC)</w:t>
      </w:r>
      <w:bookmarkStart w:id="711" w:name="_Toc455151803"/>
      <w:bookmarkEnd w:id="709"/>
      <w:bookmarkEnd w:id="711"/>
      <w:bookmarkEnd w:id="710"/>
    </w:p>
    <w:p w14:paraId="52708269" w14:textId="77777777" w:rsidR="0059608E" w:rsidRPr="00B31EC9" w:rsidRDefault="0059608E" w:rsidP="006130D4">
      <w:pPr>
        <w:pStyle w:val="Caption"/>
        <w:spacing w:line="360" w:lineRule="auto"/>
        <w:jc w:val="both"/>
        <w:rPr>
          <w:b w:val="0"/>
          <w:sz w:val="22"/>
        </w:rPr>
      </w:pPr>
      <w:r w:rsidRPr="00B31EC9">
        <w:rPr>
          <w:b w:val="0"/>
          <w:sz w:val="22"/>
        </w:rPr>
        <w:t xml:space="preserve">Entox </w:t>
      </w:r>
      <w:r>
        <w:rPr>
          <w:b w:val="0"/>
          <w:sz w:val="22"/>
        </w:rPr>
        <w:t xml:space="preserve">now undertakes </w:t>
      </w:r>
      <w:r w:rsidRPr="00B31EC9">
        <w:rPr>
          <w:b w:val="0"/>
          <w:sz w:val="22"/>
        </w:rPr>
        <w:t xml:space="preserve">all herbicide analysis </w:t>
      </w:r>
      <w:r>
        <w:rPr>
          <w:b w:val="0"/>
          <w:sz w:val="22"/>
        </w:rPr>
        <w:t xml:space="preserve">of passive and grab samples </w:t>
      </w:r>
      <w:r w:rsidRPr="00B31EC9">
        <w:rPr>
          <w:b w:val="0"/>
          <w:sz w:val="22"/>
        </w:rPr>
        <w:t xml:space="preserve">using </w:t>
      </w:r>
      <w:r>
        <w:rPr>
          <w:b w:val="0"/>
          <w:sz w:val="22"/>
        </w:rPr>
        <w:t>liquid chromatography-mass spectrometry (</w:t>
      </w:r>
      <w:r w:rsidRPr="00B31EC9">
        <w:rPr>
          <w:b w:val="0"/>
          <w:sz w:val="22"/>
        </w:rPr>
        <w:t>LCMS/MS</w:t>
      </w:r>
      <w:r>
        <w:rPr>
          <w:b w:val="0"/>
          <w:sz w:val="22"/>
        </w:rPr>
        <w:t>)</w:t>
      </w:r>
      <w:r w:rsidRPr="00B31EC9">
        <w:rPr>
          <w:b w:val="0"/>
          <w:sz w:val="22"/>
        </w:rPr>
        <w:t>. Inter</w:t>
      </w:r>
      <w:r w:rsidR="00106CE5">
        <w:rPr>
          <w:b w:val="0"/>
          <w:sz w:val="22"/>
        </w:rPr>
        <w:t>-</w:t>
      </w:r>
      <w:r w:rsidRPr="00B31EC9">
        <w:rPr>
          <w:b w:val="0"/>
          <w:sz w:val="22"/>
        </w:rPr>
        <w:t xml:space="preserve">laboratory comparisons between QHFSS and Entox were completed </w:t>
      </w:r>
      <w:r>
        <w:rPr>
          <w:b w:val="0"/>
          <w:sz w:val="22"/>
        </w:rPr>
        <w:t>this year</w:t>
      </w:r>
      <w:r w:rsidRPr="00B31EC9">
        <w:rPr>
          <w:b w:val="0"/>
          <w:sz w:val="22"/>
        </w:rPr>
        <w:t>. The limits of reporting (LOR) for the LCMS</w:t>
      </w:r>
      <w:r>
        <w:rPr>
          <w:b w:val="0"/>
          <w:sz w:val="22"/>
        </w:rPr>
        <w:t>/MS</w:t>
      </w:r>
      <w:r w:rsidRPr="00B31EC9">
        <w:rPr>
          <w:b w:val="0"/>
          <w:sz w:val="22"/>
        </w:rPr>
        <w:t xml:space="preserve"> instrument data have been defined by </w:t>
      </w:r>
      <w:r>
        <w:rPr>
          <w:b w:val="0"/>
          <w:sz w:val="22"/>
        </w:rPr>
        <w:t>QHFSS</w:t>
      </w:r>
      <w:r w:rsidRPr="00B31EC9">
        <w:rPr>
          <w:b w:val="0"/>
          <w:sz w:val="22"/>
        </w:rPr>
        <w:t xml:space="preserve"> laboratory as follows: The LORs are determined by adding a very low level of analyte to a matrix and injecting 6-7 times into the analytical instrument. The standard deviation of the resultant signals is obtained and a multiplication factor of 10 is applied to obtain the LOR.</w:t>
      </w:r>
    </w:p>
    <w:p w14:paraId="4147C5A5" w14:textId="77777777" w:rsidR="0059608E" w:rsidRPr="00F90047" w:rsidRDefault="0059608E" w:rsidP="006130D4">
      <w:pPr>
        <w:pStyle w:val="Caption"/>
        <w:spacing w:line="276" w:lineRule="auto"/>
      </w:pPr>
    </w:p>
    <w:p w14:paraId="79761A10" w14:textId="77777777" w:rsidR="0059608E" w:rsidRPr="0018493D" w:rsidRDefault="0059608E" w:rsidP="006130D4">
      <w:pPr>
        <w:spacing w:line="360" w:lineRule="auto"/>
        <w:rPr>
          <w:rFonts w:cs="Arial"/>
          <w:szCs w:val="18"/>
          <w:lang w:val="en-AU"/>
        </w:rPr>
      </w:pPr>
      <w:r w:rsidRPr="0018493D">
        <w:rPr>
          <w:rFonts w:cs="Arial"/>
          <w:szCs w:val="18"/>
          <w:lang w:val="en-AU"/>
        </w:rPr>
        <w:t xml:space="preserve">ED extract analysis for herbicides were conducted on </w:t>
      </w:r>
      <w:r w:rsidRPr="00F116F2">
        <w:rPr>
          <w:rFonts w:cs="Arial"/>
          <w:szCs w:val="18"/>
          <w:lang w:val="en-AU"/>
        </w:rPr>
        <w:t>an AB/Sciex API6500Q mass spectrometer (AB/Sciex, Concord, Ontario, Canada) equipped with an electrospray (TurboV) interface coupled to a Shimadzu Nexera HPLC system (Shimadzu Corp., Kyoto, Japan). Separation was achieved using a 2.6 micron 50x2.0mm Phenomenex Biphenyl column (Phenomenex, Torrance, CA) run at 45˚C, and a flow rate of 0.3 mL min-1 with a linear gradient starting at 5% B, ramped to 100% B in 5.2 minutes then held at 100% for 4.3 minutes followed by equilibration at 5% B for 3.5 minutes. (A = 1% methanol in HPLC grade water, B = 95% methanol in HPLC grade water, both containing 0.1% acetic acid). The mass spectrometer was operated in both positive and negative ion multiple reaction-monitoring mode, using nitrogen as the collision gas monitoring two transitions for each analyte.</w:t>
      </w:r>
    </w:p>
    <w:p w14:paraId="42D2D0D2" w14:textId="77777777" w:rsidR="0059608E" w:rsidRDefault="0059608E" w:rsidP="006130D4">
      <w:pPr>
        <w:spacing w:line="360" w:lineRule="auto"/>
        <w:rPr>
          <w:rFonts w:cs="Arial"/>
          <w:sz w:val="18"/>
          <w:szCs w:val="18"/>
          <w:lang w:val="en-AU"/>
        </w:rPr>
      </w:pPr>
    </w:p>
    <w:p w14:paraId="2CA1EF9E" w14:textId="77777777" w:rsidR="0059608E" w:rsidRDefault="0059608E" w:rsidP="006130D4">
      <w:pPr>
        <w:spacing w:line="360" w:lineRule="auto"/>
        <w:rPr>
          <w:bCs/>
          <w:szCs w:val="18"/>
        </w:rPr>
      </w:pPr>
      <w:r w:rsidRPr="00FA54DF">
        <w:rPr>
          <w:bCs/>
          <w:szCs w:val="18"/>
        </w:rPr>
        <w:t xml:space="preserve">Grab samples were analysed using the AB Sciex QTRAP 5500 mass spectrometer (AB Sciex, Concord, Ontario, Canada) equipped with an electrospray (TurboV) interface coupled to a Shimadzu Nexera HPLC system (Shimadzu Corp., Kyoto, Japan). The mass spectrometer was operated in both positive and negative ion multiple reaction-monitoring mode, using nitrogen as the collision gas, monitoring two transitions for each analyte. Separation was achieved using a 2.6 micron 50x2.0mm Phenomenex Biphenyl column (Phenomenex, Torrance, CA) run at 45˚C, and a flow rate of 0.3 mL min-1 with a linear gradient starting at 5% B, ramped to 100% B in 5.2 minutes then held at 100% for 4.3 minutes followed by equilibration at 5% B for 3.5 minutes. (A = 1% methanol in HPLC grade water, B = 95% methanol in HPLC grade water, both containing 0.1% acetic acid). </w:t>
      </w:r>
      <w:r>
        <w:rPr>
          <w:bCs/>
          <w:szCs w:val="18"/>
        </w:rPr>
        <w:t>Positive results</w:t>
      </w:r>
      <w:r w:rsidRPr="00FA54DF">
        <w:rPr>
          <w:bCs/>
          <w:szCs w:val="18"/>
        </w:rPr>
        <w:t xml:space="preserve"> were confirmed by retention time and by comparing transition intensity ratios between the sample and an appropriate concentration standard from </w:t>
      </w:r>
      <w:r w:rsidRPr="00FA54DF">
        <w:rPr>
          <w:bCs/>
          <w:szCs w:val="18"/>
        </w:rPr>
        <w:lastRenderedPageBreak/>
        <w:t>the same run. Samples were reported as positive if the two transitions were present (with peaks having a signal to noise ratio greater than 3), retention time was within 0.15 minutes of the standard and the relative intensity of the confirmation transition was within 20% of the expected value. The value reported was that for the quantitation transition.</w:t>
      </w:r>
    </w:p>
    <w:p w14:paraId="5B724661" w14:textId="77777777" w:rsidR="0059608E" w:rsidRDefault="0059608E" w:rsidP="006130D4">
      <w:pPr>
        <w:spacing w:line="360" w:lineRule="auto"/>
        <w:rPr>
          <w:bCs/>
          <w:szCs w:val="18"/>
        </w:rPr>
      </w:pPr>
    </w:p>
    <w:p w14:paraId="4A02EA1A" w14:textId="77777777" w:rsidR="0059608E" w:rsidRDefault="0059608E" w:rsidP="006130D4">
      <w:pPr>
        <w:spacing w:line="360" w:lineRule="auto"/>
      </w:pPr>
      <w:r w:rsidRPr="009E2337">
        <w:rPr>
          <w:bCs/>
          <w:szCs w:val="18"/>
        </w:rPr>
        <w:t xml:space="preserve">Analysis of PDMS extracts for non-polar pesticides was conducted on a Thermo Scientific TSQ Quantum XLS Triple Quadrupole GC-MS/MS. The mass spectrometer was operated in positive ion, multiple reaction monitoring mode, using argon as the collision gas. Prior to introduction into the mass spectrometer, compounds were separated on an Agilent J &amp; W DB5-MS (25m; 0.25mm i.d.; 0.25µm film thickness) column. Samples were injected in </w:t>
      </w:r>
      <w:r>
        <w:rPr>
          <w:bCs/>
          <w:szCs w:val="18"/>
        </w:rPr>
        <w:t>PTV</w:t>
      </w:r>
      <w:r w:rsidRPr="009E2337">
        <w:rPr>
          <w:bCs/>
          <w:szCs w:val="18"/>
        </w:rPr>
        <w:t xml:space="preserve"> mode at 80°C. The GC oven was held at 80°C for 2 minutes and ramped to 180°C at 20°C/minute; held for 0.5 minutes and ramped to 300°C at 10°C/minute and held for 10.5 minutes. The transfer line and ion source were heated at 280°C and 280°C respectively. Helium was used as the carrier gas at a rate of 1.0ml/minute. A quantitative and qualitative ion transition was monitored for each compound.</w:t>
      </w:r>
    </w:p>
    <w:p w14:paraId="6CDBD2BD" w14:textId="77777777" w:rsidR="00E97A1B" w:rsidRDefault="00E97A1B" w:rsidP="00F5153B">
      <w:pPr>
        <w:pStyle w:val="Caption"/>
        <w:keepNext/>
        <w:jc w:val="center"/>
      </w:pPr>
      <w:bookmarkStart w:id="712" w:name="_Toc462652068"/>
      <w:r>
        <w:t xml:space="preserve">Table A </w:t>
      </w:r>
      <w:r>
        <w:fldChar w:fldCharType="begin"/>
      </w:r>
      <w:r>
        <w:instrText xml:space="preserve"> SEQ Table_A \* ARABIC </w:instrText>
      </w:r>
      <w:r>
        <w:fldChar w:fldCharType="separate"/>
      </w:r>
      <w:r w:rsidR="00E51A34">
        <w:rPr>
          <w:noProof/>
        </w:rPr>
        <w:t>1</w:t>
      </w:r>
      <w:r>
        <w:fldChar w:fldCharType="end"/>
      </w:r>
      <w:r>
        <w:t xml:space="preserve"> </w:t>
      </w:r>
      <w:r w:rsidRPr="00E97A1B">
        <w:t>Entox LCMS analyte list for positive and negative mode analysis</w:t>
      </w:r>
      <w:bookmarkEnd w:id="712"/>
    </w:p>
    <w:p w14:paraId="4830A10F" w14:textId="77777777" w:rsidR="00C53E0C" w:rsidRDefault="0059608E" w:rsidP="00F5153B">
      <w:pPr>
        <w:keepNext/>
        <w:jc w:val="center"/>
      </w:pPr>
      <w:r w:rsidRPr="009C7460">
        <w:rPr>
          <w:noProof/>
          <w:lang w:val="en-AU" w:eastAsia="en-AU" w:bidi="ar-SA"/>
        </w:rPr>
        <w:drawing>
          <wp:inline distT="0" distB="0" distL="0" distR="0" wp14:anchorId="277E13F9" wp14:editId="2AD0F81F">
            <wp:extent cx="2700655" cy="4965700"/>
            <wp:effectExtent l="0" t="0" r="4445" b="6350"/>
            <wp:docPr id="62" name="Picture 62" descr="Table A 1 Entox LCMS analyte list for positive and negative mode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00655" cy="4965700"/>
                    </a:xfrm>
                    <a:prstGeom prst="rect">
                      <a:avLst/>
                    </a:prstGeom>
                    <a:noFill/>
                    <a:ln>
                      <a:noFill/>
                    </a:ln>
                  </pic:spPr>
                </pic:pic>
              </a:graphicData>
            </a:graphic>
          </wp:inline>
        </w:drawing>
      </w:r>
    </w:p>
    <w:p w14:paraId="0C9F94CB" w14:textId="77777777" w:rsidR="0059608E" w:rsidRDefault="0059608E" w:rsidP="006130D4">
      <w:pPr>
        <w:pStyle w:val="Caption"/>
        <w:rPr>
          <w:lang w:val="en-AU"/>
        </w:rPr>
      </w:pPr>
    </w:p>
    <w:bookmarkEnd w:id="536"/>
    <w:p w14:paraId="611BE924" w14:textId="77777777" w:rsidR="0059608E" w:rsidRDefault="0059608E" w:rsidP="006130D4">
      <w:pPr>
        <w:pStyle w:val="Caption"/>
        <w:keepNext/>
      </w:pPr>
    </w:p>
    <w:p w14:paraId="06CBE92A" w14:textId="77777777" w:rsidR="00F5153B" w:rsidRDefault="00F5153B" w:rsidP="00F5153B">
      <w:pPr>
        <w:pStyle w:val="Caption"/>
        <w:keepNext/>
        <w:jc w:val="center"/>
      </w:pPr>
      <w:bookmarkStart w:id="713" w:name="_Toc462652069"/>
      <w:r>
        <w:t xml:space="preserve">Table A </w:t>
      </w:r>
      <w:r>
        <w:fldChar w:fldCharType="begin"/>
      </w:r>
      <w:r>
        <w:instrText xml:space="preserve"> SEQ Table_A \* ARABIC </w:instrText>
      </w:r>
      <w:r>
        <w:fldChar w:fldCharType="separate"/>
      </w:r>
      <w:r w:rsidR="00E51A34">
        <w:rPr>
          <w:noProof/>
        </w:rPr>
        <w:t>2</w:t>
      </w:r>
      <w:r>
        <w:fldChar w:fldCharType="end"/>
      </w:r>
      <w:r>
        <w:t xml:space="preserve"> Entox </w:t>
      </w:r>
      <w:r w:rsidRPr="00C11BBA">
        <w:rPr>
          <w:lang w:val="en-AU"/>
        </w:rPr>
        <w:t>GCMS analyte list for PDMS extracts</w:t>
      </w:r>
      <w:bookmarkEnd w:id="713"/>
    </w:p>
    <w:p w14:paraId="57BCB6FD" w14:textId="77777777" w:rsidR="0059608E" w:rsidRDefault="0059608E" w:rsidP="00F5153B">
      <w:pPr>
        <w:ind w:firstLine="357"/>
        <w:jc w:val="center"/>
      </w:pPr>
      <w:r w:rsidRPr="009C7460">
        <w:rPr>
          <w:noProof/>
          <w:lang w:val="en-AU" w:eastAsia="en-AU" w:bidi="ar-SA"/>
        </w:rPr>
        <w:drawing>
          <wp:inline distT="0" distB="0" distL="0" distR="0" wp14:anchorId="2DCB8DBC" wp14:editId="75094248">
            <wp:extent cx="1467485" cy="956945"/>
            <wp:effectExtent l="0" t="0" r="0" b="0"/>
            <wp:docPr id="68" name="Picture 68" descr="Table A 2 Entox GCMS analyte list for PDMS extr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67485" cy="956945"/>
                    </a:xfrm>
                    <a:prstGeom prst="rect">
                      <a:avLst/>
                    </a:prstGeom>
                    <a:noFill/>
                    <a:ln>
                      <a:noFill/>
                    </a:ln>
                  </pic:spPr>
                </pic:pic>
              </a:graphicData>
            </a:graphic>
          </wp:inline>
        </w:drawing>
      </w:r>
    </w:p>
    <w:p w14:paraId="7DC4F3BB" w14:textId="77777777" w:rsidR="0059608E" w:rsidRPr="005B0F3D" w:rsidRDefault="0059608E" w:rsidP="006130D4">
      <w:pPr>
        <w:jc w:val="left"/>
        <w:rPr>
          <w:sz w:val="14"/>
        </w:rPr>
      </w:pPr>
      <w:r w:rsidRPr="005B0F3D">
        <w:rPr>
          <w:sz w:val="18"/>
        </w:rPr>
        <w:t xml:space="preserve">^Propiconazole is included in the </w:t>
      </w:r>
      <w:r>
        <w:rPr>
          <w:sz w:val="18"/>
        </w:rPr>
        <w:t xml:space="preserve">analytical method however the extraction method has not yet been </w:t>
      </w:r>
      <w:r w:rsidR="00F5153B">
        <w:rPr>
          <w:sz w:val="18"/>
        </w:rPr>
        <w:t>optimized and is not reported in the results</w:t>
      </w:r>
    </w:p>
    <w:p w14:paraId="07C73563" w14:textId="77777777" w:rsidR="00F5153B" w:rsidRDefault="00F5153B" w:rsidP="00F5153B">
      <w:pPr>
        <w:pStyle w:val="Caption"/>
        <w:keepNext/>
        <w:jc w:val="center"/>
      </w:pPr>
      <w:bookmarkStart w:id="714" w:name="_Toc462652070"/>
      <w:r>
        <w:t xml:space="preserve">Table A </w:t>
      </w:r>
      <w:r>
        <w:fldChar w:fldCharType="begin"/>
      </w:r>
      <w:r>
        <w:instrText xml:space="preserve"> SEQ Table_A \* ARABIC </w:instrText>
      </w:r>
      <w:r>
        <w:fldChar w:fldCharType="separate"/>
      </w:r>
      <w:r w:rsidR="00E51A34">
        <w:rPr>
          <w:noProof/>
        </w:rPr>
        <w:t>3</w:t>
      </w:r>
      <w:r>
        <w:fldChar w:fldCharType="end"/>
      </w:r>
      <w:r>
        <w:t xml:space="preserve"> </w:t>
      </w:r>
      <w:r w:rsidRPr="008318FB">
        <w:t>Proposed prior</w:t>
      </w:r>
      <w:r>
        <w:t>i</w:t>
      </w:r>
      <w:r w:rsidRPr="008318FB">
        <w:t>ty pesticides and herbicides specified under the MMP (proposed at PWG 18 Aug 2015)</w:t>
      </w:r>
      <w:r>
        <w:t xml:space="preserve"> and their approximate limits of reporting (ng L</w:t>
      </w:r>
      <w:r>
        <w:rPr>
          <w:vertAlign w:val="superscript"/>
        </w:rPr>
        <w:t>-1</w:t>
      </w:r>
      <w:r>
        <w:t>)</w:t>
      </w:r>
      <w:bookmarkEnd w:id="714"/>
    </w:p>
    <w:p w14:paraId="0057D289" w14:textId="77777777" w:rsidR="0059608E" w:rsidRDefault="0059608E" w:rsidP="006130D4">
      <w:pPr>
        <w:jc w:val="left"/>
      </w:pPr>
      <w:r w:rsidRPr="00FA2137">
        <w:rPr>
          <w:noProof/>
          <w:lang w:val="en-AU" w:eastAsia="en-AU" w:bidi="ar-SA"/>
        </w:rPr>
        <w:drawing>
          <wp:inline distT="0" distB="0" distL="0" distR="0" wp14:anchorId="7F40ADF4" wp14:editId="6F5E55C2">
            <wp:extent cx="6528391" cy="7086970"/>
            <wp:effectExtent l="0" t="0" r="6350" b="0"/>
            <wp:docPr id="52" name="Picture 52" descr="Table A 3 Proposed priority pesticides and herbicides specified under the MMP (proposed at PWG 18 Aug 2015) and their approximate limits of reporting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31831" cy="7090704"/>
                    </a:xfrm>
                    <a:prstGeom prst="rect">
                      <a:avLst/>
                    </a:prstGeom>
                    <a:noFill/>
                    <a:ln>
                      <a:noFill/>
                    </a:ln>
                  </pic:spPr>
                </pic:pic>
              </a:graphicData>
            </a:graphic>
          </wp:inline>
        </w:drawing>
      </w:r>
    </w:p>
    <w:p w14:paraId="443494C1" w14:textId="77777777" w:rsidR="0059608E" w:rsidRPr="00CF70F1" w:rsidRDefault="0059608E" w:rsidP="006130D4">
      <w:pPr>
        <w:jc w:val="left"/>
        <w:rPr>
          <w:sz w:val="18"/>
        </w:rPr>
      </w:pPr>
      <w:r w:rsidRPr="00CF70F1">
        <w:rPr>
          <w:sz w:val="18"/>
        </w:rPr>
        <w:t>*Not currently analysed by Entox; Shaded</w:t>
      </w:r>
      <w:r>
        <w:rPr>
          <w:sz w:val="18"/>
        </w:rPr>
        <w:t xml:space="preserve"> chemicals are included as part of the Paddock 2 Reef </w:t>
      </w:r>
      <w:r w:rsidRPr="00D36000">
        <w:rPr>
          <w:sz w:val="18"/>
        </w:rPr>
        <w:t>Integrated Monitoring, Modelling and Reporting Program</w:t>
      </w:r>
      <w:r>
        <w:rPr>
          <w:sz w:val="18"/>
        </w:rPr>
        <w:t xml:space="preserve">; Limits of reporting were calculated by assuming a 30 day deployment, flow rate of 24 cm/s and the value </w:t>
      </w:r>
      <w:r>
        <w:rPr>
          <w:sz w:val="18"/>
        </w:rPr>
        <w:lastRenderedPageBreak/>
        <w:t xml:space="preserve">of the lowest standard that could be quantified as the mass accumulated in the sampler; Red text indicates that the sampling rate of atrazine has been assumed </w:t>
      </w:r>
    </w:p>
    <w:p w14:paraId="303B98CA" w14:textId="77777777" w:rsidR="00730D4C" w:rsidRDefault="00730D4C" w:rsidP="004638BA">
      <w:pPr>
        <w:pStyle w:val="Caption"/>
        <w:keepNext/>
        <w:jc w:val="center"/>
      </w:pPr>
      <w:bookmarkStart w:id="715" w:name="_Toc462652071"/>
      <w:r>
        <w:t xml:space="preserve">Table A </w:t>
      </w:r>
      <w:r>
        <w:fldChar w:fldCharType="begin"/>
      </w:r>
      <w:r>
        <w:instrText xml:space="preserve"> SEQ Table_A \* ARABIC </w:instrText>
      </w:r>
      <w:r>
        <w:fldChar w:fldCharType="separate"/>
      </w:r>
      <w:r w:rsidR="00E51A34">
        <w:rPr>
          <w:noProof/>
        </w:rPr>
        <w:t>4</w:t>
      </w:r>
      <w:r>
        <w:fldChar w:fldCharType="end"/>
      </w:r>
      <w:r w:rsidRPr="00730D4C">
        <w:t xml:space="preserve"> Other pesticides of interest for potential inclusion in monitoring and reporting activities (feedback from the Paddock to the Reef program).</w:t>
      </w:r>
      <w:bookmarkEnd w:id="715"/>
    </w:p>
    <w:p w14:paraId="79615C17" w14:textId="77777777" w:rsidR="0059608E" w:rsidRDefault="0059608E" w:rsidP="006130D4">
      <w:pPr>
        <w:ind w:firstLine="357"/>
        <w:jc w:val="left"/>
      </w:pPr>
      <w:r w:rsidRPr="005E0023">
        <w:rPr>
          <w:noProof/>
          <w:lang w:val="en-AU" w:eastAsia="en-AU" w:bidi="ar-SA"/>
        </w:rPr>
        <w:drawing>
          <wp:inline distT="0" distB="0" distL="0" distR="0" wp14:anchorId="110CF7E1" wp14:editId="398E24B7">
            <wp:extent cx="6127667" cy="3041405"/>
            <wp:effectExtent l="0" t="0" r="6985" b="6985"/>
            <wp:docPr id="3" name="Picture 3" descr="Table A 4 Other pesticides of interest for potential inclusion in monitoring and reporting activities (feedback from the Paddock to the Reef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39501" cy="3047279"/>
                    </a:xfrm>
                    <a:prstGeom prst="rect">
                      <a:avLst/>
                    </a:prstGeom>
                    <a:noFill/>
                    <a:ln>
                      <a:noFill/>
                    </a:ln>
                  </pic:spPr>
                </pic:pic>
              </a:graphicData>
            </a:graphic>
          </wp:inline>
        </w:drawing>
      </w:r>
    </w:p>
    <w:p w14:paraId="2716CEF9" w14:textId="77777777" w:rsidR="0059608E" w:rsidRDefault="0059608E" w:rsidP="006130D4">
      <w:pPr>
        <w:pStyle w:val="Caption"/>
        <w:keepNext/>
      </w:pPr>
    </w:p>
    <w:p w14:paraId="310F0099" w14:textId="77777777" w:rsidR="00730D4C" w:rsidRDefault="00730D4C" w:rsidP="004638BA">
      <w:pPr>
        <w:pStyle w:val="Caption"/>
        <w:keepNext/>
        <w:jc w:val="center"/>
      </w:pPr>
      <w:bookmarkStart w:id="716" w:name="_Toc462652072"/>
      <w:r>
        <w:t xml:space="preserve">Table A </w:t>
      </w:r>
      <w:r>
        <w:fldChar w:fldCharType="begin"/>
      </w:r>
      <w:r>
        <w:instrText xml:space="preserve"> SEQ Table_A \* ARABIC </w:instrText>
      </w:r>
      <w:r>
        <w:fldChar w:fldCharType="separate"/>
      </w:r>
      <w:r w:rsidR="00E51A34">
        <w:rPr>
          <w:noProof/>
        </w:rPr>
        <w:t>5</w:t>
      </w:r>
      <w:r>
        <w:fldChar w:fldCharType="end"/>
      </w:r>
      <w:r>
        <w:t xml:space="preserve"> Summary of variability (% coefficient of variation) of replicate ED analysis, analysed by Entox</w:t>
      </w:r>
      <w:bookmarkEnd w:id="716"/>
    </w:p>
    <w:p w14:paraId="2796B4C4" w14:textId="77777777" w:rsidR="0059608E" w:rsidRDefault="0059608E" w:rsidP="004638BA">
      <w:pPr>
        <w:ind w:firstLine="357"/>
        <w:jc w:val="center"/>
      </w:pPr>
      <w:r w:rsidRPr="00D16A64">
        <w:rPr>
          <w:noProof/>
          <w:lang w:val="en-AU" w:eastAsia="en-AU" w:bidi="ar-SA"/>
        </w:rPr>
        <w:drawing>
          <wp:inline distT="0" distB="0" distL="0" distR="0" wp14:anchorId="1D23603E" wp14:editId="712FE33E">
            <wp:extent cx="4310743" cy="4143673"/>
            <wp:effectExtent l="0" t="0" r="0" b="0"/>
            <wp:docPr id="53" name="Picture 53" descr="Table A 5 Summary of variability (% coefficient of variation) of replicate ED analysis, analysed by Ent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314460" cy="4147246"/>
                    </a:xfrm>
                    <a:prstGeom prst="rect">
                      <a:avLst/>
                    </a:prstGeom>
                    <a:noFill/>
                    <a:ln>
                      <a:noFill/>
                    </a:ln>
                  </pic:spPr>
                </pic:pic>
              </a:graphicData>
            </a:graphic>
          </wp:inline>
        </w:drawing>
      </w:r>
    </w:p>
    <w:p w14:paraId="5BA18C1B" w14:textId="77777777" w:rsidR="0059608E" w:rsidRPr="00DF7B1D" w:rsidRDefault="0059608E" w:rsidP="004638BA">
      <w:pPr>
        <w:ind w:firstLine="357"/>
        <w:jc w:val="center"/>
        <w:rPr>
          <w:sz w:val="18"/>
        </w:rPr>
      </w:pPr>
      <w:r>
        <w:rPr>
          <w:sz w:val="18"/>
        </w:rPr>
        <w:t>Only instances where a chemical was detected in both replicates has been included</w:t>
      </w:r>
    </w:p>
    <w:p w14:paraId="5F88DDE5" w14:textId="77777777" w:rsidR="0059608E" w:rsidRDefault="0059608E" w:rsidP="006130D4">
      <w:pPr>
        <w:ind w:firstLine="357"/>
        <w:jc w:val="left"/>
      </w:pPr>
    </w:p>
    <w:p w14:paraId="20B57E39" w14:textId="77777777" w:rsidR="00197A1A" w:rsidRDefault="00197A1A" w:rsidP="004638BA">
      <w:pPr>
        <w:pStyle w:val="Caption"/>
        <w:keepNext/>
        <w:jc w:val="center"/>
      </w:pPr>
      <w:bookmarkStart w:id="717" w:name="_Toc462652073"/>
      <w:r>
        <w:lastRenderedPageBreak/>
        <w:t xml:space="preserve">Table A </w:t>
      </w:r>
      <w:r>
        <w:fldChar w:fldCharType="begin"/>
      </w:r>
      <w:r>
        <w:instrText xml:space="preserve"> SEQ Table_A \* ARABIC </w:instrText>
      </w:r>
      <w:r>
        <w:fldChar w:fldCharType="separate"/>
      </w:r>
      <w:r w:rsidR="00E51A34">
        <w:rPr>
          <w:noProof/>
        </w:rPr>
        <w:t>6</w:t>
      </w:r>
      <w:r>
        <w:fldChar w:fldCharType="end"/>
      </w:r>
      <w:r>
        <w:t xml:space="preserve"> </w:t>
      </w:r>
      <w:r w:rsidRPr="00197A1A">
        <w:t>Summary of inter-laboratory comparison of ED extracts (% coefficient of variation)</w:t>
      </w:r>
      <w:bookmarkEnd w:id="717"/>
    </w:p>
    <w:p w14:paraId="6DB816FD" w14:textId="77777777" w:rsidR="0059608E" w:rsidRDefault="0059608E" w:rsidP="004638BA">
      <w:pPr>
        <w:ind w:firstLine="357"/>
        <w:jc w:val="center"/>
      </w:pPr>
      <w:r w:rsidRPr="00CE204B">
        <w:rPr>
          <w:noProof/>
          <w:lang w:val="en-AU" w:eastAsia="en-AU" w:bidi="ar-SA"/>
        </w:rPr>
        <w:drawing>
          <wp:inline distT="0" distB="0" distL="0" distR="0" wp14:anchorId="552DAE9E" wp14:editId="5490CF38">
            <wp:extent cx="4655127" cy="4623097"/>
            <wp:effectExtent l="0" t="0" r="0" b="6350"/>
            <wp:docPr id="94" name="Picture 94" descr="Table A 6 Summary of inter-laboratory comparison of ED extracts (% coefficient of var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659932" cy="4627869"/>
                    </a:xfrm>
                    <a:prstGeom prst="rect">
                      <a:avLst/>
                    </a:prstGeom>
                    <a:noFill/>
                    <a:ln>
                      <a:noFill/>
                    </a:ln>
                  </pic:spPr>
                </pic:pic>
              </a:graphicData>
            </a:graphic>
          </wp:inline>
        </w:drawing>
      </w:r>
    </w:p>
    <w:p w14:paraId="4A56D049" w14:textId="77777777" w:rsidR="0059608E" w:rsidRDefault="0059608E" w:rsidP="004638BA">
      <w:pPr>
        <w:ind w:firstLine="357"/>
        <w:jc w:val="center"/>
        <w:rPr>
          <w:b/>
          <w:bCs/>
          <w:sz w:val="18"/>
          <w:szCs w:val="18"/>
        </w:rPr>
      </w:pPr>
      <w:r>
        <w:rPr>
          <w:sz w:val="18"/>
        </w:rPr>
        <w:t>Only instances where a chemical was detected in both replicates has been included</w:t>
      </w:r>
    </w:p>
    <w:p w14:paraId="7F815B67" w14:textId="77777777" w:rsidR="0059608E" w:rsidRDefault="0059608E">
      <w:pPr>
        <w:ind w:firstLine="357"/>
        <w:jc w:val="left"/>
      </w:pPr>
    </w:p>
    <w:p w14:paraId="209C8B49" w14:textId="77777777" w:rsidR="0059608E" w:rsidRDefault="0059608E">
      <w:pPr>
        <w:ind w:firstLine="357"/>
        <w:jc w:val="left"/>
      </w:pPr>
    </w:p>
    <w:p w14:paraId="30983594" w14:textId="77777777" w:rsidR="0059608E" w:rsidRPr="00901286" w:rsidRDefault="006C60D9" w:rsidP="00FE1116">
      <w:pPr>
        <w:pStyle w:val="Heading2"/>
        <w:numPr>
          <w:ilvl w:val="1"/>
          <w:numId w:val="2"/>
        </w:numPr>
        <w:ind w:left="0" w:hanging="10"/>
      </w:pPr>
      <w:bookmarkStart w:id="718" w:name="_Toc461457785"/>
      <w:bookmarkStart w:id="719" w:name="_Toc462651966"/>
      <w:r>
        <w:t>Flood plume mapping</w:t>
      </w:r>
      <w:bookmarkEnd w:id="718"/>
      <w:bookmarkEnd w:id="719"/>
    </w:p>
    <w:p w14:paraId="5A4C423C" w14:textId="77777777" w:rsidR="0059608E" w:rsidRDefault="0059608E" w:rsidP="006130D4">
      <w:pPr>
        <w:spacing w:line="360" w:lineRule="auto"/>
        <w:rPr>
          <w:lang w:val="en-GB" w:eastAsia="en-AU"/>
        </w:rPr>
      </w:pPr>
      <w:r>
        <w:rPr>
          <w:lang w:val="en-GB" w:eastAsia="en-AU"/>
        </w:rPr>
        <w:t>Six colour classes have been defined that correspond to three water types – primary, secondary and tertiary.  E</w:t>
      </w:r>
      <w:r w:rsidRPr="00C321D1">
        <w:rPr>
          <w:lang w:val="en-GB" w:eastAsia="en-AU"/>
        </w:rPr>
        <w:t>ach</w:t>
      </w:r>
      <w:r>
        <w:rPr>
          <w:lang w:val="en-GB" w:eastAsia="en-AU"/>
        </w:rPr>
        <w:t xml:space="preserve"> </w:t>
      </w:r>
      <w:r w:rsidRPr="00C321D1">
        <w:rPr>
          <w:lang w:val="en-GB" w:eastAsia="en-AU"/>
        </w:rPr>
        <w:t xml:space="preserve">water type is associated with different levels and combination of pollutants </w:t>
      </w:r>
      <w:r>
        <w:rPr>
          <w:lang w:val="en-GB" w:eastAsia="en-AU"/>
        </w:rPr>
        <w:t>which</w:t>
      </w:r>
      <w:r w:rsidRPr="00C321D1">
        <w:rPr>
          <w:lang w:val="en-GB" w:eastAsia="en-AU"/>
        </w:rPr>
        <w:t xml:space="preserve"> </w:t>
      </w:r>
      <w:r>
        <w:rPr>
          <w:lang w:val="en-GB" w:eastAsia="en-AU"/>
        </w:rPr>
        <w:t xml:space="preserve">potentially have different </w:t>
      </w:r>
      <w:r w:rsidRPr="00C321D1">
        <w:rPr>
          <w:lang w:val="en-GB" w:eastAsia="en-AU"/>
        </w:rPr>
        <w:t>impact</w:t>
      </w:r>
      <w:r>
        <w:rPr>
          <w:lang w:val="en-GB" w:eastAsia="en-AU"/>
        </w:rPr>
        <w:t>s</w:t>
      </w:r>
      <w:r w:rsidRPr="00C321D1">
        <w:rPr>
          <w:lang w:val="en-GB" w:eastAsia="en-AU"/>
        </w:rPr>
        <w:t xml:space="preserve"> on</w:t>
      </w:r>
      <w:r>
        <w:rPr>
          <w:lang w:val="en-GB" w:eastAsia="en-AU"/>
        </w:rPr>
        <w:t xml:space="preserve"> Reef</w:t>
      </w:r>
      <w:r w:rsidRPr="00C321D1">
        <w:rPr>
          <w:lang w:val="en-GB" w:eastAsia="en-AU"/>
        </w:rPr>
        <w:t xml:space="preserve"> ecosystems </w:t>
      </w:r>
      <w:r w:rsidR="00126EC3">
        <w:rPr>
          <w:lang w:val="en-GB" w:eastAsia="en-AU"/>
        </w:rPr>
        <w:fldChar w:fldCharType="begin"/>
      </w:r>
      <w:r w:rsidR="00126EC3">
        <w:rPr>
          <w:lang w:val="en-GB" w:eastAsia="en-AU"/>
        </w:rPr>
        <w:instrText xml:space="preserve"> ADDIN EN.CITE &lt;EndNote&gt;&lt;Cite&gt;&lt;Author&gt;Álvarez-Romero&lt;/Author&gt;&lt;Year&gt;2013&lt;/Year&gt;&lt;RecNum&gt;360&lt;/RecNum&gt;&lt;DisplayText&gt;(Álvarez-Romero et al., 2013, Devlin et al., 2012)&lt;/DisplayText&gt;&lt;record&gt;&lt;rec-number&gt;360&lt;/rec-number&gt;&lt;foreign-keys&gt;&lt;key app="EN" db-id="0zzrztwe5p59skesdrqpsfeu2s0xt5zd5v9p" timestamp="1466652116"&gt;360&lt;/key&gt;&lt;/foreign-keys&gt;&lt;ref-type name="Journal Article"&gt;17&lt;/ref-type&gt;&lt;contributors&gt;&lt;authors&gt;&lt;author&gt;Álvarez-Romero, Jorge G&lt;/author&gt;&lt;author&gt;Devlin, Michelle&lt;/author&gt;&lt;author&gt;da Silva, Eduardo Teixeira&lt;/author&gt;&lt;author&gt;Petus, Caroline&lt;/author&gt;&lt;author&gt;Ban, Natalie C&lt;/author&gt;&lt;author&gt;Pressey, Robert L&lt;/author&gt;&lt;author&gt;Kool, Johnathan&lt;/author&gt;&lt;author&gt;Roberts, Jason J&lt;/author&gt;&lt;author&gt;Cerdeira-Estrada, Sergio&lt;/author&gt;&lt;author&gt;Wenger, Amelia S&lt;/author&gt;&lt;/authors&gt;&lt;/contributors&gt;&lt;titles&gt;&lt;title&gt;A novel approach to model exposure of coastal-marine ecosystems to riverine flood plumes based on remote sensing techniques&lt;/title&gt;&lt;secondary-title&gt;Journal of environmental management&lt;/secondary-title&gt;&lt;/titles&gt;&lt;periodical&gt;&lt;full-title&gt;Journal of environmental management&lt;/full-title&gt;&lt;/periodical&gt;&lt;pages&gt;194-207&lt;/pages&gt;&lt;volume&gt;119&lt;/volume&gt;&lt;dates&gt;&lt;year&gt;2013&lt;/year&gt;&lt;/dates&gt;&lt;isbn&gt;0301-4797&lt;/isbn&gt;&lt;urls&gt;&lt;/urls&gt;&lt;/record&gt;&lt;/Cite&gt;&lt;Cite&gt;&lt;Author&gt;Devlin&lt;/Author&gt;&lt;Year&gt;2012&lt;/Year&gt;&lt;RecNum&gt;333&lt;/RecNum&gt;&lt;record&gt;&lt;rec-number&gt;333&lt;/rec-number&gt;&lt;foreign-keys&gt;&lt;key app="EN" db-id="0zzrztwe5p59skesdrqpsfeu2s0xt5zd5v9p" timestamp="1466578920"&gt;333&lt;/key&gt;&lt;/foreign-keys&gt;&lt;ref-type name="Report"&gt;27&lt;/ref-type&gt;&lt;contributors&gt;&lt;authors&gt;&lt;author&gt;Devlin, M.J.&lt;/author&gt;&lt;author&gt;Wenger, A.&lt;/author&gt;&lt;author&gt;Petus, C.&lt;/author&gt;&lt;author&gt;da Silva, E.T.&lt;/author&gt;&lt;author&gt;DeBose, J.&lt;/author&gt;&lt;author&gt;Álvarez-Romero, J&lt;/author&gt;&lt;/authors&gt;&lt;/contributors&gt;&lt;titles&gt;&lt;title&gt;Reef Rescue Marine Monitoring Program. Final Report of JCU Activities 2011/12– Flood Plumes and Extreme weather monitoring for the Great Barrier Reef Marine Park Authority.&lt;/title&gt;&lt;/titles&gt;&lt;dates&gt;&lt;year&gt;2012&lt;/year&gt;&lt;/dates&gt;&lt;pub-location&gt;James Cook University. Townsville.&lt;/pub-location&gt;&lt;urls&gt;&lt;/urls&gt;&lt;/record&gt;&lt;/Cite&gt;&lt;/EndNote&gt;</w:instrText>
      </w:r>
      <w:r w:rsidR="00126EC3">
        <w:rPr>
          <w:lang w:val="en-GB" w:eastAsia="en-AU"/>
        </w:rPr>
        <w:fldChar w:fldCharType="separate"/>
      </w:r>
      <w:r w:rsidR="00126EC3">
        <w:rPr>
          <w:noProof/>
          <w:lang w:val="en-GB" w:eastAsia="en-AU"/>
        </w:rPr>
        <w:t>(Álvarez-Romero et al., 2013, Devlin et al., 2012)</w:t>
      </w:r>
      <w:r w:rsidR="00126EC3">
        <w:rPr>
          <w:lang w:val="en-GB" w:eastAsia="en-AU"/>
        </w:rPr>
        <w:fldChar w:fldCharType="end"/>
      </w:r>
      <w:r>
        <w:rPr>
          <w:lang w:val="en-GB" w:eastAsia="en-AU"/>
        </w:rPr>
        <w:t xml:space="preserve">. For each of the fixed monitoring sites, the weekly colour class (i.e. the </w:t>
      </w:r>
      <w:r w:rsidRPr="005C645C">
        <w:rPr>
          <w:lang w:val="en-GB" w:eastAsia="en-AU"/>
        </w:rPr>
        <w:t>minimum colour class at each pixel recorded for the week</w:t>
      </w:r>
      <w:r>
        <w:rPr>
          <w:lang w:val="en-GB" w:eastAsia="en-AU"/>
        </w:rPr>
        <w:t>) was recorded, for 22 weeks of the wet season (beginning on the 1</w:t>
      </w:r>
      <w:r w:rsidRPr="00120A13">
        <w:rPr>
          <w:vertAlign w:val="superscript"/>
          <w:lang w:val="en-GB" w:eastAsia="en-AU"/>
        </w:rPr>
        <w:t>st</w:t>
      </w:r>
      <w:r>
        <w:rPr>
          <w:lang w:val="en-GB" w:eastAsia="en-AU"/>
        </w:rPr>
        <w:t xml:space="preserve"> of December 2014) (Appendix C, Table 23). Weeks that have no data (a value of 7) indicate that the sites were beyond the plume extent for those weeks. </w:t>
      </w:r>
      <w:r w:rsidRPr="008A298F">
        <w:rPr>
          <w:lang w:val="en-GB" w:eastAsia="en-AU"/>
        </w:rPr>
        <w:t xml:space="preserve">Two of the sites (Fitzroy </w:t>
      </w:r>
      <w:r>
        <w:rPr>
          <w:lang w:val="en-GB" w:eastAsia="en-AU"/>
        </w:rPr>
        <w:t xml:space="preserve">Island </w:t>
      </w:r>
      <w:r w:rsidRPr="008A298F">
        <w:rPr>
          <w:lang w:val="en-GB" w:eastAsia="en-AU"/>
        </w:rPr>
        <w:t xml:space="preserve">and Cape Cleveland) are in the land masked area, but are adjacent to data pixels </w:t>
      </w:r>
      <w:r>
        <w:rPr>
          <w:lang w:val="en-GB" w:eastAsia="en-AU"/>
        </w:rPr>
        <w:t xml:space="preserve">and </w:t>
      </w:r>
      <w:r w:rsidRPr="008A298F">
        <w:rPr>
          <w:lang w:val="en-GB" w:eastAsia="en-AU"/>
        </w:rPr>
        <w:t xml:space="preserve">so have </w:t>
      </w:r>
      <w:r>
        <w:rPr>
          <w:lang w:val="en-GB" w:eastAsia="en-AU"/>
        </w:rPr>
        <w:t xml:space="preserve">been </w:t>
      </w:r>
      <w:r w:rsidRPr="008A298F">
        <w:rPr>
          <w:lang w:val="en-GB" w:eastAsia="en-AU"/>
        </w:rPr>
        <w:t>interpolated outward by 1</w:t>
      </w:r>
      <w:r>
        <w:rPr>
          <w:lang w:val="en-GB" w:eastAsia="en-AU"/>
        </w:rPr>
        <w:t xml:space="preserve"> </w:t>
      </w:r>
      <w:r w:rsidRPr="008A298F">
        <w:rPr>
          <w:lang w:val="en-GB" w:eastAsia="en-AU"/>
        </w:rPr>
        <w:t>p</w:t>
      </w:r>
      <w:r>
        <w:rPr>
          <w:lang w:val="en-GB" w:eastAsia="en-AU"/>
        </w:rPr>
        <w:t>i</w:t>
      </w:r>
      <w:r w:rsidRPr="008A298F">
        <w:rPr>
          <w:lang w:val="en-GB" w:eastAsia="en-AU"/>
        </w:rPr>
        <w:t>x</w:t>
      </w:r>
      <w:r>
        <w:rPr>
          <w:lang w:val="en-GB" w:eastAsia="en-AU"/>
        </w:rPr>
        <w:t>el</w:t>
      </w:r>
      <w:r w:rsidRPr="008A298F">
        <w:rPr>
          <w:lang w:val="en-GB" w:eastAsia="en-AU"/>
        </w:rPr>
        <w:t xml:space="preserve"> at the edge of the data</w:t>
      </w:r>
      <w:r>
        <w:rPr>
          <w:lang w:val="en-GB" w:eastAsia="en-AU"/>
        </w:rPr>
        <w:t xml:space="preserve">. </w:t>
      </w:r>
      <w:r w:rsidRPr="00524A8B">
        <w:rPr>
          <w:lang w:val="en-GB" w:eastAsia="en-AU"/>
        </w:rPr>
        <w:t>The</w:t>
      </w:r>
      <w:r>
        <w:rPr>
          <w:lang w:val="en-GB" w:eastAsia="en-AU"/>
        </w:rPr>
        <w:t xml:space="preserve"> </w:t>
      </w:r>
      <w:r w:rsidRPr="00524A8B">
        <w:rPr>
          <w:lang w:val="en-GB" w:eastAsia="en-AU"/>
        </w:rPr>
        <w:t xml:space="preserve">annual frequency of occurrence for </w:t>
      </w:r>
      <w:r>
        <w:rPr>
          <w:lang w:val="en-GB" w:eastAsia="en-AU"/>
        </w:rPr>
        <w:t xml:space="preserve">primary and secondary </w:t>
      </w:r>
      <w:r w:rsidRPr="00524A8B">
        <w:rPr>
          <w:lang w:val="en-GB" w:eastAsia="en-AU"/>
        </w:rPr>
        <w:t>water type</w:t>
      </w:r>
      <w:r>
        <w:rPr>
          <w:lang w:val="en-GB" w:eastAsia="en-AU"/>
        </w:rPr>
        <w:t>s (colour classes 1 – 5)</w:t>
      </w:r>
      <w:r w:rsidRPr="00524A8B">
        <w:rPr>
          <w:lang w:val="en-GB" w:eastAsia="en-AU"/>
        </w:rPr>
        <w:t xml:space="preserve"> </w:t>
      </w:r>
      <w:r>
        <w:rPr>
          <w:lang w:val="en-GB" w:eastAsia="en-AU"/>
        </w:rPr>
        <w:t>were calculated for each fixed mon</w:t>
      </w:r>
      <w:r w:rsidR="00126EC3">
        <w:rPr>
          <w:lang w:val="en-GB" w:eastAsia="en-AU"/>
        </w:rPr>
        <w:t>i</w:t>
      </w:r>
      <w:r>
        <w:rPr>
          <w:lang w:val="en-GB" w:eastAsia="en-AU"/>
        </w:rPr>
        <w:t xml:space="preserve">toring sites by dividing the number of </w:t>
      </w:r>
      <w:r w:rsidRPr="009C3519">
        <w:rPr>
          <w:lang w:val="en-GB" w:eastAsia="en-AU"/>
        </w:rPr>
        <w:t>weeks that a pixel was retrieved as either primary</w:t>
      </w:r>
      <w:r>
        <w:rPr>
          <w:lang w:val="en-GB" w:eastAsia="en-AU"/>
        </w:rPr>
        <w:t xml:space="preserve"> or</w:t>
      </w:r>
      <w:r w:rsidRPr="009C3519">
        <w:rPr>
          <w:lang w:val="en-GB" w:eastAsia="en-AU"/>
        </w:rPr>
        <w:t xml:space="preserve"> secondary water type</w:t>
      </w:r>
      <w:r>
        <w:rPr>
          <w:lang w:val="en-GB" w:eastAsia="en-AU"/>
        </w:rPr>
        <w:t>s</w:t>
      </w:r>
      <w:r w:rsidRPr="009C3519">
        <w:rPr>
          <w:lang w:val="en-GB" w:eastAsia="en-AU"/>
        </w:rPr>
        <w:t xml:space="preserve">, by the maximum number of weeks </w:t>
      </w:r>
      <w:r>
        <w:rPr>
          <w:lang w:val="en-GB" w:eastAsia="en-AU"/>
        </w:rPr>
        <w:t xml:space="preserve">(i.e. 22) </w:t>
      </w:r>
      <w:r w:rsidRPr="009C3519">
        <w:rPr>
          <w:lang w:val="en-GB" w:eastAsia="en-AU"/>
        </w:rPr>
        <w:t xml:space="preserve">in a wet season </w:t>
      </w:r>
      <w:r>
        <w:rPr>
          <w:lang w:val="en-GB" w:eastAsia="en-AU"/>
        </w:rPr>
        <w:t xml:space="preserve">(Appendix D, Tables 25 – 40). </w:t>
      </w:r>
      <w:r w:rsidRPr="00E85E9D">
        <w:rPr>
          <w:lang w:val="en-GB" w:eastAsia="en-AU"/>
        </w:rPr>
        <w:t>The</w:t>
      </w:r>
      <w:r>
        <w:rPr>
          <w:lang w:val="en-GB" w:eastAsia="en-AU"/>
        </w:rPr>
        <w:t xml:space="preserve"> </w:t>
      </w:r>
      <w:r w:rsidRPr="00E85E9D">
        <w:rPr>
          <w:lang w:val="en-GB" w:eastAsia="en-AU"/>
        </w:rPr>
        <w:t>frequency of occurrence of flood plume</w:t>
      </w:r>
      <w:r>
        <w:rPr>
          <w:lang w:val="en-GB" w:eastAsia="en-AU"/>
        </w:rPr>
        <w:t>s</w:t>
      </w:r>
      <w:r w:rsidRPr="00E85E9D">
        <w:rPr>
          <w:lang w:val="en-GB" w:eastAsia="en-AU"/>
        </w:rPr>
        <w:t xml:space="preserve"> </w:t>
      </w:r>
      <w:r>
        <w:rPr>
          <w:lang w:val="en-GB" w:eastAsia="en-AU"/>
        </w:rPr>
        <w:t>can then be</w:t>
      </w:r>
      <w:r w:rsidRPr="00E85E9D">
        <w:rPr>
          <w:lang w:val="en-GB" w:eastAsia="en-AU"/>
        </w:rPr>
        <w:t xml:space="preserve"> aggregated into frequency classes</w:t>
      </w:r>
      <w:r>
        <w:rPr>
          <w:lang w:val="en-GB" w:eastAsia="en-AU"/>
        </w:rPr>
        <w:t xml:space="preserve"> of </w:t>
      </w:r>
      <w:r w:rsidRPr="00E85E9D">
        <w:rPr>
          <w:lang w:val="en-GB" w:eastAsia="en-AU"/>
        </w:rPr>
        <w:t xml:space="preserve">low risk </w:t>
      </w:r>
      <w:r>
        <w:rPr>
          <w:lang w:val="en-GB" w:eastAsia="en-AU"/>
        </w:rPr>
        <w:t xml:space="preserve">(frequency of 0.1) </w:t>
      </w:r>
      <w:r w:rsidRPr="00E85E9D">
        <w:rPr>
          <w:lang w:val="en-GB" w:eastAsia="en-AU"/>
        </w:rPr>
        <w:t>to high risk</w:t>
      </w:r>
      <w:r>
        <w:rPr>
          <w:lang w:val="en-GB" w:eastAsia="en-AU"/>
        </w:rPr>
        <w:t xml:space="preserve"> (frequency of 1</w:t>
      </w:r>
      <w:r w:rsidRPr="00E85E9D">
        <w:rPr>
          <w:lang w:val="en-GB" w:eastAsia="en-AU"/>
        </w:rPr>
        <w:t>)</w:t>
      </w:r>
      <w:r>
        <w:rPr>
          <w:lang w:val="en-GB" w:eastAsia="en-AU"/>
        </w:rPr>
        <w:t xml:space="preserve"> to create frequency maps for prim</w:t>
      </w:r>
      <w:r w:rsidRPr="00524A8B">
        <w:rPr>
          <w:lang w:val="en-GB" w:eastAsia="en-AU"/>
        </w:rPr>
        <w:t>ary</w:t>
      </w:r>
      <w:r>
        <w:rPr>
          <w:lang w:val="en-GB" w:eastAsia="en-AU"/>
        </w:rPr>
        <w:t xml:space="preserve"> and </w:t>
      </w:r>
      <w:r w:rsidRPr="00524A8B">
        <w:rPr>
          <w:lang w:val="en-GB" w:eastAsia="en-AU"/>
        </w:rPr>
        <w:t>secondary water types</w:t>
      </w:r>
      <w:r>
        <w:rPr>
          <w:lang w:val="en-GB" w:eastAsia="en-AU"/>
        </w:rPr>
        <w:t>.</w:t>
      </w:r>
      <w:r w:rsidRPr="00524A8B">
        <w:rPr>
          <w:lang w:val="en-GB" w:eastAsia="en-AU"/>
        </w:rPr>
        <w:t xml:space="preserve"> </w:t>
      </w:r>
    </w:p>
    <w:p w14:paraId="3A95DEF9" w14:textId="77777777" w:rsidR="0059608E" w:rsidRDefault="0059608E" w:rsidP="006130D4">
      <w:pPr>
        <w:spacing w:line="360" w:lineRule="auto"/>
        <w:rPr>
          <w:lang w:val="en-GB" w:eastAsia="en-AU"/>
        </w:rPr>
      </w:pPr>
    </w:p>
    <w:p w14:paraId="2297D4DE" w14:textId="77777777" w:rsidR="0059608E" w:rsidRPr="00A37D5A" w:rsidRDefault="0059608E" w:rsidP="006130D4">
      <w:pPr>
        <w:spacing w:line="360" w:lineRule="auto"/>
        <w:rPr>
          <w:lang w:val="en-GB" w:eastAsia="en-AU"/>
        </w:rPr>
      </w:pPr>
      <w:r>
        <w:rPr>
          <w:lang w:val="en-GB" w:eastAsia="en-AU"/>
        </w:rPr>
        <w:lastRenderedPageBreak/>
        <w:t>Annual plume frequency maps can then be prepared</w:t>
      </w:r>
      <w:r w:rsidRPr="00524A8B">
        <w:rPr>
          <w:lang w:val="en-GB" w:eastAsia="en-AU"/>
        </w:rPr>
        <w:t xml:space="preserve"> </w:t>
      </w:r>
      <w:r>
        <w:rPr>
          <w:lang w:val="en-GB" w:eastAsia="en-AU"/>
        </w:rPr>
        <w:t xml:space="preserve">by overlaying weekly composite maps </w:t>
      </w:r>
      <w:r w:rsidRPr="00524A8B">
        <w:rPr>
          <w:lang w:val="en-GB" w:eastAsia="en-AU"/>
        </w:rPr>
        <w:t xml:space="preserve">as the number of weeks that </w:t>
      </w:r>
      <w:r>
        <w:rPr>
          <w:lang w:val="en-GB" w:eastAsia="en-AU"/>
        </w:rPr>
        <w:t xml:space="preserve">a pixel </w:t>
      </w:r>
      <w:r w:rsidRPr="00524A8B">
        <w:rPr>
          <w:lang w:val="en-GB" w:eastAsia="en-AU"/>
        </w:rPr>
        <w:t xml:space="preserve">was retrieved as </w:t>
      </w:r>
      <w:r>
        <w:rPr>
          <w:lang w:val="en-GB" w:eastAsia="en-AU"/>
        </w:rPr>
        <w:t xml:space="preserve">either </w:t>
      </w:r>
      <w:r w:rsidRPr="00524A8B">
        <w:rPr>
          <w:lang w:val="en-GB" w:eastAsia="en-AU"/>
        </w:rPr>
        <w:t>primary, secondary or tertiary water type, divided by the maximum</w:t>
      </w:r>
      <w:r>
        <w:rPr>
          <w:lang w:val="en-GB" w:eastAsia="en-AU"/>
        </w:rPr>
        <w:t xml:space="preserve"> </w:t>
      </w:r>
      <w:r w:rsidRPr="00524A8B">
        <w:rPr>
          <w:lang w:val="en-GB" w:eastAsia="en-AU"/>
        </w:rPr>
        <w:t>number of weeks in a wet season</w:t>
      </w:r>
      <w:r>
        <w:rPr>
          <w:lang w:val="en-GB" w:eastAsia="en-AU"/>
        </w:rPr>
        <w:t xml:space="preserve"> (Figure 2).</w:t>
      </w:r>
      <w:r w:rsidRPr="00524A8B">
        <w:rPr>
          <w:lang w:val="en-GB" w:eastAsia="en-AU"/>
        </w:rPr>
        <w:t xml:space="preserve"> </w:t>
      </w:r>
      <w:r w:rsidRPr="00416C25">
        <w:rPr>
          <w:lang w:val="en-GB" w:eastAsia="en-AU"/>
        </w:rPr>
        <w:t xml:space="preserve">Annual exposure maps are useful to identify the year to year variation of the surface </w:t>
      </w:r>
      <w:r>
        <w:rPr>
          <w:lang w:val="en-GB" w:eastAsia="en-AU"/>
        </w:rPr>
        <w:t>water types</w:t>
      </w:r>
      <w:r w:rsidRPr="00416C25">
        <w:rPr>
          <w:lang w:val="en-GB" w:eastAsia="en-AU"/>
        </w:rPr>
        <w:t xml:space="preserve"> but can also be useful to develop a long-term surface exposure map that can identify</w:t>
      </w:r>
      <w:r>
        <w:rPr>
          <w:lang w:val="en-GB" w:eastAsia="en-AU"/>
        </w:rPr>
        <w:t xml:space="preserve"> </w:t>
      </w:r>
      <w:r w:rsidRPr="00416C25">
        <w:rPr>
          <w:lang w:val="en-GB" w:eastAsia="en-AU"/>
        </w:rPr>
        <w:t xml:space="preserve">areas that are </w:t>
      </w:r>
      <w:r>
        <w:rPr>
          <w:lang w:val="en-GB" w:eastAsia="en-AU"/>
        </w:rPr>
        <w:t xml:space="preserve">at higher risk </w:t>
      </w:r>
      <w:r w:rsidRPr="00416C25">
        <w:rPr>
          <w:lang w:val="en-GB" w:eastAsia="en-AU"/>
        </w:rPr>
        <w:t xml:space="preserve">of </w:t>
      </w:r>
      <w:r>
        <w:rPr>
          <w:lang w:val="en-GB" w:eastAsia="en-AU"/>
        </w:rPr>
        <w:t xml:space="preserve">exposure to </w:t>
      </w:r>
      <w:r w:rsidRPr="00416C25">
        <w:rPr>
          <w:lang w:val="en-GB" w:eastAsia="en-AU"/>
        </w:rPr>
        <w:t>surface pollutants over a</w:t>
      </w:r>
      <w:r>
        <w:rPr>
          <w:lang w:val="en-GB" w:eastAsia="en-AU"/>
        </w:rPr>
        <w:t xml:space="preserve"> </w:t>
      </w:r>
      <w:r w:rsidRPr="00416C25">
        <w:rPr>
          <w:lang w:val="en-GB" w:eastAsia="en-AU"/>
        </w:rPr>
        <w:t xml:space="preserve">longer </w:t>
      </w:r>
      <w:r>
        <w:rPr>
          <w:lang w:val="en-GB" w:eastAsia="en-AU"/>
        </w:rPr>
        <w:t>temporal scale</w:t>
      </w:r>
      <w:r w:rsidRPr="00416C25">
        <w:rPr>
          <w:lang w:val="en-GB" w:eastAsia="en-AU"/>
        </w:rPr>
        <w:t xml:space="preserve">. </w:t>
      </w:r>
      <w:r>
        <w:rPr>
          <w:lang w:val="en-GB" w:eastAsia="en-AU"/>
        </w:rPr>
        <w:t>To create multi-a</w:t>
      </w:r>
      <w:r w:rsidRPr="00416C25">
        <w:rPr>
          <w:lang w:val="en-GB" w:eastAsia="en-AU"/>
        </w:rPr>
        <w:t>nnual exposure maps</w:t>
      </w:r>
      <w:r>
        <w:rPr>
          <w:lang w:val="en-GB" w:eastAsia="en-AU"/>
        </w:rPr>
        <w:t>, the annual frequency maps</w:t>
      </w:r>
      <w:r w:rsidRPr="00416C25">
        <w:rPr>
          <w:lang w:val="en-GB" w:eastAsia="en-AU"/>
        </w:rPr>
        <w:t xml:space="preserve"> </w:t>
      </w:r>
      <w:r>
        <w:rPr>
          <w:lang w:val="en-GB" w:eastAsia="en-AU"/>
        </w:rPr>
        <w:t>are</w:t>
      </w:r>
      <w:r w:rsidRPr="00416C25">
        <w:rPr>
          <w:lang w:val="en-GB" w:eastAsia="en-AU"/>
        </w:rPr>
        <w:t xml:space="preserve"> overlaid and the </w:t>
      </w:r>
      <w:r>
        <w:rPr>
          <w:lang w:val="en-GB" w:eastAsia="en-AU"/>
        </w:rPr>
        <w:t xml:space="preserve">water type </w:t>
      </w:r>
      <w:r w:rsidRPr="00416C25">
        <w:rPr>
          <w:lang w:val="en-GB" w:eastAsia="en-AU"/>
        </w:rPr>
        <w:t xml:space="preserve">category </w:t>
      </w:r>
      <w:r>
        <w:rPr>
          <w:lang w:val="en-GB" w:eastAsia="en-AU"/>
        </w:rPr>
        <w:t xml:space="preserve">for each pixel </w:t>
      </w:r>
      <w:r w:rsidRPr="00416C25">
        <w:rPr>
          <w:lang w:val="en-GB" w:eastAsia="en-AU"/>
        </w:rPr>
        <w:t xml:space="preserve">reclassified using the median </w:t>
      </w:r>
      <w:r>
        <w:rPr>
          <w:lang w:val="en-GB" w:eastAsia="en-AU"/>
        </w:rPr>
        <w:t>pixel value (all plume frequency maps were prepared by Dieter Tracy (JCU)).</w:t>
      </w:r>
    </w:p>
    <w:p w14:paraId="35CE1D65" w14:textId="77777777" w:rsidR="0059608E" w:rsidRDefault="0059608E" w:rsidP="0059608E">
      <w:pPr>
        <w:pStyle w:val="Heading2"/>
        <w:numPr>
          <w:ilvl w:val="1"/>
          <w:numId w:val="2"/>
        </w:numPr>
        <w:rPr>
          <w:sz w:val="18"/>
          <w:szCs w:val="18"/>
        </w:rPr>
      </w:pPr>
      <w:r>
        <w:br w:type="page"/>
      </w:r>
    </w:p>
    <w:p w14:paraId="3F4A6FE0" w14:textId="77777777" w:rsidR="004638BA" w:rsidRDefault="004638BA" w:rsidP="004638BA">
      <w:pPr>
        <w:pStyle w:val="Caption"/>
        <w:keepNext/>
      </w:pPr>
      <w:bookmarkStart w:id="720" w:name="_Toc462652074"/>
      <w:r>
        <w:lastRenderedPageBreak/>
        <w:t xml:space="preserve">Table A </w:t>
      </w:r>
      <w:r>
        <w:fldChar w:fldCharType="begin"/>
      </w:r>
      <w:r>
        <w:instrText xml:space="preserve"> SEQ Table_A \* ARABIC </w:instrText>
      </w:r>
      <w:r>
        <w:fldChar w:fldCharType="separate"/>
      </w:r>
      <w:r w:rsidR="00E51A34">
        <w:rPr>
          <w:noProof/>
        </w:rPr>
        <w:t>7</w:t>
      </w:r>
      <w:r>
        <w:fldChar w:fldCharType="end"/>
      </w:r>
      <w:r>
        <w:t xml:space="preserve"> Water quality guideline values available for pesticides and herbicides (ng L</w:t>
      </w:r>
      <w:r>
        <w:rPr>
          <w:vertAlign w:val="superscript"/>
        </w:rPr>
        <w:t>-1</w:t>
      </w:r>
      <w:r>
        <w:t>)</w:t>
      </w:r>
      <w:bookmarkEnd w:id="720"/>
    </w:p>
    <w:tbl>
      <w:tblPr>
        <w:tblStyle w:val="MediumShading2-Accent5"/>
        <w:tblW w:w="0" w:type="auto"/>
        <w:tblLook w:val="04A0" w:firstRow="1" w:lastRow="0" w:firstColumn="1" w:lastColumn="0" w:noHBand="0" w:noVBand="1"/>
        <w:tblDescription w:val="Table A 7 Water quality guideline values available for pesticides and herbicides (ng L-1)"/>
      </w:tblPr>
      <w:tblGrid>
        <w:gridCol w:w="2110"/>
        <w:gridCol w:w="1542"/>
        <w:gridCol w:w="2187"/>
        <w:gridCol w:w="1728"/>
        <w:gridCol w:w="2464"/>
      </w:tblGrid>
      <w:tr w:rsidR="0059608E" w:rsidRPr="00B57826" w14:paraId="0151E918" w14:textId="77777777" w:rsidTr="006130D4">
        <w:trPr>
          <w:cnfStyle w:val="100000000000" w:firstRow="1" w:lastRow="0" w:firstColumn="0" w:lastColumn="0" w:oddVBand="0" w:evenVBand="0" w:oddHBand="0" w:evenHBand="0" w:firstRowFirstColumn="0" w:firstRowLastColumn="0" w:lastRowFirstColumn="0" w:lastRowLastColumn="0"/>
          <w:trHeight w:val="339"/>
          <w:tblHeader/>
        </w:trPr>
        <w:tc>
          <w:tcPr>
            <w:cnfStyle w:val="001000000100" w:firstRow="0" w:lastRow="0" w:firstColumn="1" w:lastColumn="0" w:oddVBand="0" w:evenVBand="0" w:oddHBand="0" w:evenHBand="0" w:firstRowFirstColumn="1" w:firstRowLastColumn="0" w:lastRowFirstColumn="0" w:lastRowLastColumn="0"/>
            <w:tcW w:w="2110" w:type="dxa"/>
            <w:vMerge w:val="restart"/>
            <w:shd w:val="clear" w:color="auto" w:fill="F2F2F2" w:themeFill="background1" w:themeFillShade="F2"/>
          </w:tcPr>
          <w:p w14:paraId="25B2C975" w14:textId="77777777" w:rsidR="0059608E" w:rsidRPr="00BC5564" w:rsidRDefault="0059608E" w:rsidP="006130D4">
            <w:pPr>
              <w:pStyle w:val="Caption"/>
              <w:rPr>
                <w:b/>
                <w:color w:val="auto"/>
                <w:lang w:val="en-AU" w:eastAsia="en-AU"/>
              </w:rPr>
            </w:pPr>
            <w:r w:rsidRPr="00BC5564">
              <w:rPr>
                <w:b/>
                <w:color w:val="auto"/>
                <w:lang w:val="en-AU" w:eastAsia="en-AU"/>
              </w:rPr>
              <w:t>Chemical</w:t>
            </w:r>
          </w:p>
        </w:tc>
        <w:tc>
          <w:tcPr>
            <w:tcW w:w="3729" w:type="dxa"/>
            <w:gridSpan w:val="2"/>
            <w:tcBorders>
              <w:bottom w:val="nil"/>
            </w:tcBorders>
            <w:shd w:val="clear" w:color="auto" w:fill="F2F2F2" w:themeFill="background1" w:themeFillShade="F2"/>
          </w:tcPr>
          <w:p w14:paraId="56E74241"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GBRMPA</w:t>
            </w:r>
            <w:r w:rsidRPr="00BC5564">
              <w:rPr>
                <w:b/>
                <w:color w:val="auto"/>
                <w:vertAlign w:val="superscript"/>
                <w:lang w:val="en-AU" w:eastAsia="en-AU"/>
              </w:rPr>
              <w:t>a</w:t>
            </w:r>
          </w:p>
        </w:tc>
        <w:tc>
          <w:tcPr>
            <w:tcW w:w="4192" w:type="dxa"/>
            <w:gridSpan w:val="2"/>
            <w:tcBorders>
              <w:bottom w:val="nil"/>
            </w:tcBorders>
            <w:shd w:val="clear" w:color="auto" w:fill="F2F2F2" w:themeFill="background1" w:themeFillShade="F2"/>
          </w:tcPr>
          <w:p w14:paraId="00E58CA9"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ANZECC and ARMCANZ</w:t>
            </w:r>
            <w:r w:rsidRPr="00BC5564">
              <w:rPr>
                <w:b/>
                <w:color w:val="auto"/>
                <w:vertAlign w:val="superscript"/>
                <w:lang w:val="en-AU" w:eastAsia="en-AU"/>
              </w:rPr>
              <w:t>b</w:t>
            </w:r>
          </w:p>
        </w:tc>
      </w:tr>
      <w:tr w:rsidR="0059608E" w:rsidRPr="00B57826" w14:paraId="154FC9D7" w14:textId="77777777" w:rsidTr="006130D4">
        <w:trPr>
          <w:cnfStyle w:val="100000000000" w:firstRow="1" w:lastRow="0" w:firstColumn="0" w:lastColumn="0" w:oddVBand="0" w:evenVBand="0" w:oddHBand="0" w:evenHBand="0" w:firstRowFirstColumn="0" w:firstRowLastColumn="0" w:lastRowFirstColumn="0" w:lastRowLastColumn="0"/>
          <w:trHeight w:val="35"/>
          <w:tblHeader/>
        </w:trPr>
        <w:tc>
          <w:tcPr>
            <w:cnfStyle w:val="001000000100" w:firstRow="0" w:lastRow="0" w:firstColumn="1" w:lastColumn="0" w:oddVBand="0" w:evenVBand="0" w:oddHBand="0" w:evenHBand="0" w:firstRowFirstColumn="1" w:firstRowLastColumn="0" w:lastRowFirstColumn="0" w:lastRowLastColumn="0"/>
            <w:tcW w:w="2110" w:type="dxa"/>
            <w:vMerge/>
            <w:shd w:val="clear" w:color="auto" w:fill="F2F2F2" w:themeFill="background1" w:themeFillShade="F2"/>
          </w:tcPr>
          <w:p w14:paraId="3E67EBF3" w14:textId="77777777" w:rsidR="0059608E" w:rsidRPr="00BC5564" w:rsidRDefault="0059608E" w:rsidP="006130D4">
            <w:pPr>
              <w:pStyle w:val="Caption"/>
              <w:rPr>
                <w:b/>
                <w:color w:val="auto"/>
                <w:lang w:val="en-AU" w:eastAsia="en-AU"/>
              </w:rPr>
            </w:pPr>
          </w:p>
        </w:tc>
        <w:tc>
          <w:tcPr>
            <w:tcW w:w="1542" w:type="dxa"/>
            <w:tcBorders>
              <w:top w:val="nil"/>
            </w:tcBorders>
            <w:shd w:val="clear" w:color="auto" w:fill="F2F2F2" w:themeFill="background1" w:themeFillShade="F2"/>
          </w:tcPr>
          <w:p w14:paraId="33D3B164"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Pr>
                <w:b/>
                <w:color w:val="auto"/>
                <w:lang w:val="en-AU" w:eastAsia="en-AU"/>
              </w:rPr>
              <w:t>Trigger Values</w:t>
            </w:r>
          </w:p>
        </w:tc>
        <w:tc>
          <w:tcPr>
            <w:tcW w:w="2187" w:type="dxa"/>
            <w:tcBorders>
              <w:top w:val="nil"/>
            </w:tcBorders>
            <w:shd w:val="clear" w:color="auto" w:fill="F2F2F2" w:themeFill="background1" w:themeFillShade="F2"/>
          </w:tcPr>
          <w:p w14:paraId="5B4907F8"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Notes</w:t>
            </w:r>
          </w:p>
        </w:tc>
        <w:tc>
          <w:tcPr>
            <w:tcW w:w="1728" w:type="dxa"/>
            <w:tcBorders>
              <w:top w:val="nil"/>
            </w:tcBorders>
            <w:shd w:val="clear" w:color="auto" w:fill="F2F2F2" w:themeFill="background1" w:themeFillShade="F2"/>
          </w:tcPr>
          <w:p w14:paraId="1BC3893E"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Pr>
                <w:b/>
                <w:color w:val="auto"/>
                <w:lang w:val="en-AU" w:eastAsia="en-AU"/>
              </w:rPr>
              <w:t>Trigger Values</w:t>
            </w:r>
          </w:p>
        </w:tc>
        <w:tc>
          <w:tcPr>
            <w:tcW w:w="2464" w:type="dxa"/>
            <w:tcBorders>
              <w:top w:val="nil"/>
            </w:tcBorders>
            <w:shd w:val="clear" w:color="auto" w:fill="F2F2F2" w:themeFill="background1" w:themeFillShade="F2"/>
          </w:tcPr>
          <w:p w14:paraId="3774C253" w14:textId="77777777" w:rsidR="0059608E" w:rsidRPr="00BC5564" w:rsidRDefault="0059608E" w:rsidP="006130D4">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Notes</w:t>
            </w:r>
          </w:p>
        </w:tc>
      </w:tr>
      <w:tr w:rsidR="0059608E" w:rsidRPr="00C11BBA" w14:paraId="4B241819" w14:textId="77777777" w:rsidTr="006130D4">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30FEEEDC" w14:textId="77777777" w:rsidR="0059608E" w:rsidRPr="00BC5564" w:rsidRDefault="0059608E" w:rsidP="006130D4">
            <w:pPr>
              <w:pStyle w:val="Caption"/>
              <w:rPr>
                <w:b/>
                <w:color w:val="auto"/>
                <w:lang w:val="en-AU" w:eastAsia="en-AU"/>
              </w:rPr>
            </w:pPr>
            <w:r w:rsidRPr="00BC5564">
              <w:rPr>
                <w:b/>
                <w:color w:val="auto"/>
                <w:lang w:val="en-AU" w:eastAsia="en-AU"/>
              </w:rPr>
              <w:t>Dinitroaniline Herbicides</w:t>
            </w:r>
          </w:p>
        </w:tc>
        <w:tc>
          <w:tcPr>
            <w:tcW w:w="1542" w:type="dxa"/>
            <w:tcBorders>
              <w:top w:val="single" w:sz="18" w:space="0" w:color="auto"/>
              <w:bottom w:val="nil"/>
            </w:tcBorders>
            <w:shd w:val="clear" w:color="auto" w:fill="FFFFFF" w:themeFill="background1"/>
          </w:tcPr>
          <w:p w14:paraId="3F1E38C7"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14:paraId="0574EF61"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14:paraId="721021D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14:paraId="6FEF51DA"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59608E" w:rsidRPr="00C11BBA" w14:paraId="1583F664"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42BD5352" w14:textId="77777777" w:rsidR="0059608E" w:rsidRPr="00BC5564" w:rsidRDefault="0059608E" w:rsidP="006130D4">
            <w:pPr>
              <w:pStyle w:val="Caption"/>
              <w:rPr>
                <w:b/>
                <w:color w:val="auto"/>
                <w:lang w:val="en-AU" w:eastAsia="en-AU"/>
              </w:rPr>
            </w:pPr>
            <w:r w:rsidRPr="00BC5564">
              <w:rPr>
                <w:b/>
                <w:color w:val="auto"/>
                <w:lang w:val="en-AU" w:eastAsia="en-AU"/>
              </w:rPr>
              <w:t>Trifluralin</w:t>
            </w:r>
          </w:p>
        </w:tc>
        <w:tc>
          <w:tcPr>
            <w:tcW w:w="1542" w:type="dxa"/>
            <w:tcBorders>
              <w:top w:val="nil"/>
              <w:bottom w:val="single" w:sz="4" w:space="0" w:color="auto"/>
            </w:tcBorders>
            <w:shd w:val="clear" w:color="auto" w:fill="FFFFFF" w:themeFill="background1"/>
          </w:tcPr>
          <w:p w14:paraId="74323B44"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4" w:space="0" w:color="auto"/>
            </w:tcBorders>
            <w:shd w:val="clear" w:color="auto" w:fill="FFFFFF" w:themeFill="background1"/>
          </w:tcPr>
          <w:p w14:paraId="46188EA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4" w:space="0" w:color="auto"/>
            </w:tcBorders>
            <w:shd w:val="clear" w:color="auto" w:fill="FFFFFF" w:themeFill="background1"/>
          </w:tcPr>
          <w:p w14:paraId="372636C6"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2600</w:t>
            </w:r>
          </w:p>
        </w:tc>
        <w:tc>
          <w:tcPr>
            <w:tcW w:w="2464" w:type="dxa"/>
            <w:tcBorders>
              <w:top w:val="nil"/>
              <w:bottom w:val="single" w:sz="4" w:space="0" w:color="auto"/>
            </w:tcBorders>
            <w:shd w:val="clear" w:color="auto" w:fill="FFFFFF" w:themeFill="background1"/>
          </w:tcPr>
          <w:p w14:paraId="50101F0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Freshwater</w:t>
            </w:r>
          </w:p>
        </w:tc>
      </w:tr>
      <w:tr w:rsidR="0059608E" w:rsidRPr="00C11BBA" w14:paraId="1B6255D9" w14:textId="77777777" w:rsidTr="006130D4">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02900471" w14:textId="77777777" w:rsidR="0059608E" w:rsidRPr="00BC5564" w:rsidRDefault="0059608E" w:rsidP="006130D4">
            <w:pPr>
              <w:pStyle w:val="Caption"/>
              <w:rPr>
                <w:b/>
                <w:color w:val="auto"/>
                <w:lang w:val="en-AU" w:eastAsia="en-AU"/>
              </w:rPr>
            </w:pPr>
            <w:r w:rsidRPr="00BC5564">
              <w:rPr>
                <w:b/>
                <w:color w:val="auto"/>
                <w:lang w:val="en-AU" w:eastAsia="en-AU"/>
              </w:rPr>
              <w:t>Organophosphate Pesticides</w:t>
            </w:r>
          </w:p>
        </w:tc>
        <w:tc>
          <w:tcPr>
            <w:tcW w:w="1542" w:type="dxa"/>
            <w:tcBorders>
              <w:top w:val="single" w:sz="18" w:space="0" w:color="auto"/>
            </w:tcBorders>
            <w:shd w:val="clear" w:color="auto" w:fill="FFFFFF" w:themeFill="background1"/>
          </w:tcPr>
          <w:p w14:paraId="6A0719A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14:paraId="2D70C549"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14:paraId="5A4D5E4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14:paraId="6526C50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59608E" w:rsidRPr="00C11BBA" w14:paraId="1AE9DB67" w14:textId="77777777" w:rsidTr="006130D4">
        <w:trPr>
          <w:trHeight w:val="50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14:paraId="26841C4F" w14:textId="77777777" w:rsidR="0059608E" w:rsidRPr="00BC5564" w:rsidRDefault="0059608E" w:rsidP="006130D4">
            <w:pPr>
              <w:pStyle w:val="Caption"/>
              <w:rPr>
                <w:b/>
                <w:color w:val="auto"/>
                <w:lang w:val="en-AU" w:eastAsia="en-AU"/>
              </w:rPr>
            </w:pPr>
            <w:r w:rsidRPr="00BC5564">
              <w:rPr>
                <w:b/>
                <w:color w:val="auto"/>
                <w:lang w:val="en-AU" w:eastAsia="en-AU"/>
              </w:rPr>
              <w:t>Chlorpyrifos</w:t>
            </w:r>
          </w:p>
        </w:tc>
        <w:tc>
          <w:tcPr>
            <w:tcW w:w="1542" w:type="dxa"/>
            <w:tcBorders>
              <w:bottom w:val="nil"/>
            </w:tcBorders>
            <w:shd w:val="clear" w:color="auto" w:fill="FFFFFF" w:themeFill="background1"/>
          </w:tcPr>
          <w:p w14:paraId="353EB833"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0.5</w:t>
            </w:r>
          </w:p>
        </w:tc>
        <w:tc>
          <w:tcPr>
            <w:tcW w:w="2187" w:type="dxa"/>
            <w:tcBorders>
              <w:bottom w:val="nil"/>
            </w:tcBorders>
            <w:shd w:val="clear" w:color="auto" w:fill="FFFFFF" w:themeFill="background1"/>
          </w:tcPr>
          <w:p w14:paraId="422D4A87"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High reliability</w:t>
            </w:r>
          </w:p>
        </w:tc>
        <w:tc>
          <w:tcPr>
            <w:tcW w:w="1728" w:type="dxa"/>
            <w:tcBorders>
              <w:bottom w:val="nil"/>
            </w:tcBorders>
            <w:shd w:val="clear" w:color="auto" w:fill="FFFFFF" w:themeFill="background1"/>
          </w:tcPr>
          <w:p w14:paraId="5E90FA41"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0.5</w:t>
            </w:r>
          </w:p>
        </w:tc>
        <w:tc>
          <w:tcPr>
            <w:tcW w:w="2464" w:type="dxa"/>
            <w:tcBorders>
              <w:bottom w:val="nil"/>
            </w:tcBorders>
            <w:shd w:val="clear" w:color="auto" w:fill="FFFFFF" w:themeFill="background1"/>
          </w:tcPr>
          <w:p w14:paraId="7ADD67F3"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Marine water</w:t>
            </w:r>
          </w:p>
        </w:tc>
      </w:tr>
      <w:tr w:rsidR="0059608E" w:rsidRPr="00C11BBA" w14:paraId="4337A346" w14:textId="77777777" w:rsidTr="006130D4">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1892B74B" w14:textId="77777777" w:rsidR="0059608E" w:rsidRPr="00BC5564" w:rsidRDefault="0059608E" w:rsidP="006130D4">
            <w:pPr>
              <w:pStyle w:val="Caption"/>
              <w:rPr>
                <w:b/>
                <w:color w:val="auto"/>
                <w:lang w:val="en-AU" w:eastAsia="en-AU"/>
              </w:rPr>
            </w:pPr>
          </w:p>
        </w:tc>
        <w:tc>
          <w:tcPr>
            <w:tcW w:w="1542" w:type="dxa"/>
            <w:tcBorders>
              <w:top w:val="nil"/>
              <w:bottom w:val="nil"/>
            </w:tcBorders>
            <w:shd w:val="clear" w:color="auto" w:fill="FFFFFF" w:themeFill="background1"/>
          </w:tcPr>
          <w:p w14:paraId="4F8E668D"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w:t>
            </w:r>
          </w:p>
        </w:tc>
        <w:tc>
          <w:tcPr>
            <w:tcW w:w="2187" w:type="dxa"/>
            <w:tcBorders>
              <w:top w:val="nil"/>
              <w:bottom w:val="nil"/>
            </w:tcBorders>
            <w:shd w:val="clear" w:color="auto" w:fill="FFFFFF" w:themeFill="background1"/>
          </w:tcPr>
          <w:p w14:paraId="250112CE"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High reliability</w:t>
            </w:r>
          </w:p>
        </w:tc>
        <w:tc>
          <w:tcPr>
            <w:tcW w:w="1728" w:type="dxa"/>
            <w:tcBorders>
              <w:top w:val="nil"/>
              <w:bottom w:val="nil"/>
            </w:tcBorders>
            <w:shd w:val="clear" w:color="auto" w:fill="FFFFFF" w:themeFill="background1"/>
          </w:tcPr>
          <w:p w14:paraId="353B2BA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w:t>
            </w:r>
          </w:p>
        </w:tc>
        <w:tc>
          <w:tcPr>
            <w:tcW w:w="2464" w:type="dxa"/>
            <w:tcBorders>
              <w:top w:val="nil"/>
              <w:bottom w:val="nil"/>
            </w:tcBorders>
            <w:shd w:val="clear" w:color="auto" w:fill="FFFFFF" w:themeFill="background1"/>
          </w:tcPr>
          <w:p w14:paraId="3A074039"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Marine water</w:t>
            </w:r>
          </w:p>
        </w:tc>
      </w:tr>
      <w:tr w:rsidR="0059608E" w:rsidRPr="00C11BBA" w14:paraId="524F175E"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487F82BB" w14:textId="77777777" w:rsidR="0059608E" w:rsidRPr="00BC5564" w:rsidRDefault="0059608E" w:rsidP="006130D4">
            <w:pPr>
              <w:pStyle w:val="Caption"/>
              <w:rPr>
                <w:b/>
                <w:color w:val="auto"/>
                <w:lang w:val="en-AU" w:eastAsia="en-AU"/>
              </w:rPr>
            </w:pPr>
          </w:p>
        </w:tc>
        <w:tc>
          <w:tcPr>
            <w:tcW w:w="1542" w:type="dxa"/>
            <w:tcBorders>
              <w:top w:val="nil"/>
              <w:bottom w:val="nil"/>
            </w:tcBorders>
            <w:shd w:val="clear" w:color="auto" w:fill="FFFFFF" w:themeFill="background1"/>
          </w:tcPr>
          <w:p w14:paraId="5EC712A7"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nil"/>
            </w:tcBorders>
            <w:shd w:val="clear" w:color="auto" w:fill="FFFFFF" w:themeFill="background1"/>
          </w:tcPr>
          <w:p w14:paraId="16237EE4"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nil"/>
            </w:tcBorders>
            <w:shd w:val="clear" w:color="auto" w:fill="FFFFFF" w:themeFill="background1"/>
          </w:tcPr>
          <w:p w14:paraId="6AC7ABB8"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0.04</w:t>
            </w:r>
          </w:p>
        </w:tc>
        <w:tc>
          <w:tcPr>
            <w:tcW w:w="2464" w:type="dxa"/>
            <w:tcBorders>
              <w:top w:val="nil"/>
              <w:bottom w:val="nil"/>
            </w:tcBorders>
            <w:shd w:val="clear" w:color="auto" w:fill="FFFFFF" w:themeFill="background1"/>
          </w:tcPr>
          <w:p w14:paraId="0913A935"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59608E" w:rsidRPr="00C11BBA" w14:paraId="005A879F" w14:textId="77777777" w:rsidTr="006130D4">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14:paraId="3F404512"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1FA687CD"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14:paraId="52B4892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14:paraId="72FE9A85"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10</w:t>
            </w:r>
          </w:p>
        </w:tc>
        <w:tc>
          <w:tcPr>
            <w:tcW w:w="2464" w:type="dxa"/>
            <w:tcBorders>
              <w:top w:val="nil"/>
              <w:bottom w:val="single" w:sz="18" w:space="0" w:color="auto"/>
            </w:tcBorders>
            <w:shd w:val="clear" w:color="auto" w:fill="FFFFFF" w:themeFill="background1"/>
          </w:tcPr>
          <w:p w14:paraId="2C7ADC19"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59608E" w:rsidRPr="00C11BBA" w14:paraId="276CEFF0"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2C119EC1" w14:textId="77777777" w:rsidR="0059608E" w:rsidRPr="00BC5564" w:rsidRDefault="0059608E" w:rsidP="006130D4">
            <w:pPr>
              <w:pStyle w:val="Caption"/>
              <w:rPr>
                <w:b/>
                <w:color w:val="auto"/>
                <w:lang w:val="en-AU" w:eastAsia="en-AU"/>
              </w:rPr>
            </w:pPr>
            <w:r w:rsidRPr="00BC5564">
              <w:rPr>
                <w:b/>
                <w:color w:val="auto"/>
                <w:lang w:val="en-AU" w:eastAsia="en-AU"/>
              </w:rPr>
              <w:t>Choracetanilide herbicides</w:t>
            </w:r>
          </w:p>
        </w:tc>
        <w:tc>
          <w:tcPr>
            <w:tcW w:w="1542" w:type="dxa"/>
            <w:tcBorders>
              <w:top w:val="single" w:sz="18" w:space="0" w:color="auto"/>
              <w:bottom w:val="nil"/>
            </w:tcBorders>
            <w:shd w:val="clear" w:color="auto" w:fill="FFFFFF" w:themeFill="background1"/>
          </w:tcPr>
          <w:p w14:paraId="3B040A3D"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14:paraId="250989E6"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14:paraId="79FBF7D2"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14:paraId="525F2721"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59608E" w:rsidRPr="00C11BBA" w14:paraId="7EB5349B" w14:textId="77777777" w:rsidTr="006130D4">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14:paraId="193D8097" w14:textId="77777777" w:rsidR="0059608E" w:rsidRPr="00BC5564" w:rsidRDefault="0059608E" w:rsidP="006130D4">
            <w:pPr>
              <w:pStyle w:val="Caption"/>
              <w:rPr>
                <w:b/>
                <w:color w:val="auto"/>
                <w:lang w:val="en-AU" w:eastAsia="en-AU"/>
              </w:rPr>
            </w:pPr>
            <w:r w:rsidRPr="00BC5564">
              <w:rPr>
                <w:b/>
                <w:color w:val="auto"/>
                <w:lang w:val="en-AU" w:eastAsia="en-AU"/>
              </w:rPr>
              <w:t>Metolachlor</w:t>
            </w:r>
          </w:p>
        </w:tc>
        <w:tc>
          <w:tcPr>
            <w:tcW w:w="1542" w:type="dxa"/>
            <w:tcBorders>
              <w:top w:val="nil"/>
              <w:bottom w:val="nil"/>
            </w:tcBorders>
            <w:shd w:val="clear" w:color="auto" w:fill="FFFFFF" w:themeFill="background1"/>
          </w:tcPr>
          <w:p w14:paraId="677ACF62"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nil"/>
            </w:tcBorders>
            <w:shd w:val="clear" w:color="auto" w:fill="FFFFFF" w:themeFill="background1"/>
          </w:tcPr>
          <w:p w14:paraId="6D72DB15"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nil"/>
            </w:tcBorders>
            <w:shd w:val="clear" w:color="auto" w:fill="FFFFFF" w:themeFill="background1"/>
          </w:tcPr>
          <w:p w14:paraId="6A4BB7D3"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nil"/>
              <w:bottom w:val="nil"/>
            </w:tcBorders>
            <w:shd w:val="clear" w:color="auto" w:fill="FFFFFF" w:themeFill="background1"/>
          </w:tcPr>
          <w:p w14:paraId="75D81BF3"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Low reliability; Fresh water</w:t>
            </w:r>
          </w:p>
        </w:tc>
      </w:tr>
      <w:tr w:rsidR="0059608E" w:rsidRPr="00C11BBA" w14:paraId="02492867" w14:textId="77777777" w:rsidTr="006130D4">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nil"/>
              <w:bottom w:val="single" w:sz="18" w:space="0" w:color="auto"/>
            </w:tcBorders>
            <w:shd w:val="clear" w:color="auto" w:fill="F2F2F2" w:themeFill="background1" w:themeFillShade="F2"/>
          </w:tcPr>
          <w:p w14:paraId="08B01DEA"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67785A5E"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14:paraId="0F2FC97A"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14:paraId="3751146E"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nil"/>
              <w:bottom w:val="single" w:sz="18" w:space="0" w:color="auto"/>
            </w:tcBorders>
            <w:shd w:val="clear" w:color="auto" w:fill="FFFFFF" w:themeFill="background1"/>
          </w:tcPr>
          <w:p w14:paraId="3C8981E6"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 Marine water</w:t>
            </w:r>
          </w:p>
        </w:tc>
      </w:tr>
      <w:tr w:rsidR="0059608E" w:rsidRPr="00C11BBA" w14:paraId="6F3181BE" w14:textId="77777777" w:rsidTr="006130D4">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4B9FB4B5" w14:textId="77777777" w:rsidR="0059608E" w:rsidRPr="00BC5564" w:rsidRDefault="0059608E" w:rsidP="006130D4">
            <w:pPr>
              <w:pStyle w:val="Caption"/>
              <w:rPr>
                <w:b/>
                <w:color w:val="auto"/>
                <w:lang w:val="en-AU" w:eastAsia="en-AU"/>
              </w:rPr>
            </w:pPr>
            <w:r w:rsidRPr="00BC5564">
              <w:rPr>
                <w:b/>
                <w:color w:val="auto"/>
                <w:lang w:val="en-AU" w:eastAsia="en-AU"/>
              </w:rPr>
              <w:t>Triazine or Triazinone Herbicides</w:t>
            </w:r>
          </w:p>
        </w:tc>
        <w:tc>
          <w:tcPr>
            <w:tcW w:w="1542" w:type="dxa"/>
            <w:tcBorders>
              <w:top w:val="single" w:sz="18" w:space="0" w:color="auto"/>
            </w:tcBorders>
            <w:shd w:val="clear" w:color="auto" w:fill="FFFFFF" w:themeFill="background1"/>
          </w:tcPr>
          <w:p w14:paraId="48E473E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14:paraId="7F40125A"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14:paraId="580CFCEE"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14:paraId="05502895"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59608E" w:rsidRPr="00C65116" w14:paraId="0083D90D" w14:textId="77777777" w:rsidTr="006130D4">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14:paraId="594B36E8" w14:textId="77777777" w:rsidR="0059608E" w:rsidRPr="00BC5564" w:rsidRDefault="0059608E" w:rsidP="006130D4">
            <w:pPr>
              <w:pStyle w:val="Caption"/>
              <w:rPr>
                <w:b/>
                <w:color w:val="auto"/>
                <w:lang w:val="en-AU" w:eastAsia="en-AU"/>
              </w:rPr>
            </w:pPr>
            <w:r w:rsidRPr="00BC5564">
              <w:rPr>
                <w:b/>
                <w:color w:val="auto"/>
                <w:lang w:val="en-AU" w:eastAsia="en-AU"/>
              </w:rPr>
              <w:t>Atrazine</w:t>
            </w:r>
          </w:p>
        </w:tc>
        <w:tc>
          <w:tcPr>
            <w:tcW w:w="1542" w:type="dxa"/>
            <w:tcBorders>
              <w:bottom w:val="nil"/>
            </w:tcBorders>
            <w:shd w:val="clear" w:color="auto" w:fill="FFFFFF" w:themeFill="background1"/>
          </w:tcPr>
          <w:p w14:paraId="358636E0"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600</w:t>
            </w:r>
          </w:p>
        </w:tc>
        <w:tc>
          <w:tcPr>
            <w:tcW w:w="2187" w:type="dxa"/>
            <w:tcBorders>
              <w:bottom w:val="nil"/>
            </w:tcBorders>
            <w:shd w:val="clear" w:color="auto" w:fill="FFFFFF" w:themeFill="background1"/>
          </w:tcPr>
          <w:p w14:paraId="78F40BF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bottom w:val="nil"/>
            </w:tcBorders>
            <w:shd w:val="clear" w:color="auto" w:fill="FFFFFF" w:themeFill="background1"/>
          </w:tcPr>
          <w:p w14:paraId="457CAFDE"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700</w:t>
            </w:r>
          </w:p>
        </w:tc>
        <w:tc>
          <w:tcPr>
            <w:tcW w:w="2464" w:type="dxa"/>
            <w:tcBorders>
              <w:bottom w:val="nil"/>
            </w:tcBorders>
            <w:shd w:val="clear" w:color="auto" w:fill="FFFFFF" w:themeFill="background1"/>
          </w:tcPr>
          <w:p w14:paraId="5B73B216"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59608E" w:rsidRPr="00C65116" w14:paraId="22CCA612" w14:textId="77777777" w:rsidTr="006130D4">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5D2A8024"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4282DCAA"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1400</w:t>
            </w:r>
          </w:p>
        </w:tc>
        <w:tc>
          <w:tcPr>
            <w:tcW w:w="2187" w:type="dxa"/>
            <w:tcBorders>
              <w:top w:val="nil"/>
              <w:bottom w:val="single" w:sz="18" w:space="0" w:color="auto"/>
            </w:tcBorders>
            <w:shd w:val="clear" w:color="auto" w:fill="FFFFFF" w:themeFill="background1"/>
          </w:tcPr>
          <w:p w14:paraId="3158472A"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14:paraId="22AEF532"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1300</w:t>
            </w:r>
          </w:p>
        </w:tc>
        <w:tc>
          <w:tcPr>
            <w:tcW w:w="2464" w:type="dxa"/>
            <w:tcBorders>
              <w:top w:val="nil"/>
              <w:bottom w:val="single" w:sz="18" w:space="0" w:color="auto"/>
            </w:tcBorders>
            <w:shd w:val="clear" w:color="auto" w:fill="FFFFFF" w:themeFill="background1"/>
          </w:tcPr>
          <w:p w14:paraId="2D0137F6"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59608E" w:rsidRPr="00C65116" w14:paraId="2D8FBA2F" w14:textId="77777777" w:rsidTr="006130D4">
        <w:trPr>
          <w:trHeight w:val="203"/>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200BC1E1" w14:textId="77777777" w:rsidR="0059608E" w:rsidRPr="00BC5564" w:rsidRDefault="0059608E" w:rsidP="006130D4">
            <w:pPr>
              <w:pStyle w:val="Caption"/>
              <w:rPr>
                <w:b/>
                <w:color w:val="auto"/>
                <w:lang w:val="en-AU" w:eastAsia="en-AU"/>
              </w:rPr>
            </w:pPr>
            <w:r w:rsidRPr="00BC5564">
              <w:rPr>
                <w:b/>
                <w:color w:val="auto"/>
                <w:lang w:val="en-AU" w:eastAsia="en-AU"/>
              </w:rPr>
              <w:t>Hexazinone</w:t>
            </w:r>
          </w:p>
        </w:tc>
        <w:tc>
          <w:tcPr>
            <w:tcW w:w="1542" w:type="dxa"/>
            <w:tcBorders>
              <w:top w:val="single" w:sz="18" w:space="0" w:color="auto"/>
              <w:bottom w:val="single" w:sz="18" w:space="0" w:color="auto"/>
            </w:tcBorders>
            <w:shd w:val="clear" w:color="auto" w:fill="FFFFFF" w:themeFill="background1"/>
          </w:tcPr>
          <w:p w14:paraId="7E199732"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1200</w:t>
            </w:r>
          </w:p>
        </w:tc>
        <w:tc>
          <w:tcPr>
            <w:tcW w:w="2187" w:type="dxa"/>
            <w:tcBorders>
              <w:top w:val="single" w:sz="18" w:space="0" w:color="auto"/>
              <w:bottom w:val="single" w:sz="18" w:space="0" w:color="auto"/>
            </w:tcBorders>
            <w:shd w:val="clear" w:color="auto" w:fill="FFFFFF" w:themeFill="background1"/>
          </w:tcPr>
          <w:p w14:paraId="36CA5DCA"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w:t>
            </w:r>
          </w:p>
        </w:tc>
        <w:tc>
          <w:tcPr>
            <w:tcW w:w="1728" w:type="dxa"/>
            <w:tcBorders>
              <w:top w:val="single" w:sz="18" w:space="0" w:color="auto"/>
              <w:bottom w:val="single" w:sz="18" w:space="0" w:color="auto"/>
            </w:tcBorders>
            <w:shd w:val="clear" w:color="auto" w:fill="FFFFFF" w:themeFill="background1"/>
          </w:tcPr>
          <w:p w14:paraId="0C7CD558"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single" w:sz="18" w:space="0" w:color="auto"/>
            </w:tcBorders>
            <w:shd w:val="clear" w:color="auto" w:fill="FFFFFF" w:themeFill="background1"/>
          </w:tcPr>
          <w:p w14:paraId="2C1144F8"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59608E" w:rsidRPr="00C65116" w14:paraId="5734036C" w14:textId="77777777" w:rsidTr="006130D4">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7DE6599D" w14:textId="77777777" w:rsidR="0059608E" w:rsidRPr="00BC5564" w:rsidRDefault="0059608E" w:rsidP="006130D4">
            <w:pPr>
              <w:pStyle w:val="Caption"/>
              <w:rPr>
                <w:b/>
                <w:color w:val="auto"/>
                <w:lang w:val="en-AU" w:eastAsia="en-AU"/>
              </w:rPr>
            </w:pPr>
            <w:r w:rsidRPr="00BC5564">
              <w:rPr>
                <w:b/>
                <w:color w:val="auto"/>
                <w:lang w:val="en-AU" w:eastAsia="en-AU"/>
              </w:rPr>
              <w:t>Simazine</w:t>
            </w:r>
          </w:p>
        </w:tc>
        <w:tc>
          <w:tcPr>
            <w:tcW w:w="1542" w:type="dxa"/>
            <w:tcBorders>
              <w:top w:val="single" w:sz="18" w:space="0" w:color="auto"/>
              <w:bottom w:val="nil"/>
            </w:tcBorders>
            <w:shd w:val="clear" w:color="auto" w:fill="FFFFFF" w:themeFill="background1"/>
          </w:tcPr>
          <w:p w14:paraId="0908D340"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w:t>
            </w:r>
          </w:p>
        </w:tc>
        <w:tc>
          <w:tcPr>
            <w:tcW w:w="2187" w:type="dxa"/>
            <w:tcBorders>
              <w:top w:val="single" w:sz="18" w:space="0" w:color="auto"/>
              <w:bottom w:val="nil"/>
            </w:tcBorders>
            <w:shd w:val="clear" w:color="auto" w:fill="FFFFFF" w:themeFill="background1"/>
          </w:tcPr>
          <w:p w14:paraId="329CF16D"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Low reliability</w:t>
            </w:r>
          </w:p>
        </w:tc>
        <w:tc>
          <w:tcPr>
            <w:tcW w:w="1728" w:type="dxa"/>
            <w:tcBorders>
              <w:top w:val="single" w:sz="18" w:space="0" w:color="auto"/>
              <w:bottom w:val="nil"/>
            </w:tcBorders>
            <w:shd w:val="clear" w:color="auto" w:fill="FFFFFF" w:themeFill="background1"/>
          </w:tcPr>
          <w:p w14:paraId="49E6BEC2"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w:t>
            </w:r>
          </w:p>
        </w:tc>
        <w:tc>
          <w:tcPr>
            <w:tcW w:w="2464" w:type="dxa"/>
            <w:tcBorders>
              <w:top w:val="single" w:sz="18" w:space="0" w:color="auto"/>
              <w:bottom w:val="nil"/>
            </w:tcBorders>
            <w:shd w:val="clear" w:color="auto" w:fill="FFFFFF" w:themeFill="background1"/>
          </w:tcPr>
          <w:p w14:paraId="3431025A"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59608E" w:rsidRPr="00C65116" w14:paraId="056AFADF"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01742014"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5EFF4A93"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14:paraId="02DCC2C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14:paraId="6A29BF6F"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3200</w:t>
            </w:r>
          </w:p>
        </w:tc>
        <w:tc>
          <w:tcPr>
            <w:tcW w:w="2464" w:type="dxa"/>
            <w:tcBorders>
              <w:top w:val="nil"/>
              <w:bottom w:val="single" w:sz="18" w:space="0" w:color="auto"/>
            </w:tcBorders>
            <w:shd w:val="clear" w:color="auto" w:fill="FFFFFF" w:themeFill="background1"/>
          </w:tcPr>
          <w:p w14:paraId="5EA1EF6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59608E" w:rsidRPr="00C65116" w14:paraId="1A4183F6" w14:textId="77777777" w:rsidTr="006130D4">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7427016B" w14:textId="77777777" w:rsidR="0059608E" w:rsidRPr="00BC5564" w:rsidRDefault="0059608E" w:rsidP="006130D4">
            <w:pPr>
              <w:pStyle w:val="Caption"/>
              <w:rPr>
                <w:b/>
                <w:color w:val="auto"/>
                <w:lang w:val="en-AU" w:eastAsia="en-AU"/>
              </w:rPr>
            </w:pPr>
            <w:r w:rsidRPr="00BC5564">
              <w:rPr>
                <w:b/>
                <w:color w:val="auto"/>
                <w:lang w:val="en-AU" w:eastAsia="en-AU"/>
              </w:rPr>
              <w:t>Ametryn</w:t>
            </w:r>
          </w:p>
        </w:tc>
        <w:tc>
          <w:tcPr>
            <w:tcW w:w="1542" w:type="dxa"/>
            <w:tcBorders>
              <w:top w:val="single" w:sz="18" w:space="0" w:color="auto"/>
              <w:bottom w:val="nil"/>
            </w:tcBorders>
            <w:shd w:val="clear" w:color="auto" w:fill="FFFFFF" w:themeFill="background1"/>
          </w:tcPr>
          <w:p w14:paraId="176E5FDB"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500</w:t>
            </w:r>
          </w:p>
        </w:tc>
        <w:tc>
          <w:tcPr>
            <w:tcW w:w="2187" w:type="dxa"/>
            <w:tcBorders>
              <w:top w:val="single" w:sz="18" w:space="0" w:color="auto"/>
              <w:bottom w:val="nil"/>
            </w:tcBorders>
            <w:shd w:val="clear" w:color="auto" w:fill="FFFFFF" w:themeFill="background1"/>
          </w:tcPr>
          <w:p w14:paraId="00602350"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top w:val="single" w:sz="18" w:space="0" w:color="auto"/>
              <w:bottom w:val="nil"/>
            </w:tcBorders>
            <w:shd w:val="clear" w:color="auto" w:fill="FFFFFF" w:themeFill="background1"/>
          </w:tcPr>
          <w:p w14:paraId="033763DF"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14:paraId="7EFF1124"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59608E" w:rsidRPr="00C65116" w14:paraId="393C894C"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14:paraId="5E702B96"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104514AD"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1000</w:t>
            </w:r>
          </w:p>
        </w:tc>
        <w:tc>
          <w:tcPr>
            <w:tcW w:w="2187" w:type="dxa"/>
            <w:tcBorders>
              <w:top w:val="nil"/>
              <w:bottom w:val="single" w:sz="18" w:space="0" w:color="auto"/>
            </w:tcBorders>
            <w:shd w:val="clear" w:color="auto" w:fill="FFFFFF" w:themeFill="background1"/>
          </w:tcPr>
          <w:p w14:paraId="4536FC00"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14:paraId="696E6CF4"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nil"/>
              <w:bottom w:val="single" w:sz="18" w:space="0" w:color="auto"/>
            </w:tcBorders>
            <w:shd w:val="clear" w:color="auto" w:fill="FFFFFF" w:themeFill="background1"/>
          </w:tcPr>
          <w:p w14:paraId="4C56CE7E"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59608E" w:rsidRPr="00C65116" w14:paraId="5D9E7F6E" w14:textId="77777777" w:rsidTr="006130D4">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626BF40F" w14:textId="77777777" w:rsidR="0059608E" w:rsidRPr="00BC5564" w:rsidRDefault="0059608E" w:rsidP="006130D4">
            <w:pPr>
              <w:pStyle w:val="Caption"/>
              <w:rPr>
                <w:b/>
                <w:color w:val="auto"/>
                <w:lang w:val="en-AU" w:eastAsia="en-AU"/>
              </w:rPr>
            </w:pPr>
            <w:r w:rsidRPr="00BC5564">
              <w:rPr>
                <w:b/>
                <w:color w:val="auto"/>
                <w:lang w:val="en-AU" w:eastAsia="en-AU"/>
              </w:rPr>
              <w:t>Urea Herbicides</w:t>
            </w:r>
          </w:p>
        </w:tc>
        <w:tc>
          <w:tcPr>
            <w:tcW w:w="1542" w:type="dxa"/>
            <w:tcBorders>
              <w:top w:val="single" w:sz="18" w:space="0" w:color="auto"/>
            </w:tcBorders>
            <w:shd w:val="clear" w:color="auto" w:fill="FFFFFF" w:themeFill="background1"/>
          </w:tcPr>
          <w:p w14:paraId="627EE047"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14:paraId="386EF529"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14:paraId="13BFF8EB"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14:paraId="46BD0CBD"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59608E" w:rsidRPr="00C65116" w14:paraId="5CED49CC" w14:textId="77777777" w:rsidTr="006130D4">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14:paraId="248B97D3" w14:textId="77777777" w:rsidR="0059608E" w:rsidRPr="00BC5564" w:rsidRDefault="0059608E" w:rsidP="006130D4">
            <w:pPr>
              <w:pStyle w:val="Caption"/>
              <w:rPr>
                <w:b/>
                <w:color w:val="auto"/>
                <w:lang w:val="en-AU" w:eastAsia="en-AU"/>
              </w:rPr>
            </w:pPr>
            <w:r w:rsidRPr="00BC5564">
              <w:rPr>
                <w:b/>
                <w:color w:val="auto"/>
                <w:lang w:val="en-AU" w:eastAsia="en-AU"/>
              </w:rPr>
              <w:t>Diuron</w:t>
            </w:r>
          </w:p>
        </w:tc>
        <w:tc>
          <w:tcPr>
            <w:tcW w:w="1542" w:type="dxa"/>
            <w:tcBorders>
              <w:bottom w:val="nil"/>
            </w:tcBorders>
            <w:shd w:val="clear" w:color="auto" w:fill="FFFFFF" w:themeFill="background1"/>
          </w:tcPr>
          <w:p w14:paraId="1A4C2C9B"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900</w:t>
            </w:r>
          </w:p>
        </w:tc>
        <w:tc>
          <w:tcPr>
            <w:tcW w:w="2187" w:type="dxa"/>
            <w:tcBorders>
              <w:bottom w:val="nil"/>
            </w:tcBorders>
            <w:shd w:val="clear" w:color="auto" w:fill="FFFFFF" w:themeFill="background1"/>
          </w:tcPr>
          <w:p w14:paraId="7757FD90"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bottom w:val="nil"/>
            </w:tcBorders>
            <w:shd w:val="clear" w:color="auto" w:fill="FFFFFF" w:themeFill="background1"/>
          </w:tcPr>
          <w:p w14:paraId="05A7738E"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200 *</w:t>
            </w:r>
          </w:p>
        </w:tc>
        <w:tc>
          <w:tcPr>
            <w:tcW w:w="2464" w:type="dxa"/>
            <w:tcBorders>
              <w:bottom w:val="nil"/>
            </w:tcBorders>
            <w:shd w:val="clear" w:color="auto" w:fill="FFFFFF" w:themeFill="background1"/>
          </w:tcPr>
          <w:p w14:paraId="0408B3FB"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 ; Fresh water</w:t>
            </w:r>
          </w:p>
        </w:tc>
      </w:tr>
      <w:tr w:rsidR="0059608E" w:rsidRPr="00C65116" w14:paraId="5B080B2C" w14:textId="77777777" w:rsidTr="006130D4">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1634F7FF" w14:textId="77777777" w:rsidR="0059608E" w:rsidRPr="00BC5564" w:rsidRDefault="0059608E" w:rsidP="006130D4">
            <w:pPr>
              <w:pStyle w:val="Caption"/>
              <w:rPr>
                <w:b/>
                <w:color w:val="auto"/>
                <w:lang w:val="en-AU" w:eastAsia="en-AU"/>
              </w:rPr>
            </w:pPr>
          </w:p>
        </w:tc>
        <w:tc>
          <w:tcPr>
            <w:tcW w:w="1542" w:type="dxa"/>
            <w:tcBorders>
              <w:top w:val="nil"/>
              <w:bottom w:val="single" w:sz="18" w:space="0" w:color="auto"/>
            </w:tcBorders>
            <w:shd w:val="clear" w:color="auto" w:fill="FFFFFF" w:themeFill="background1"/>
          </w:tcPr>
          <w:p w14:paraId="091A9FC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1600</w:t>
            </w:r>
          </w:p>
        </w:tc>
        <w:tc>
          <w:tcPr>
            <w:tcW w:w="2187" w:type="dxa"/>
            <w:tcBorders>
              <w:top w:val="nil"/>
              <w:bottom w:val="single" w:sz="18" w:space="0" w:color="auto"/>
            </w:tcBorders>
            <w:shd w:val="clear" w:color="auto" w:fill="FFFFFF" w:themeFill="background1"/>
          </w:tcPr>
          <w:p w14:paraId="5D710463"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14:paraId="53C23B6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 *</w:t>
            </w:r>
          </w:p>
        </w:tc>
        <w:tc>
          <w:tcPr>
            <w:tcW w:w="2464" w:type="dxa"/>
            <w:tcBorders>
              <w:top w:val="nil"/>
              <w:bottom w:val="single" w:sz="18" w:space="0" w:color="auto"/>
            </w:tcBorders>
            <w:shd w:val="clear" w:color="auto" w:fill="FFFFFF" w:themeFill="background1"/>
          </w:tcPr>
          <w:p w14:paraId="5D6DDEC5"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Low reliability ; Marine water</w:t>
            </w:r>
          </w:p>
        </w:tc>
      </w:tr>
      <w:tr w:rsidR="0059608E" w:rsidRPr="00C65116" w14:paraId="368C4530"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14:paraId="5EA18E7E" w14:textId="77777777" w:rsidR="0059608E" w:rsidRPr="00BC5564" w:rsidRDefault="0059608E" w:rsidP="006130D4">
            <w:pPr>
              <w:pStyle w:val="Caption"/>
              <w:rPr>
                <w:b/>
                <w:color w:val="auto"/>
                <w:lang w:val="en-AU" w:eastAsia="en-AU"/>
              </w:rPr>
            </w:pPr>
            <w:r w:rsidRPr="00BC5564">
              <w:rPr>
                <w:b/>
                <w:color w:val="auto"/>
                <w:lang w:val="en-AU" w:eastAsia="en-AU"/>
              </w:rPr>
              <w:t>Tebuthiuron</w:t>
            </w:r>
          </w:p>
        </w:tc>
        <w:tc>
          <w:tcPr>
            <w:tcW w:w="1542" w:type="dxa"/>
            <w:tcBorders>
              <w:top w:val="single" w:sz="18" w:space="0" w:color="auto"/>
            </w:tcBorders>
            <w:shd w:val="clear" w:color="auto" w:fill="FFFFFF" w:themeFill="background1"/>
          </w:tcPr>
          <w:p w14:paraId="76E46D1C"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187" w:type="dxa"/>
            <w:tcBorders>
              <w:top w:val="single" w:sz="18" w:space="0" w:color="auto"/>
            </w:tcBorders>
            <w:shd w:val="clear" w:color="auto" w:fill="FFFFFF" w:themeFill="background1"/>
          </w:tcPr>
          <w:p w14:paraId="343AB63F"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Low reliability</w:t>
            </w:r>
          </w:p>
        </w:tc>
        <w:tc>
          <w:tcPr>
            <w:tcW w:w="1728" w:type="dxa"/>
            <w:tcBorders>
              <w:top w:val="single" w:sz="18" w:space="0" w:color="auto"/>
            </w:tcBorders>
            <w:shd w:val="clear" w:color="auto" w:fill="FFFFFF" w:themeFill="background1"/>
          </w:tcPr>
          <w:p w14:paraId="4B6E5817"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single" w:sz="18" w:space="0" w:color="auto"/>
            </w:tcBorders>
            <w:shd w:val="clear" w:color="auto" w:fill="FFFFFF" w:themeFill="background1"/>
          </w:tcPr>
          <w:p w14:paraId="633655F3"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59608E" w:rsidRPr="00C65116" w14:paraId="54F24A48" w14:textId="77777777" w:rsidTr="006130D4">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14:paraId="3E470A38" w14:textId="77777777" w:rsidR="0059608E" w:rsidRPr="00BC5564" w:rsidRDefault="0059608E" w:rsidP="006130D4">
            <w:pPr>
              <w:pStyle w:val="Caption"/>
              <w:rPr>
                <w:b/>
                <w:color w:val="auto"/>
                <w:lang w:val="en-AU" w:eastAsia="en-AU"/>
              </w:rPr>
            </w:pPr>
          </w:p>
        </w:tc>
        <w:tc>
          <w:tcPr>
            <w:tcW w:w="1542" w:type="dxa"/>
            <w:tcBorders>
              <w:bottom w:val="single" w:sz="18" w:space="0" w:color="auto"/>
            </w:tcBorders>
            <w:shd w:val="clear" w:color="auto" w:fill="FFFFFF" w:themeFill="background1"/>
          </w:tcPr>
          <w:p w14:paraId="465FE0A2"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bottom w:val="single" w:sz="18" w:space="0" w:color="auto"/>
            </w:tcBorders>
            <w:shd w:val="clear" w:color="auto" w:fill="FFFFFF" w:themeFill="background1"/>
          </w:tcPr>
          <w:p w14:paraId="67397BF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bottom w:val="single" w:sz="18" w:space="0" w:color="auto"/>
            </w:tcBorders>
            <w:shd w:val="clear" w:color="auto" w:fill="FFFFFF" w:themeFill="background1"/>
          </w:tcPr>
          <w:p w14:paraId="2355C01F"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2200</w:t>
            </w:r>
          </w:p>
        </w:tc>
        <w:tc>
          <w:tcPr>
            <w:tcW w:w="2464" w:type="dxa"/>
            <w:tcBorders>
              <w:bottom w:val="single" w:sz="18" w:space="0" w:color="auto"/>
            </w:tcBorders>
            <w:shd w:val="clear" w:color="auto" w:fill="FFFFFF" w:themeFill="background1"/>
          </w:tcPr>
          <w:p w14:paraId="2BB835BC"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59608E" w:rsidRPr="00C65116" w14:paraId="5F2B415A" w14:textId="77777777" w:rsidTr="006130D4">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14:paraId="6E1895F4" w14:textId="77777777" w:rsidR="0059608E" w:rsidRPr="00BC5564" w:rsidRDefault="0059608E" w:rsidP="006130D4">
            <w:pPr>
              <w:pStyle w:val="Caption"/>
              <w:rPr>
                <w:b/>
                <w:color w:val="auto"/>
                <w:lang w:val="en-AU" w:eastAsia="en-AU"/>
              </w:rPr>
            </w:pPr>
            <w:r w:rsidRPr="00BC5564">
              <w:rPr>
                <w:b/>
                <w:color w:val="auto"/>
                <w:lang w:val="en-AU" w:eastAsia="en-AU"/>
              </w:rPr>
              <w:t>Transformation Product</w:t>
            </w:r>
          </w:p>
        </w:tc>
        <w:tc>
          <w:tcPr>
            <w:tcW w:w="1542" w:type="dxa"/>
            <w:tcBorders>
              <w:top w:val="single" w:sz="18" w:space="0" w:color="auto"/>
              <w:bottom w:val="nil"/>
            </w:tcBorders>
            <w:shd w:val="clear" w:color="auto" w:fill="FFFFFF" w:themeFill="background1"/>
          </w:tcPr>
          <w:p w14:paraId="403D9DC3"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14:paraId="16DA1FE1"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14:paraId="4905ACA4"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14:paraId="79BCE85D" w14:textId="77777777" w:rsidR="0059608E" w:rsidRPr="00BC5564" w:rsidRDefault="0059608E" w:rsidP="006130D4">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59608E" w:rsidRPr="00C65116" w14:paraId="601BE342" w14:textId="77777777" w:rsidTr="006130D4">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14:paraId="1977066B" w14:textId="77777777" w:rsidR="0059608E" w:rsidRPr="00BC5564" w:rsidRDefault="0059608E" w:rsidP="006130D4">
            <w:pPr>
              <w:pStyle w:val="Caption"/>
              <w:rPr>
                <w:b/>
                <w:color w:val="auto"/>
                <w:lang w:val="en-AU" w:eastAsia="en-AU"/>
              </w:rPr>
            </w:pPr>
            <w:r w:rsidRPr="00BC5564">
              <w:rPr>
                <w:b/>
                <w:color w:val="auto"/>
                <w:lang w:val="en-AU" w:eastAsia="en-AU"/>
              </w:rPr>
              <w:t>3,4-dichloroaniline</w:t>
            </w:r>
          </w:p>
        </w:tc>
        <w:tc>
          <w:tcPr>
            <w:tcW w:w="1542" w:type="dxa"/>
            <w:tcBorders>
              <w:top w:val="nil"/>
              <w:bottom w:val="single" w:sz="18" w:space="0" w:color="auto"/>
            </w:tcBorders>
            <w:shd w:val="clear" w:color="auto" w:fill="FFFFFF" w:themeFill="background1"/>
          </w:tcPr>
          <w:p w14:paraId="063DFFDB"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14:paraId="138D24E4"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14:paraId="28CCF860"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85000</w:t>
            </w:r>
          </w:p>
        </w:tc>
        <w:tc>
          <w:tcPr>
            <w:tcW w:w="2464" w:type="dxa"/>
            <w:tcBorders>
              <w:top w:val="nil"/>
              <w:bottom w:val="single" w:sz="18" w:space="0" w:color="auto"/>
            </w:tcBorders>
            <w:shd w:val="clear" w:color="auto" w:fill="FFFFFF" w:themeFill="background1"/>
          </w:tcPr>
          <w:p w14:paraId="5A614188" w14:textId="77777777" w:rsidR="0059608E" w:rsidRPr="00BC5564" w:rsidRDefault="0059608E" w:rsidP="006130D4">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Marine water</w:t>
            </w:r>
          </w:p>
        </w:tc>
      </w:tr>
    </w:tbl>
    <w:p w14:paraId="28EA478D" w14:textId="77777777" w:rsidR="0059608E" w:rsidRPr="00C11BBA" w:rsidRDefault="0059608E" w:rsidP="006130D4">
      <w:pPr>
        <w:pStyle w:val="Caption"/>
        <w:rPr>
          <w:lang w:val="en-AU" w:eastAsia="en-AU"/>
        </w:rPr>
      </w:pPr>
    </w:p>
    <w:p w14:paraId="3EC7A744" w14:textId="77777777" w:rsidR="0059608E" w:rsidRPr="00B97E3E" w:rsidRDefault="0059608E" w:rsidP="006130D4">
      <w:pPr>
        <w:jc w:val="left"/>
        <w:rPr>
          <w:sz w:val="16"/>
          <w:szCs w:val="16"/>
          <w:lang w:val="en-AU" w:eastAsia="en-AU"/>
        </w:rPr>
      </w:pPr>
      <w:r w:rsidRPr="00C65116">
        <w:rPr>
          <w:sz w:val="16"/>
          <w:szCs w:val="16"/>
          <w:vertAlign w:val="superscript"/>
          <w:lang w:val="en-AU" w:eastAsia="en-AU"/>
        </w:rPr>
        <w:t>a</w:t>
      </w:r>
      <w:r w:rsidRPr="00C65116">
        <w:rPr>
          <w:sz w:val="16"/>
          <w:szCs w:val="16"/>
          <w:lang w:val="en-AU" w:eastAsia="en-AU"/>
        </w:rPr>
        <w:t xml:space="preserve"> Sourced from Table 26 &amp; Table 27 of the Water Quality Guidelines for the Great Barrier Reef Marine Park 2010  </w:t>
      </w:r>
      <w:r>
        <w:rPr>
          <w:noProof/>
          <w:sz w:val="16"/>
          <w:szCs w:val="16"/>
          <w:lang w:val="en-AU" w:eastAsia="en-AU"/>
        </w:rPr>
        <w:t>(GBRMPA, 2010)</w:t>
      </w:r>
      <w:r>
        <w:rPr>
          <w:sz w:val="16"/>
          <w:szCs w:val="16"/>
          <w:lang w:val="en-AU" w:eastAsia="en-AU"/>
        </w:rPr>
        <w:t xml:space="preserve"> </w:t>
      </w:r>
      <w:r w:rsidRPr="00B97E3E">
        <w:rPr>
          <w:sz w:val="16"/>
          <w:szCs w:val="16"/>
          <w:lang w:val="en-AU" w:eastAsia="en-AU"/>
        </w:rPr>
        <w:t xml:space="preserve">;  </w:t>
      </w:r>
      <w:r w:rsidRPr="00B97E3E">
        <w:rPr>
          <w:sz w:val="16"/>
          <w:szCs w:val="16"/>
          <w:vertAlign w:val="superscript"/>
          <w:lang w:val="en-AU" w:eastAsia="en-AU"/>
        </w:rPr>
        <w:t>b</w:t>
      </w:r>
      <w:r w:rsidRPr="00B97E3E">
        <w:rPr>
          <w:sz w:val="16"/>
          <w:szCs w:val="16"/>
          <w:lang w:val="en-AU" w:eastAsia="en-AU"/>
        </w:rPr>
        <w:t xml:space="preserve"> Sourced from Table 3.4-1 of the ANZECC </w:t>
      </w:r>
      <w:r>
        <w:rPr>
          <w:sz w:val="16"/>
          <w:szCs w:val="16"/>
          <w:lang w:val="en-AU" w:eastAsia="en-AU"/>
        </w:rPr>
        <w:t>and</w:t>
      </w:r>
      <w:r w:rsidRPr="00B97E3E">
        <w:rPr>
          <w:sz w:val="16"/>
          <w:szCs w:val="16"/>
          <w:lang w:val="en-AU" w:eastAsia="en-AU"/>
        </w:rPr>
        <w:t xml:space="preserve"> ARMCANZ </w:t>
      </w:r>
      <w:r>
        <w:rPr>
          <w:sz w:val="16"/>
          <w:szCs w:val="16"/>
          <w:lang w:val="en-AU" w:eastAsia="en-AU"/>
        </w:rPr>
        <w:t>G</w:t>
      </w:r>
      <w:r w:rsidRPr="00B97E3E">
        <w:rPr>
          <w:sz w:val="16"/>
          <w:szCs w:val="16"/>
          <w:lang w:val="en-AU" w:eastAsia="en-AU"/>
        </w:rPr>
        <w:t xml:space="preserve">uidelines </w:t>
      </w:r>
      <w:r>
        <w:rPr>
          <w:noProof/>
          <w:sz w:val="16"/>
          <w:szCs w:val="16"/>
          <w:lang w:val="en-AU" w:eastAsia="en-AU"/>
        </w:rPr>
        <w:t>(ANZECC &amp; ARMCANZ, 2000)</w:t>
      </w:r>
      <w:r w:rsidRPr="00B97E3E">
        <w:rPr>
          <w:sz w:val="16"/>
          <w:szCs w:val="16"/>
          <w:lang w:val="en-AU" w:eastAsia="en-AU"/>
        </w:rPr>
        <w:t xml:space="preserve">; “*” indicates values which are Interim Working Levels rather than Guidelines as indicated in Chapter 8.3.7  Volume 2 of the ANZECC </w:t>
      </w:r>
      <w:r>
        <w:rPr>
          <w:sz w:val="16"/>
          <w:szCs w:val="16"/>
          <w:lang w:val="en-AU" w:eastAsia="en-AU"/>
        </w:rPr>
        <w:t xml:space="preserve">and </w:t>
      </w:r>
      <w:r w:rsidRPr="00B97E3E">
        <w:rPr>
          <w:sz w:val="16"/>
          <w:szCs w:val="16"/>
          <w:lang w:val="en-AU" w:eastAsia="en-AU"/>
        </w:rPr>
        <w:t>ARMCANZ Guidelines.</w:t>
      </w:r>
    </w:p>
    <w:p w14:paraId="0C68BAA4" w14:textId="77777777" w:rsidR="0059608E" w:rsidRDefault="0059608E" w:rsidP="006130D4">
      <w:pPr>
        <w:tabs>
          <w:tab w:val="left" w:pos="753"/>
        </w:tabs>
        <w:rPr>
          <w:lang w:val="en-AU" w:eastAsia="en-AU"/>
        </w:rPr>
      </w:pPr>
    </w:p>
    <w:p w14:paraId="28CCDE60" w14:textId="77777777" w:rsidR="0059608E" w:rsidRDefault="0059608E" w:rsidP="006130D4">
      <w:pPr>
        <w:rPr>
          <w:lang w:val="en-AU" w:eastAsia="en-AU"/>
        </w:rPr>
      </w:pPr>
    </w:p>
    <w:p w14:paraId="567BD693" w14:textId="77777777" w:rsidR="0059608E" w:rsidRPr="00362F37" w:rsidRDefault="0059608E" w:rsidP="006130D4">
      <w:pPr>
        <w:rPr>
          <w:lang w:val="en-AU" w:eastAsia="en-AU"/>
        </w:rPr>
        <w:sectPr w:rsidR="0059608E" w:rsidRPr="00362F37" w:rsidSect="00A65DBE">
          <w:pgSz w:w="11907" w:h="16840" w:code="9"/>
          <w:pgMar w:top="720" w:right="720" w:bottom="720" w:left="720" w:header="709" w:footer="709" w:gutter="0"/>
          <w:cols w:space="708"/>
          <w:docGrid w:linePitch="360"/>
        </w:sectPr>
      </w:pPr>
    </w:p>
    <w:p w14:paraId="67E3AD1A" w14:textId="77777777" w:rsidR="0059608E" w:rsidRDefault="0059608E" w:rsidP="0066689E">
      <w:pPr>
        <w:pStyle w:val="Heading1"/>
      </w:pPr>
      <w:bookmarkStart w:id="721" w:name="_Toc461457786"/>
      <w:bookmarkStart w:id="722" w:name="_Toc462651967"/>
      <w:r>
        <w:lastRenderedPageBreak/>
        <w:t>APPENDIX B – supporting literature for PSII-HEq Index</w:t>
      </w:r>
      <w:bookmarkEnd w:id="721"/>
      <w:bookmarkEnd w:id="722"/>
      <w:r>
        <w:t xml:space="preserve"> </w:t>
      </w:r>
    </w:p>
    <w:p w14:paraId="2474A746" w14:textId="77777777" w:rsidR="00EB48FA" w:rsidRDefault="00EB48FA" w:rsidP="00EB48FA">
      <w:pPr>
        <w:pStyle w:val="Caption"/>
        <w:keepNext/>
      </w:pPr>
      <w:bookmarkStart w:id="723" w:name="_Toc462652075"/>
      <w:r>
        <w:t xml:space="preserve">Table A </w:t>
      </w:r>
      <w:r>
        <w:fldChar w:fldCharType="begin"/>
      </w:r>
      <w:r>
        <w:instrText xml:space="preserve"> SEQ Table_A \* ARABIC </w:instrText>
      </w:r>
      <w:r>
        <w:fldChar w:fldCharType="separate"/>
      </w:r>
      <w:r w:rsidR="00E51A34">
        <w:rPr>
          <w:noProof/>
        </w:rPr>
        <w:t>8</w:t>
      </w:r>
      <w:r>
        <w:fldChar w:fldCharType="end"/>
      </w:r>
      <w:r>
        <w:t xml:space="preserve"> </w:t>
      </w:r>
      <w:r w:rsidRPr="00C11BBA">
        <w:rPr>
          <w:lang w:val="en-AU"/>
        </w:rPr>
        <w:t xml:space="preserve">Scientific publications indicating the effect concentrations and the end-points for the reference PSII herbicide diuron used to define specific PSII-HEq Index categories as </w:t>
      </w:r>
      <w:r>
        <w:rPr>
          <w:lang w:val="en-AU"/>
        </w:rPr>
        <w:t>an indicator</w:t>
      </w:r>
      <w:r w:rsidRPr="00C11BBA">
        <w:rPr>
          <w:lang w:val="en-AU"/>
        </w:rPr>
        <w:t xml:space="preserve"> for reporting purposes</w:t>
      </w:r>
      <w:bookmarkEnd w:id="723"/>
    </w:p>
    <w:tbl>
      <w:tblPr>
        <w:tblStyle w:val="TableGrid"/>
        <w:tblW w:w="0" w:type="auto"/>
        <w:tblLayout w:type="fixed"/>
        <w:tblLook w:val="04A0" w:firstRow="1" w:lastRow="0" w:firstColumn="1" w:lastColumn="0" w:noHBand="0" w:noVBand="1"/>
        <w:tblDescription w:val="Table A 8 Scientific publications indicating the effect concentrations and the end-points for the reference PSII herbicide diuron used to define specific PSII-HEq Index categories as an indicator for reporting purposes"/>
      </w:tblPr>
      <w:tblGrid>
        <w:gridCol w:w="959"/>
        <w:gridCol w:w="992"/>
        <w:gridCol w:w="1701"/>
        <w:gridCol w:w="1418"/>
        <w:gridCol w:w="1275"/>
        <w:gridCol w:w="1418"/>
        <w:gridCol w:w="850"/>
        <w:gridCol w:w="1356"/>
      </w:tblGrid>
      <w:tr w:rsidR="0059608E" w:rsidRPr="007F042D" w14:paraId="69145644" w14:textId="77777777" w:rsidTr="006130D4">
        <w:trPr>
          <w:trHeight w:val="176"/>
          <w:tblHeader/>
        </w:trPr>
        <w:tc>
          <w:tcPr>
            <w:tcW w:w="959" w:type="dxa"/>
            <w:vMerge w:val="restart"/>
            <w:noWrap/>
            <w:vAlign w:val="center"/>
            <w:hideMark/>
          </w:tcPr>
          <w:p w14:paraId="2A41E05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Category</w:t>
            </w:r>
          </w:p>
        </w:tc>
        <w:tc>
          <w:tcPr>
            <w:tcW w:w="992" w:type="dxa"/>
            <w:vMerge w:val="restart"/>
            <w:noWrap/>
            <w:vAlign w:val="center"/>
            <w:hideMark/>
          </w:tcPr>
          <w:p w14:paraId="3C47BD53"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PSII-HEq Range</w:t>
            </w:r>
          </w:p>
          <w:p w14:paraId="2736E595" w14:textId="77777777" w:rsidR="0059608E" w:rsidRPr="007F042D" w:rsidRDefault="0059608E" w:rsidP="006130D4">
            <w:pPr>
              <w:jc w:val="center"/>
              <w:rPr>
                <w:rFonts w:eastAsia="Times New Roman" w:cs="Arial"/>
                <w:color w:val="000000"/>
                <w:sz w:val="16"/>
                <w:szCs w:val="16"/>
                <w:lang w:val="en-AU" w:eastAsia="en-AU"/>
              </w:rPr>
            </w:pPr>
            <w:r>
              <w:rPr>
                <w:rFonts w:eastAsia="Times New Roman" w:cs="Arial"/>
                <w:b/>
                <w:bCs/>
                <w:color w:val="000000"/>
                <w:sz w:val="16"/>
                <w:szCs w:val="16"/>
                <w:lang w:val="en-AU" w:eastAsia="en-AU"/>
              </w:rPr>
              <w:t xml:space="preserve">(ng </w:t>
            </w:r>
            <w:r w:rsidRPr="007F042D">
              <w:rPr>
                <w:rFonts w:eastAsia="Times New Roman" w:cs="Arial"/>
                <w:b/>
                <w:bCs/>
                <w:color w:val="000000"/>
                <w:sz w:val="16"/>
                <w:szCs w:val="16"/>
                <w:lang w:val="en-AU" w:eastAsia="en-AU"/>
              </w:rPr>
              <w:t>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701" w:type="dxa"/>
            <w:noWrap/>
            <w:vAlign w:val="center"/>
            <w:hideMark/>
          </w:tcPr>
          <w:p w14:paraId="00124319" w14:textId="77777777" w:rsidR="0059608E" w:rsidRPr="007F042D" w:rsidRDefault="0059608E" w:rsidP="006130D4">
            <w:pPr>
              <w:jc w:val="center"/>
              <w:rPr>
                <w:rFonts w:eastAsia="Times New Roman" w:cs="Arial"/>
                <w:color w:val="000000"/>
                <w:sz w:val="16"/>
                <w:szCs w:val="16"/>
                <w:lang w:val="en-AU" w:eastAsia="en-AU"/>
              </w:rPr>
            </w:pPr>
          </w:p>
        </w:tc>
        <w:tc>
          <w:tcPr>
            <w:tcW w:w="6317" w:type="dxa"/>
            <w:gridSpan w:val="5"/>
            <w:shd w:val="clear" w:color="auto" w:fill="B6DDE8" w:themeFill="accent5" w:themeFillTint="66"/>
            <w:noWrap/>
            <w:vAlign w:val="center"/>
            <w:hideMark/>
          </w:tcPr>
          <w:p w14:paraId="57A4D1E0"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Supporting Literature with Respect to the Reference Chemical Diuron</w:t>
            </w:r>
          </w:p>
        </w:tc>
      </w:tr>
      <w:tr w:rsidR="0059608E" w:rsidRPr="007F042D" w14:paraId="71C3AA5F" w14:textId="77777777" w:rsidTr="006130D4">
        <w:trPr>
          <w:trHeight w:val="457"/>
          <w:tblHeader/>
        </w:trPr>
        <w:tc>
          <w:tcPr>
            <w:tcW w:w="959" w:type="dxa"/>
            <w:vMerge/>
            <w:tcBorders>
              <w:bottom w:val="single" w:sz="18" w:space="0" w:color="auto"/>
            </w:tcBorders>
            <w:noWrap/>
            <w:vAlign w:val="center"/>
            <w:hideMark/>
          </w:tcPr>
          <w:p w14:paraId="4C3E58A7" w14:textId="77777777" w:rsidR="0059608E" w:rsidRPr="007F042D" w:rsidRDefault="0059608E" w:rsidP="006130D4">
            <w:pPr>
              <w:jc w:val="center"/>
              <w:rPr>
                <w:rFonts w:eastAsia="Times New Roman" w:cs="Arial"/>
                <w:b/>
                <w:bCs/>
                <w:color w:val="000000"/>
                <w:sz w:val="16"/>
                <w:szCs w:val="16"/>
                <w:lang w:val="en-AU" w:eastAsia="en-AU"/>
              </w:rPr>
            </w:pPr>
          </w:p>
        </w:tc>
        <w:tc>
          <w:tcPr>
            <w:tcW w:w="992" w:type="dxa"/>
            <w:vMerge/>
            <w:tcBorders>
              <w:bottom w:val="single" w:sz="18" w:space="0" w:color="auto"/>
            </w:tcBorders>
            <w:noWrap/>
            <w:vAlign w:val="center"/>
            <w:hideMark/>
          </w:tcPr>
          <w:p w14:paraId="0EDBD25E" w14:textId="77777777" w:rsidR="0059608E" w:rsidRPr="007F042D" w:rsidRDefault="0059608E" w:rsidP="006130D4">
            <w:pPr>
              <w:jc w:val="center"/>
              <w:rPr>
                <w:rFonts w:eastAsia="Times New Roman" w:cs="Arial"/>
                <w:b/>
                <w:bCs/>
                <w:color w:val="000000"/>
                <w:sz w:val="16"/>
                <w:szCs w:val="16"/>
                <w:lang w:val="en-AU" w:eastAsia="en-AU"/>
              </w:rPr>
            </w:pPr>
          </w:p>
        </w:tc>
        <w:tc>
          <w:tcPr>
            <w:tcW w:w="1701" w:type="dxa"/>
            <w:tcBorders>
              <w:bottom w:val="single" w:sz="18" w:space="0" w:color="auto"/>
            </w:tcBorders>
            <w:noWrap/>
            <w:vAlign w:val="center"/>
            <w:hideMark/>
          </w:tcPr>
          <w:p w14:paraId="22220F81"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Description</w:t>
            </w:r>
          </w:p>
        </w:tc>
        <w:tc>
          <w:tcPr>
            <w:tcW w:w="1418" w:type="dxa"/>
            <w:tcBorders>
              <w:bottom w:val="single" w:sz="18" w:space="0" w:color="auto"/>
            </w:tcBorders>
            <w:vAlign w:val="center"/>
            <w:hideMark/>
          </w:tcPr>
          <w:p w14:paraId="0FB999EA"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Species</w:t>
            </w:r>
          </w:p>
        </w:tc>
        <w:tc>
          <w:tcPr>
            <w:tcW w:w="1275" w:type="dxa"/>
            <w:tcBorders>
              <w:bottom w:val="single" w:sz="18" w:space="0" w:color="auto"/>
            </w:tcBorders>
            <w:vAlign w:val="center"/>
            <w:hideMark/>
          </w:tcPr>
          <w:p w14:paraId="5E525583"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Effects Concentration (ng</w:t>
            </w:r>
            <w:r>
              <w:rPr>
                <w:rFonts w:eastAsia="Times New Roman" w:cs="Arial"/>
                <w:b/>
                <w:bCs/>
                <w:color w:val="000000"/>
                <w:sz w:val="16"/>
                <w:szCs w:val="16"/>
                <w:lang w:val="en-AU" w:eastAsia="en-AU"/>
              </w:rPr>
              <w:t xml:space="preserve"> </w:t>
            </w:r>
            <w:r w:rsidRPr="007F042D">
              <w:rPr>
                <w:rFonts w:eastAsia="Times New Roman" w:cs="Arial"/>
                <w:b/>
                <w:bCs/>
                <w:color w:val="000000"/>
                <w:sz w:val="16"/>
                <w:szCs w:val="16"/>
                <w:lang w:val="en-AU" w:eastAsia="en-AU"/>
              </w:rPr>
              <w:t>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418" w:type="dxa"/>
            <w:tcBorders>
              <w:bottom w:val="single" w:sz="18" w:space="0" w:color="auto"/>
            </w:tcBorders>
            <w:vAlign w:val="center"/>
            <w:hideMark/>
          </w:tcPr>
          <w:p w14:paraId="17A76293"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Endpoint</w:t>
            </w:r>
          </w:p>
        </w:tc>
        <w:tc>
          <w:tcPr>
            <w:tcW w:w="850" w:type="dxa"/>
            <w:tcBorders>
              <w:bottom w:val="single" w:sz="18" w:space="0" w:color="auto"/>
            </w:tcBorders>
            <w:vAlign w:val="center"/>
            <w:hideMark/>
          </w:tcPr>
          <w:p w14:paraId="0B7D6F08"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Toxicity measure</w:t>
            </w:r>
          </w:p>
        </w:tc>
        <w:tc>
          <w:tcPr>
            <w:tcW w:w="1356" w:type="dxa"/>
            <w:tcBorders>
              <w:bottom w:val="single" w:sz="18" w:space="0" w:color="auto"/>
            </w:tcBorders>
            <w:noWrap/>
            <w:vAlign w:val="center"/>
            <w:hideMark/>
          </w:tcPr>
          <w:p w14:paraId="66194046"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Reference</w:t>
            </w:r>
          </w:p>
        </w:tc>
      </w:tr>
      <w:tr w:rsidR="0059608E" w:rsidRPr="007F042D" w14:paraId="2B3C43AD" w14:textId="77777777" w:rsidTr="006130D4">
        <w:trPr>
          <w:trHeight w:val="3075"/>
        </w:trPr>
        <w:tc>
          <w:tcPr>
            <w:tcW w:w="959" w:type="dxa"/>
            <w:tcBorders>
              <w:top w:val="single" w:sz="18" w:space="0" w:color="auto"/>
              <w:left w:val="single" w:sz="18" w:space="0" w:color="auto"/>
              <w:bottom w:val="single" w:sz="18" w:space="0" w:color="auto"/>
            </w:tcBorders>
            <w:noWrap/>
            <w:vAlign w:val="center"/>
            <w:hideMark/>
          </w:tcPr>
          <w:p w14:paraId="7A6C02C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w:t>
            </w:r>
          </w:p>
        </w:tc>
        <w:tc>
          <w:tcPr>
            <w:tcW w:w="992" w:type="dxa"/>
            <w:tcBorders>
              <w:top w:val="single" w:sz="18" w:space="0" w:color="auto"/>
              <w:bottom w:val="single" w:sz="18" w:space="0" w:color="auto"/>
            </w:tcBorders>
            <w:noWrap/>
            <w:vAlign w:val="center"/>
            <w:hideMark/>
          </w:tcPr>
          <w:p w14:paraId="1CB2BD3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 10</w:t>
            </w:r>
          </w:p>
        </w:tc>
        <w:tc>
          <w:tcPr>
            <w:tcW w:w="1701" w:type="dxa"/>
            <w:tcBorders>
              <w:top w:val="single" w:sz="18" w:space="0" w:color="auto"/>
              <w:bottom w:val="single" w:sz="18" w:space="0" w:color="auto"/>
            </w:tcBorders>
            <w:vAlign w:val="center"/>
            <w:hideMark/>
          </w:tcPr>
          <w:p w14:paraId="1012DB9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18" w:space="0" w:color="auto"/>
              <w:bottom w:val="single" w:sz="18" w:space="0" w:color="auto"/>
            </w:tcBorders>
            <w:noWrap/>
            <w:vAlign w:val="center"/>
            <w:hideMark/>
          </w:tcPr>
          <w:p w14:paraId="3E7F61E3" w14:textId="77777777" w:rsidR="0059608E" w:rsidRPr="007F042D" w:rsidRDefault="0059608E" w:rsidP="006130D4">
            <w:pPr>
              <w:jc w:val="center"/>
              <w:rPr>
                <w:rFonts w:eastAsia="Times New Roman" w:cs="Arial"/>
                <w:color w:val="000000"/>
                <w:sz w:val="16"/>
                <w:szCs w:val="16"/>
                <w:lang w:val="en-AU" w:eastAsia="en-AU"/>
              </w:rPr>
            </w:pPr>
          </w:p>
        </w:tc>
        <w:tc>
          <w:tcPr>
            <w:tcW w:w="1275" w:type="dxa"/>
            <w:tcBorders>
              <w:top w:val="single" w:sz="18" w:space="0" w:color="auto"/>
              <w:bottom w:val="single" w:sz="18" w:space="0" w:color="auto"/>
            </w:tcBorders>
            <w:noWrap/>
            <w:vAlign w:val="center"/>
            <w:hideMark/>
          </w:tcPr>
          <w:p w14:paraId="37DB0B1F"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noWrap/>
            <w:vAlign w:val="center"/>
            <w:hideMark/>
          </w:tcPr>
          <w:p w14:paraId="69466CF1"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top w:val="single" w:sz="18" w:space="0" w:color="auto"/>
              <w:bottom w:val="single" w:sz="18" w:space="0" w:color="auto"/>
            </w:tcBorders>
            <w:noWrap/>
            <w:vAlign w:val="center"/>
            <w:hideMark/>
          </w:tcPr>
          <w:p w14:paraId="4DCE3ABB"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top w:val="single" w:sz="18" w:space="0" w:color="auto"/>
              <w:bottom w:val="single" w:sz="18" w:space="0" w:color="auto"/>
              <w:right w:val="single" w:sz="18" w:space="0" w:color="auto"/>
            </w:tcBorders>
            <w:noWrap/>
            <w:vAlign w:val="center"/>
            <w:hideMark/>
          </w:tcPr>
          <w:p w14:paraId="7BB00853"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619BD390" w14:textId="77777777" w:rsidTr="006130D4">
        <w:trPr>
          <w:trHeight w:val="307"/>
        </w:trPr>
        <w:tc>
          <w:tcPr>
            <w:tcW w:w="959" w:type="dxa"/>
            <w:vMerge w:val="restart"/>
            <w:tcBorders>
              <w:top w:val="single" w:sz="18" w:space="0" w:color="auto"/>
              <w:left w:val="single" w:sz="18" w:space="0" w:color="auto"/>
            </w:tcBorders>
            <w:noWrap/>
            <w:vAlign w:val="center"/>
            <w:hideMark/>
          </w:tcPr>
          <w:p w14:paraId="41FD108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4</w:t>
            </w:r>
          </w:p>
        </w:tc>
        <w:tc>
          <w:tcPr>
            <w:tcW w:w="992" w:type="dxa"/>
            <w:vMerge w:val="restart"/>
            <w:tcBorders>
              <w:top w:val="single" w:sz="18" w:space="0" w:color="auto"/>
            </w:tcBorders>
            <w:noWrap/>
            <w:vAlign w:val="center"/>
            <w:hideMark/>
          </w:tcPr>
          <w:p w14:paraId="246ED15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 &lt; HEq ≤ 50</w:t>
            </w:r>
          </w:p>
        </w:tc>
        <w:tc>
          <w:tcPr>
            <w:tcW w:w="1701" w:type="dxa"/>
            <w:vMerge w:val="restart"/>
            <w:tcBorders>
              <w:top w:val="single" w:sz="18" w:space="0" w:color="auto"/>
            </w:tcBorders>
            <w:vAlign w:val="center"/>
            <w:hideMark/>
          </w:tcPr>
          <w:p w14:paraId="4A62FF4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diatoms.</w:t>
            </w:r>
          </w:p>
        </w:tc>
        <w:tc>
          <w:tcPr>
            <w:tcW w:w="1418" w:type="dxa"/>
            <w:tcBorders>
              <w:top w:val="single" w:sz="18" w:space="0" w:color="auto"/>
            </w:tcBorders>
            <w:shd w:val="clear" w:color="auto" w:fill="B6DDE8" w:themeFill="accent5" w:themeFillTint="66"/>
            <w:noWrap/>
            <w:vAlign w:val="center"/>
            <w:hideMark/>
          </w:tcPr>
          <w:p w14:paraId="52E92C5A"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tcBorders>
              <w:top w:val="single" w:sz="18" w:space="0" w:color="auto"/>
            </w:tcBorders>
            <w:noWrap/>
            <w:vAlign w:val="center"/>
            <w:hideMark/>
          </w:tcPr>
          <w:p w14:paraId="56574A71"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14:paraId="6DCFB168"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14:paraId="53D5D33F"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14:paraId="4D160A74"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30448DEF" w14:textId="77777777" w:rsidTr="006130D4">
        <w:trPr>
          <w:trHeight w:val="176"/>
        </w:trPr>
        <w:tc>
          <w:tcPr>
            <w:tcW w:w="959" w:type="dxa"/>
            <w:vMerge/>
            <w:tcBorders>
              <w:left w:val="single" w:sz="18" w:space="0" w:color="auto"/>
            </w:tcBorders>
            <w:vAlign w:val="center"/>
            <w:hideMark/>
          </w:tcPr>
          <w:p w14:paraId="321029D5"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121A72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3161D51"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326F9554"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275" w:type="dxa"/>
            <w:noWrap/>
            <w:vAlign w:val="center"/>
            <w:hideMark/>
          </w:tcPr>
          <w:p w14:paraId="7DC0766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noWrap/>
            <w:vAlign w:val="center"/>
            <w:hideMark/>
          </w:tcPr>
          <w:p w14:paraId="5B8A504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6436F3D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2B35212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72347697" w14:textId="77777777" w:rsidTr="006130D4">
        <w:trPr>
          <w:trHeight w:val="1100"/>
        </w:trPr>
        <w:tc>
          <w:tcPr>
            <w:tcW w:w="959" w:type="dxa"/>
            <w:vMerge/>
            <w:tcBorders>
              <w:left w:val="single" w:sz="18" w:space="0" w:color="auto"/>
              <w:bottom w:val="single" w:sz="18" w:space="0" w:color="auto"/>
            </w:tcBorders>
            <w:vAlign w:val="center"/>
            <w:hideMark/>
          </w:tcPr>
          <w:p w14:paraId="5105E45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tcBorders>
              <w:bottom w:val="single" w:sz="18" w:space="0" w:color="auto"/>
            </w:tcBorders>
            <w:vAlign w:val="center"/>
            <w:hideMark/>
          </w:tcPr>
          <w:p w14:paraId="6A15A143"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tcBorders>
              <w:bottom w:val="single" w:sz="18" w:space="0" w:color="auto"/>
            </w:tcBorders>
            <w:vAlign w:val="center"/>
            <w:hideMark/>
          </w:tcPr>
          <w:p w14:paraId="5AD8885D"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14:paraId="3FF44FBF"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275" w:type="dxa"/>
            <w:tcBorders>
              <w:bottom w:val="single" w:sz="18" w:space="0" w:color="auto"/>
            </w:tcBorders>
            <w:noWrap/>
            <w:vAlign w:val="center"/>
            <w:hideMark/>
          </w:tcPr>
          <w:p w14:paraId="1AA424C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tcBorders>
              <w:bottom w:val="single" w:sz="18" w:space="0" w:color="auto"/>
            </w:tcBorders>
            <w:noWrap/>
            <w:vAlign w:val="center"/>
            <w:hideMark/>
          </w:tcPr>
          <w:p w14:paraId="2624EB8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tcBorders>
              <w:bottom w:val="single" w:sz="18" w:space="0" w:color="auto"/>
            </w:tcBorders>
            <w:noWrap/>
            <w:vAlign w:val="center"/>
            <w:hideMark/>
          </w:tcPr>
          <w:p w14:paraId="716D253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14:paraId="033A64A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6001AFC7" w14:textId="77777777" w:rsidTr="006130D4">
        <w:trPr>
          <w:trHeight w:val="281"/>
        </w:trPr>
        <w:tc>
          <w:tcPr>
            <w:tcW w:w="959" w:type="dxa"/>
            <w:vMerge w:val="restart"/>
            <w:tcBorders>
              <w:top w:val="single" w:sz="18" w:space="0" w:color="auto"/>
              <w:left w:val="single" w:sz="18" w:space="0" w:color="auto"/>
            </w:tcBorders>
            <w:noWrap/>
            <w:vAlign w:val="center"/>
            <w:hideMark/>
          </w:tcPr>
          <w:p w14:paraId="61B67ED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w:t>
            </w:r>
          </w:p>
        </w:tc>
        <w:tc>
          <w:tcPr>
            <w:tcW w:w="992" w:type="dxa"/>
            <w:vMerge w:val="restart"/>
            <w:tcBorders>
              <w:top w:val="single" w:sz="18" w:space="0" w:color="auto"/>
            </w:tcBorders>
            <w:noWrap/>
            <w:vAlign w:val="center"/>
            <w:hideMark/>
          </w:tcPr>
          <w:p w14:paraId="312CAB9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 &lt; HEq &lt; 250</w:t>
            </w:r>
          </w:p>
        </w:tc>
        <w:tc>
          <w:tcPr>
            <w:tcW w:w="1701" w:type="dxa"/>
            <w:vMerge w:val="restart"/>
            <w:tcBorders>
              <w:top w:val="single" w:sz="18" w:space="0" w:color="auto"/>
            </w:tcBorders>
            <w:vAlign w:val="center"/>
            <w:hideMark/>
          </w:tcPr>
          <w:p w14:paraId="19BF7D2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seagrass species and three diatoms.</w:t>
            </w:r>
          </w:p>
        </w:tc>
        <w:tc>
          <w:tcPr>
            <w:tcW w:w="1418" w:type="dxa"/>
            <w:tcBorders>
              <w:top w:val="single" w:sz="18" w:space="0" w:color="auto"/>
            </w:tcBorders>
            <w:shd w:val="clear" w:color="auto" w:fill="B6DDE8" w:themeFill="accent5" w:themeFillTint="66"/>
            <w:noWrap/>
            <w:vAlign w:val="center"/>
            <w:hideMark/>
          </w:tcPr>
          <w:p w14:paraId="6230E49B"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275" w:type="dxa"/>
            <w:tcBorders>
              <w:top w:val="single" w:sz="18" w:space="0" w:color="auto"/>
            </w:tcBorders>
            <w:noWrap/>
            <w:vAlign w:val="center"/>
            <w:hideMark/>
          </w:tcPr>
          <w:p w14:paraId="08BF0B4B"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14:paraId="2420EED3"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14:paraId="1E76DF6F"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14:paraId="51666370"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6C6DBCBB" w14:textId="77777777" w:rsidTr="006130D4">
        <w:trPr>
          <w:trHeight w:val="176"/>
        </w:trPr>
        <w:tc>
          <w:tcPr>
            <w:tcW w:w="959" w:type="dxa"/>
            <w:vMerge/>
            <w:tcBorders>
              <w:left w:val="single" w:sz="18" w:space="0" w:color="auto"/>
            </w:tcBorders>
            <w:vAlign w:val="center"/>
            <w:hideMark/>
          </w:tcPr>
          <w:p w14:paraId="3BC15B4E"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3D89C6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7F4BF76"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7361D380"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ovalis</w:t>
            </w:r>
          </w:p>
        </w:tc>
        <w:tc>
          <w:tcPr>
            <w:tcW w:w="1275" w:type="dxa"/>
            <w:noWrap/>
            <w:vAlign w:val="center"/>
            <w:hideMark/>
          </w:tcPr>
          <w:p w14:paraId="0AFBDA3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14:paraId="7AEEA46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3024EC8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13923E5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59608E" w:rsidRPr="007F042D" w14:paraId="1B0D1A72" w14:textId="77777777" w:rsidTr="006130D4">
        <w:trPr>
          <w:trHeight w:val="176"/>
        </w:trPr>
        <w:tc>
          <w:tcPr>
            <w:tcW w:w="959" w:type="dxa"/>
            <w:vMerge/>
            <w:tcBorders>
              <w:left w:val="single" w:sz="18" w:space="0" w:color="auto"/>
            </w:tcBorders>
            <w:vAlign w:val="center"/>
            <w:hideMark/>
          </w:tcPr>
          <w:p w14:paraId="48EE562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A6D137A"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5911752"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6A38831F"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14:paraId="150B306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14:paraId="694CA7B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3CCB48E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5DB8F14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59608E" w:rsidRPr="007F042D" w14:paraId="306F1DF6" w14:textId="77777777" w:rsidTr="006130D4">
        <w:trPr>
          <w:trHeight w:val="307"/>
        </w:trPr>
        <w:tc>
          <w:tcPr>
            <w:tcW w:w="959" w:type="dxa"/>
            <w:vMerge/>
            <w:tcBorders>
              <w:left w:val="single" w:sz="18" w:space="0" w:color="auto"/>
            </w:tcBorders>
            <w:vAlign w:val="center"/>
            <w:hideMark/>
          </w:tcPr>
          <w:p w14:paraId="60BC3F3C"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0D2C700"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1291B8D"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4112ADD0"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14:paraId="04A2EA3E"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790112A7"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39359178"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571A8BB9"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08194421" w14:textId="77777777" w:rsidTr="006130D4">
        <w:trPr>
          <w:trHeight w:val="176"/>
        </w:trPr>
        <w:tc>
          <w:tcPr>
            <w:tcW w:w="959" w:type="dxa"/>
            <w:vMerge/>
            <w:tcBorders>
              <w:left w:val="single" w:sz="18" w:space="0" w:color="auto"/>
            </w:tcBorders>
            <w:vAlign w:val="center"/>
            <w:hideMark/>
          </w:tcPr>
          <w:p w14:paraId="31DD3378"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E0C58EA"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0ABBC614"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60AAA22A"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 closterium</w:t>
            </w:r>
          </w:p>
        </w:tc>
        <w:tc>
          <w:tcPr>
            <w:tcW w:w="1275" w:type="dxa"/>
            <w:noWrap/>
            <w:vAlign w:val="center"/>
            <w:hideMark/>
          </w:tcPr>
          <w:p w14:paraId="0D1C083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14:paraId="0774E3F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14:paraId="2A5AC32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14:paraId="76FDF7D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2CE1808A" w14:textId="77777777" w:rsidTr="006130D4">
        <w:trPr>
          <w:trHeight w:val="176"/>
        </w:trPr>
        <w:tc>
          <w:tcPr>
            <w:tcW w:w="959" w:type="dxa"/>
            <w:vMerge/>
            <w:tcBorders>
              <w:left w:val="single" w:sz="18" w:space="0" w:color="auto"/>
            </w:tcBorders>
            <w:vAlign w:val="center"/>
            <w:hideMark/>
          </w:tcPr>
          <w:p w14:paraId="4C575DC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4EB6B46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233A3F7"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22261EB0"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tc>
        <w:tc>
          <w:tcPr>
            <w:tcW w:w="1275" w:type="dxa"/>
            <w:noWrap/>
            <w:vAlign w:val="center"/>
            <w:hideMark/>
          </w:tcPr>
          <w:p w14:paraId="2B74054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14:paraId="1CFA54C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14:paraId="4A91FDD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14:paraId="5DC36AB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11CCA546" w14:textId="77777777" w:rsidTr="006130D4">
        <w:trPr>
          <w:trHeight w:val="806"/>
        </w:trPr>
        <w:tc>
          <w:tcPr>
            <w:tcW w:w="959" w:type="dxa"/>
            <w:vMerge/>
            <w:tcBorders>
              <w:left w:val="single" w:sz="18" w:space="0" w:color="auto"/>
            </w:tcBorders>
            <w:vAlign w:val="center"/>
            <w:hideMark/>
          </w:tcPr>
          <w:p w14:paraId="620CFF5A"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27AD1C01"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71812F4"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14:paraId="319BE426"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tertiolecta</w:t>
            </w:r>
          </w:p>
        </w:tc>
        <w:tc>
          <w:tcPr>
            <w:tcW w:w="1275" w:type="dxa"/>
            <w:tcBorders>
              <w:bottom w:val="single" w:sz="18" w:space="0" w:color="auto"/>
            </w:tcBorders>
            <w:noWrap/>
            <w:vAlign w:val="center"/>
            <w:hideMark/>
          </w:tcPr>
          <w:p w14:paraId="448C408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w:t>
            </w:r>
          </w:p>
        </w:tc>
        <w:tc>
          <w:tcPr>
            <w:tcW w:w="1418" w:type="dxa"/>
            <w:tcBorders>
              <w:bottom w:val="single" w:sz="18" w:space="0" w:color="auto"/>
            </w:tcBorders>
            <w:noWrap/>
            <w:vAlign w:val="center"/>
            <w:hideMark/>
          </w:tcPr>
          <w:p w14:paraId="5395244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14:paraId="1B9DCDC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bottom w:val="single" w:sz="18" w:space="0" w:color="auto"/>
              <w:right w:val="single" w:sz="18" w:space="0" w:color="auto"/>
            </w:tcBorders>
            <w:noWrap/>
            <w:vAlign w:val="center"/>
            <w:hideMark/>
          </w:tcPr>
          <w:p w14:paraId="0FECFDA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Bengston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65C4F7B5" w14:textId="77777777" w:rsidTr="006130D4">
        <w:trPr>
          <w:trHeight w:val="307"/>
        </w:trPr>
        <w:tc>
          <w:tcPr>
            <w:tcW w:w="959" w:type="dxa"/>
            <w:vMerge w:val="restart"/>
            <w:tcBorders>
              <w:top w:val="single" w:sz="18" w:space="0" w:color="auto"/>
              <w:left w:val="single" w:sz="18" w:space="0" w:color="auto"/>
            </w:tcBorders>
            <w:noWrap/>
            <w:vAlign w:val="center"/>
            <w:hideMark/>
          </w:tcPr>
          <w:p w14:paraId="72ED369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w:t>
            </w:r>
          </w:p>
        </w:tc>
        <w:tc>
          <w:tcPr>
            <w:tcW w:w="992" w:type="dxa"/>
            <w:vMerge w:val="restart"/>
            <w:tcBorders>
              <w:top w:val="single" w:sz="18" w:space="0" w:color="auto"/>
            </w:tcBorders>
            <w:noWrap/>
            <w:vAlign w:val="center"/>
            <w:hideMark/>
          </w:tcPr>
          <w:p w14:paraId="1153EF4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 HEq ≤ 900</w:t>
            </w:r>
          </w:p>
        </w:tc>
        <w:tc>
          <w:tcPr>
            <w:tcW w:w="1701" w:type="dxa"/>
            <w:vMerge w:val="restart"/>
            <w:tcBorders>
              <w:top w:val="single" w:sz="18" w:space="0" w:color="auto"/>
            </w:tcBorders>
            <w:vAlign w:val="center"/>
            <w:hideMark/>
          </w:tcPr>
          <w:p w14:paraId="5C0E9E0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three coral species.</w:t>
            </w:r>
          </w:p>
        </w:tc>
        <w:tc>
          <w:tcPr>
            <w:tcW w:w="1418" w:type="dxa"/>
            <w:tcBorders>
              <w:top w:val="single" w:sz="18" w:space="0" w:color="auto"/>
              <w:bottom w:val="single" w:sz="18" w:space="0" w:color="auto"/>
            </w:tcBorders>
            <w:shd w:val="clear" w:color="auto" w:fill="B6DDE8" w:themeFill="accent5" w:themeFillTint="66"/>
            <w:vAlign w:val="center"/>
            <w:hideMark/>
          </w:tcPr>
          <w:p w14:paraId="37D05CD6"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275" w:type="dxa"/>
            <w:tcBorders>
              <w:top w:val="single" w:sz="18" w:space="0" w:color="auto"/>
            </w:tcBorders>
            <w:noWrap/>
            <w:vAlign w:val="center"/>
            <w:hideMark/>
          </w:tcPr>
          <w:p w14:paraId="4F865ABA"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14:paraId="70537B5E"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14:paraId="4DB0B145"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14:paraId="0E8D821B"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502A9F56" w14:textId="77777777" w:rsidTr="006130D4">
        <w:trPr>
          <w:trHeight w:val="307"/>
        </w:trPr>
        <w:tc>
          <w:tcPr>
            <w:tcW w:w="959" w:type="dxa"/>
            <w:vMerge/>
            <w:tcBorders>
              <w:left w:val="single" w:sz="18" w:space="0" w:color="auto"/>
            </w:tcBorders>
            <w:noWrap/>
            <w:vAlign w:val="center"/>
            <w:hideMark/>
          </w:tcPr>
          <w:p w14:paraId="505FD9E8"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08377C7D"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3AF8DC4"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shd w:val="clear" w:color="auto" w:fill="FFFFFF" w:themeFill="background1"/>
            <w:vAlign w:val="center"/>
            <w:hideMark/>
          </w:tcPr>
          <w:p w14:paraId="10DE878D"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pistillata</w:t>
            </w:r>
          </w:p>
        </w:tc>
        <w:tc>
          <w:tcPr>
            <w:tcW w:w="1275" w:type="dxa"/>
            <w:tcBorders>
              <w:top w:val="single" w:sz="18" w:space="0" w:color="auto"/>
            </w:tcBorders>
            <w:noWrap/>
            <w:vAlign w:val="center"/>
            <w:hideMark/>
          </w:tcPr>
          <w:p w14:paraId="4402DC8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w:t>
            </w:r>
          </w:p>
        </w:tc>
        <w:tc>
          <w:tcPr>
            <w:tcW w:w="1418" w:type="dxa"/>
            <w:tcBorders>
              <w:top w:val="single" w:sz="18" w:space="0" w:color="auto"/>
            </w:tcBorders>
            <w:noWrap/>
            <w:vAlign w:val="center"/>
            <w:hideMark/>
          </w:tcPr>
          <w:p w14:paraId="3CD3ED2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top w:val="single" w:sz="18" w:space="0" w:color="auto"/>
            </w:tcBorders>
            <w:noWrap/>
            <w:vAlign w:val="center"/>
            <w:hideMark/>
          </w:tcPr>
          <w:p w14:paraId="293CF80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top w:val="single" w:sz="18" w:space="0" w:color="auto"/>
              <w:right w:val="single" w:sz="18" w:space="0" w:color="auto"/>
            </w:tcBorders>
            <w:noWrap/>
            <w:vAlign w:val="center"/>
            <w:hideMark/>
          </w:tcPr>
          <w:p w14:paraId="2303499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59608E" w:rsidRPr="007F042D" w14:paraId="0B361D42" w14:textId="77777777" w:rsidTr="006130D4">
        <w:trPr>
          <w:trHeight w:val="307"/>
        </w:trPr>
        <w:tc>
          <w:tcPr>
            <w:tcW w:w="959" w:type="dxa"/>
            <w:vMerge/>
            <w:tcBorders>
              <w:left w:val="single" w:sz="18" w:space="0" w:color="auto"/>
            </w:tcBorders>
            <w:noWrap/>
            <w:vAlign w:val="center"/>
            <w:hideMark/>
          </w:tcPr>
          <w:p w14:paraId="0E2F87A7"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5073CA3D"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05226553"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tcBorders>
            <w:shd w:val="clear" w:color="auto" w:fill="B6DDE8" w:themeFill="accent5" w:themeFillTint="66"/>
            <w:vAlign w:val="center"/>
            <w:hideMark/>
          </w:tcPr>
          <w:p w14:paraId="1395C87E"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tcBorders>
              <w:top w:val="single" w:sz="18" w:space="0" w:color="auto"/>
            </w:tcBorders>
            <w:noWrap/>
            <w:vAlign w:val="center"/>
            <w:hideMark/>
          </w:tcPr>
          <w:p w14:paraId="74394B1C"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14:paraId="550359FF"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14:paraId="7CA069F8"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14:paraId="310E433C"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3CBBE132" w14:textId="77777777" w:rsidTr="006130D4">
        <w:trPr>
          <w:trHeight w:val="307"/>
        </w:trPr>
        <w:tc>
          <w:tcPr>
            <w:tcW w:w="959" w:type="dxa"/>
            <w:vMerge/>
            <w:tcBorders>
              <w:left w:val="single" w:sz="18" w:space="0" w:color="auto"/>
            </w:tcBorders>
            <w:noWrap/>
            <w:vAlign w:val="center"/>
            <w:hideMark/>
          </w:tcPr>
          <w:p w14:paraId="360D12E4"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2E9A8B39"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9DBCDBD"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0070C92B"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noWrap/>
            <w:vAlign w:val="center"/>
            <w:hideMark/>
          </w:tcPr>
          <w:p w14:paraId="01E233B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14:paraId="5DE5C23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52580D0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16F7D53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59608E" w:rsidRPr="007F042D" w14:paraId="54EEA576" w14:textId="77777777" w:rsidTr="006130D4">
        <w:trPr>
          <w:trHeight w:val="307"/>
        </w:trPr>
        <w:tc>
          <w:tcPr>
            <w:tcW w:w="959" w:type="dxa"/>
            <w:vMerge/>
            <w:tcBorders>
              <w:left w:val="single" w:sz="18" w:space="0" w:color="auto"/>
            </w:tcBorders>
            <w:noWrap/>
            <w:vAlign w:val="center"/>
            <w:hideMark/>
          </w:tcPr>
          <w:p w14:paraId="0EBB0DD0"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390DA573"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B911227"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67725927"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noWrap/>
            <w:vAlign w:val="center"/>
            <w:hideMark/>
          </w:tcPr>
          <w:p w14:paraId="28D3181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14:paraId="45500BE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2AE5D68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4E635CD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59608E" w:rsidRPr="007F042D" w14:paraId="62AC6E19" w14:textId="77777777" w:rsidTr="006130D4">
        <w:trPr>
          <w:trHeight w:val="261"/>
        </w:trPr>
        <w:tc>
          <w:tcPr>
            <w:tcW w:w="959" w:type="dxa"/>
            <w:vMerge/>
            <w:tcBorders>
              <w:left w:val="single" w:sz="18" w:space="0" w:color="auto"/>
            </w:tcBorders>
            <w:vAlign w:val="center"/>
            <w:hideMark/>
          </w:tcPr>
          <w:p w14:paraId="624E808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8A57AA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F5F6109" w14:textId="77777777" w:rsidR="0059608E" w:rsidRPr="007F042D" w:rsidRDefault="0059608E" w:rsidP="006130D4">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14:paraId="091A8697"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tcBorders>
              <w:bottom w:val="single" w:sz="18" w:space="0" w:color="auto"/>
            </w:tcBorders>
            <w:noWrap/>
            <w:vAlign w:val="center"/>
            <w:hideMark/>
          </w:tcPr>
          <w:p w14:paraId="59AA0D1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tcBorders>
              <w:bottom w:val="single" w:sz="18" w:space="0" w:color="auto"/>
            </w:tcBorders>
            <w:noWrap/>
            <w:vAlign w:val="center"/>
            <w:hideMark/>
          </w:tcPr>
          <w:p w14:paraId="6BC635E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14:paraId="2E0FB2D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14:paraId="2B4DCC8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59608E" w:rsidRPr="007F042D" w14:paraId="1EE5FEE7" w14:textId="77777777" w:rsidTr="006130D4">
        <w:trPr>
          <w:trHeight w:val="371"/>
        </w:trPr>
        <w:tc>
          <w:tcPr>
            <w:tcW w:w="959" w:type="dxa"/>
            <w:vMerge w:val="restart"/>
            <w:tcBorders>
              <w:top w:val="single" w:sz="18" w:space="0" w:color="auto"/>
              <w:left w:val="single" w:sz="18" w:space="0" w:color="auto"/>
            </w:tcBorders>
            <w:noWrap/>
            <w:vAlign w:val="center"/>
            <w:hideMark/>
          </w:tcPr>
          <w:p w14:paraId="0C08961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w:t>
            </w:r>
          </w:p>
        </w:tc>
        <w:tc>
          <w:tcPr>
            <w:tcW w:w="992" w:type="dxa"/>
            <w:vMerge w:val="restart"/>
            <w:tcBorders>
              <w:top w:val="single" w:sz="18" w:space="0" w:color="auto"/>
            </w:tcBorders>
            <w:noWrap/>
            <w:vAlign w:val="center"/>
            <w:hideMark/>
          </w:tcPr>
          <w:p w14:paraId="4073B8F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HEq &gt; 900</w:t>
            </w:r>
          </w:p>
        </w:tc>
        <w:tc>
          <w:tcPr>
            <w:tcW w:w="1701" w:type="dxa"/>
            <w:vMerge w:val="restart"/>
            <w:tcBorders>
              <w:top w:val="single" w:sz="18" w:space="0" w:color="auto"/>
            </w:tcBorders>
            <w:vAlign w:val="center"/>
            <w:hideMark/>
          </w:tcPr>
          <w:p w14:paraId="328CB5A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Published scientific papers that demonstrate effects on the growth and death of aquatic plants and animals exposed to the pesticide. This concentration represents a level at which 99 per cent of tropical marine plants and animals </w:t>
            </w:r>
            <w:r w:rsidRPr="007F042D">
              <w:rPr>
                <w:rFonts w:eastAsia="Times New Roman" w:cs="Arial"/>
                <w:color w:val="000000"/>
                <w:sz w:val="16"/>
                <w:szCs w:val="16"/>
                <w:lang w:val="en-AU" w:eastAsia="en-AU"/>
              </w:rPr>
              <w:lastRenderedPageBreak/>
              <w:t>are protected, using diuron as the reference chemical.</w:t>
            </w:r>
          </w:p>
        </w:tc>
        <w:tc>
          <w:tcPr>
            <w:tcW w:w="1418" w:type="dxa"/>
            <w:tcBorders>
              <w:top w:val="single" w:sz="18" w:space="0" w:color="auto"/>
            </w:tcBorders>
            <w:shd w:val="clear" w:color="auto" w:fill="B6DDE8" w:themeFill="accent5" w:themeFillTint="66"/>
            <w:noWrap/>
            <w:vAlign w:val="center"/>
            <w:hideMark/>
          </w:tcPr>
          <w:p w14:paraId="5B2279AC"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lastRenderedPageBreak/>
              <w:t>Seagrass</w:t>
            </w:r>
          </w:p>
        </w:tc>
        <w:tc>
          <w:tcPr>
            <w:tcW w:w="1275" w:type="dxa"/>
            <w:noWrap/>
            <w:vAlign w:val="center"/>
            <w:hideMark/>
          </w:tcPr>
          <w:p w14:paraId="54A2B4CB"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00FEAC83"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452CCC1F"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629F9362"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1CA17BEB" w14:textId="77777777" w:rsidTr="006130D4">
        <w:trPr>
          <w:trHeight w:val="302"/>
        </w:trPr>
        <w:tc>
          <w:tcPr>
            <w:tcW w:w="959" w:type="dxa"/>
            <w:vMerge/>
            <w:tcBorders>
              <w:left w:val="single" w:sz="18" w:space="0" w:color="auto"/>
            </w:tcBorders>
            <w:noWrap/>
            <w:vAlign w:val="center"/>
            <w:hideMark/>
          </w:tcPr>
          <w:p w14:paraId="7870B7C2"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1746977F"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0A2EAD18"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3BB32FE9"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14:paraId="6441CE5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14:paraId="4B95D17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4D92D29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14A5184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59608E" w:rsidRPr="007F042D" w14:paraId="5893AADE" w14:textId="77777777" w:rsidTr="006130D4">
        <w:trPr>
          <w:trHeight w:val="265"/>
        </w:trPr>
        <w:tc>
          <w:tcPr>
            <w:tcW w:w="959" w:type="dxa"/>
            <w:vMerge/>
            <w:tcBorders>
              <w:left w:val="single" w:sz="18" w:space="0" w:color="auto"/>
            </w:tcBorders>
            <w:noWrap/>
            <w:vAlign w:val="center"/>
            <w:hideMark/>
          </w:tcPr>
          <w:p w14:paraId="7A1BA03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noWrap/>
            <w:vAlign w:val="center"/>
            <w:hideMark/>
          </w:tcPr>
          <w:p w14:paraId="10DE4084"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95DB609"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5B1D45F1"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14:paraId="0D11241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5000</w:t>
            </w:r>
          </w:p>
        </w:tc>
        <w:tc>
          <w:tcPr>
            <w:tcW w:w="1418" w:type="dxa"/>
            <w:noWrap/>
            <w:vAlign w:val="center"/>
            <w:hideMark/>
          </w:tcPr>
          <w:p w14:paraId="65A3462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↓growth</w:t>
            </w:r>
          </w:p>
        </w:tc>
        <w:tc>
          <w:tcPr>
            <w:tcW w:w="850" w:type="dxa"/>
            <w:noWrap/>
            <w:vAlign w:val="center"/>
            <w:hideMark/>
          </w:tcPr>
          <w:p w14:paraId="43C702E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44C8709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Chesworth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59608E" w:rsidRPr="007F042D" w14:paraId="5C7CBB82" w14:textId="77777777" w:rsidTr="006130D4">
        <w:trPr>
          <w:trHeight w:val="176"/>
        </w:trPr>
        <w:tc>
          <w:tcPr>
            <w:tcW w:w="959" w:type="dxa"/>
            <w:vMerge/>
            <w:tcBorders>
              <w:left w:val="single" w:sz="18" w:space="0" w:color="auto"/>
            </w:tcBorders>
            <w:vAlign w:val="center"/>
            <w:hideMark/>
          </w:tcPr>
          <w:p w14:paraId="340EDCF8"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93FD329"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094A728"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41DD8C83"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Z. capriconi</w:t>
            </w:r>
          </w:p>
        </w:tc>
        <w:tc>
          <w:tcPr>
            <w:tcW w:w="1275" w:type="dxa"/>
            <w:noWrap/>
            <w:vAlign w:val="center"/>
            <w:hideMark/>
          </w:tcPr>
          <w:p w14:paraId="6B64556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14:paraId="032D4C2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7BCE3D4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32114B2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Macinnis-Ng &amp; Ralph, 2004</w:t>
            </w:r>
          </w:p>
        </w:tc>
      </w:tr>
      <w:tr w:rsidR="0059608E" w:rsidRPr="007F042D" w14:paraId="22936D19" w14:textId="77777777" w:rsidTr="006130D4">
        <w:trPr>
          <w:trHeight w:val="176"/>
        </w:trPr>
        <w:tc>
          <w:tcPr>
            <w:tcW w:w="959" w:type="dxa"/>
            <w:vMerge/>
            <w:tcBorders>
              <w:left w:val="single" w:sz="18" w:space="0" w:color="auto"/>
            </w:tcBorders>
            <w:vAlign w:val="center"/>
            <w:hideMark/>
          </w:tcPr>
          <w:p w14:paraId="383247BD"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BF6EB82"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AB5CFDD"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3BF43205"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C. serrulata</w:t>
            </w:r>
          </w:p>
        </w:tc>
        <w:tc>
          <w:tcPr>
            <w:tcW w:w="1275" w:type="dxa"/>
            <w:noWrap/>
            <w:vAlign w:val="center"/>
            <w:hideMark/>
          </w:tcPr>
          <w:p w14:paraId="222FB06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14:paraId="1A8F16F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14:paraId="7E6FE5E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25D2C9C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Haynes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2000b</w:t>
            </w:r>
          </w:p>
        </w:tc>
      </w:tr>
      <w:tr w:rsidR="0059608E" w:rsidRPr="007F042D" w14:paraId="19C4C29B" w14:textId="77777777" w:rsidTr="006130D4">
        <w:trPr>
          <w:trHeight w:val="597"/>
        </w:trPr>
        <w:tc>
          <w:tcPr>
            <w:tcW w:w="959" w:type="dxa"/>
            <w:vMerge/>
            <w:tcBorders>
              <w:left w:val="single" w:sz="18" w:space="0" w:color="auto"/>
            </w:tcBorders>
            <w:vAlign w:val="center"/>
            <w:hideMark/>
          </w:tcPr>
          <w:p w14:paraId="0CCD2C74"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62F25D9"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9CBC927"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14:paraId="29F0B669"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Isolated zooxanthellae</w:t>
            </w:r>
          </w:p>
        </w:tc>
        <w:tc>
          <w:tcPr>
            <w:tcW w:w="1275" w:type="dxa"/>
            <w:noWrap/>
            <w:vAlign w:val="center"/>
            <w:hideMark/>
          </w:tcPr>
          <w:p w14:paraId="12929A70"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1D3B6852"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0B1DDD05"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13B4CA62"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33BD13C1" w14:textId="77777777" w:rsidTr="006130D4">
        <w:trPr>
          <w:trHeight w:val="176"/>
        </w:trPr>
        <w:tc>
          <w:tcPr>
            <w:tcW w:w="959" w:type="dxa"/>
            <w:vMerge/>
            <w:tcBorders>
              <w:left w:val="single" w:sz="18" w:space="0" w:color="auto"/>
            </w:tcBorders>
            <w:vAlign w:val="center"/>
            <w:hideMark/>
          </w:tcPr>
          <w:p w14:paraId="2C6A8635"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DAB6730"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03A25E4E"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07087CDA"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mirabilis</w:t>
            </w:r>
          </w:p>
        </w:tc>
        <w:tc>
          <w:tcPr>
            <w:tcW w:w="1275" w:type="dxa"/>
            <w:noWrap/>
            <w:vAlign w:val="center"/>
            <w:hideMark/>
          </w:tcPr>
          <w:p w14:paraId="6BAA789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14:paraId="05E1C21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14:paraId="40E0399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750DF6A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59608E" w:rsidRPr="007F042D" w14:paraId="772420F7" w14:textId="77777777" w:rsidTr="006130D4">
        <w:trPr>
          <w:trHeight w:val="307"/>
        </w:trPr>
        <w:tc>
          <w:tcPr>
            <w:tcW w:w="959" w:type="dxa"/>
            <w:vMerge/>
            <w:tcBorders>
              <w:left w:val="single" w:sz="18" w:space="0" w:color="auto"/>
            </w:tcBorders>
            <w:vAlign w:val="center"/>
            <w:hideMark/>
          </w:tcPr>
          <w:p w14:paraId="77ABA2E9"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E95AFA5"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1F800F1B"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0ED04133"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F. fragum</w:t>
            </w:r>
          </w:p>
        </w:tc>
        <w:tc>
          <w:tcPr>
            <w:tcW w:w="1275" w:type="dxa"/>
            <w:noWrap/>
            <w:vAlign w:val="center"/>
            <w:hideMark/>
          </w:tcPr>
          <w:p w14:paraId="6661F27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14:paraId="569F3D6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14:paraId="3604976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693025B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59608E" w:rsidRPr="007F042D" w14:paraId="40D643DB" w14:textId="77777777" w:rsidTr="006130D4">
        <w:trPr>
          <w:trHeight w:val="176"/>
        </w:trPr>
        <w:tc>
          <w:tcPr>
            <w:tcW w:w="959" w:type="dxa"/>
            <w:vMerge/>
            <w:tcBorders>
              <w:left w:val="single" w:sz="18" w:space="0" w:color="auto"/>
            </w:tcBorders>
            <w:vAlign w:val="center"/>
            <w:hideMark/>
          </w:tcPr>
          <w:p w14:paraId="4011A01D"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F38401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BFF9E1B"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08612D15"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D. strigosa</w:t>
            </w:r>
          </w:p>
        </w:tc>
        <w:tc>
          <w:tcPr>
            <w:tcW w:w="1275" w:type="dxa"/>
            <w:noWrap/>
            <w:vAlign w:val="center"/>
            <w:hideMark/>
          </w:tcPr>
          <w:p w14:paraId="130B25B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14:paraId="2DB3BCD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14:paraId="635F931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649B9CA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59608E" w:rsidRPr="007F042D" w14:paraId="40DE9F7B" w14:textId="77777777" w:rsidTr="006130D4">
        <w:trPr>
          <w:trHeight w:val="377"/>
        </w:trPr>
        <w:tc>
          <w:tcPr>
            <w:tcW w:w="959" w:type="dxa"/>
            <w:vMerge/>
            <w:tcBorders>
              <w:left w:val="single" w:sz="18" w:space="0" w:color="auto"/>
            </w:tcBorders>
            <w:vAlign w:val="center"/>
            <w:hideMark/>
          </w:tcPr>
          <w:p w14:paraId="76F60C6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58480365"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DB72A4F"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14:paraId="56DEF2C3"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Larvae</w:t>
            </w:r>
          </w:p>
        </w:tc>
        <w:tc>
          <w:tcPr>
            <w:tcW w:w="1275" w:type="dxa"/>
            <w:noWrap/>
            <w:vAlign w:val="center"/>
            <w:hideMark/>
          </w:tcPr>
          <w:p w14:paraId="4214096B"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15BA1AE6"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1FA6B8E8"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5A105D78"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61DAEF1A" w14:textId="77777777" w:rsidTr="006130D4">
        <w:trPr>
          <w:trHeight w:val="176"/>
        </w:trPr>
        <w:tc>
          <w:tcPr>
            <w:tcW w:w="959" w:type="dxa"/>
            <w:vMerge/>
            <w:tcBorders>
              <w:left w:val="single" w:sz="18" w:space="0" w:color="auto"/>
            </w:tcBorders>
            <w:vAlign w:val="center"/>
            <w:hideMark/>
          </w:tcPr>
          <w:p w14:paraId="37991830"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741AF80"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DF66E9A"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71FE177B"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275" w:type="dxa"/>
            <w:noWrap/>
            <w:vAlign w:val="center"/>
            <w:hideMark/>
          </w:tcPr>
          <w:p w14:paraId="3BD7CE8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300</w:t>
            </w:r>
          </w:p>
        </w:tc>
        <w:tc>
          <w:tcPr>
            <w:tcW w:w="1418" w:type="dxa"/>
            <w:noWrap/>
            <w:vAlign w:val="center"/>
            <w:hideMark/>
          </w:tcPr>
          <w:p w14:paraId="611B133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Metamorphosis</w:t>
            </w:r>
          </w:p>
        </w:tc>
        <w:tc>
          <w:tcPr>
            <w:tcW w:w="850" w:type="dxa"/>
            <w:noWrap/>
            <w:vAlign w:val="center"/>
            <w:hideMark/>
          </w:tcPr>
          <w:p w14:paraId="66BC2C3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LOEC</w:t>
            </w:r>
          </w:p>
        </w:tc>
        <w:tc>
          <w:tcPr>
            <w:tcW w:w="1356" w:type="dxa"/>
            <w:tcBorders>
              <w:right w:val="single" w:sz="18" w:space="0" w:color="auto"/>
            </w:tcBorders>
            <w:noWrap/>
            <w:vAlign w:val="center"/>
            <w:hideMark/>
          </w:tcPr>
          <w:p w14:paraId="5BF85B7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0B3D4108" w14:textId="77777777" w:rsidTr="006130D4">
        <w:trPr>
          <w:trHeight w:val="176"/>
        </w:trPr>
        <w:tc>
          <w:tcPr>
            <w:tcW w:w="959" w:type="dxa"/>
            <w:vMerge/>
            <w:tcBorders>
              <w:left w:val="single" w:sz="18" w:space="0" w:color="auto"/>
            </w:tcBorders>
            <w:vAlign w:val="center"/>
            <w:hideMark/>
          </w:tcPr>
          <w:p w14:paraId="27139BBA"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649FBE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F516B6A"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01929894"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recruits</w:t>
            </w:r>
          </w:p>
        </w:tc>
        <w:tc>
          <w:tcPr>
            <w:tcW w:w="1275" w:type="dxa"/>
            <w:noWrap/>
            <w:vAlign w:val="center"/>
            <w:hideMark/>
          </w:tcPr>
          <w:p w14:paraId="6FF41BC9"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02DAECCE"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23BB4061"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61A17CCA"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36B2B5DA" w14:textId="77777777" w:rsidTr="006130D4">
        <w:trPr>
          <w:trHeight w:val="176"/>
        </w:trPr>
        <w:tc>
          <w:tcPr>
            <w:tcW w:w="959" w:type="dxa"/>
            <w:vMerge/>
            <w:tcBorders>
              <w:left w:val="single" w:sz="18" w:space="0" w:color="auto"/>
            </w:tcBorders>
            <w:vAlign w:val="center"/>
            <w:hideMark/>
          </w:tcPr>
          <w:p w14:paraId="47F475B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855EFD0"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3DDC6B7"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4E1D579C"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14:paraId="56B6E28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w:t>
            </w:r>
          </w:p>
        </w:tc>
        <w:tc>
          <w:tcPr>
            <w:tcW w:w="1418" w:type="dxa"/>
            <w:vAlign w:val="center"/>
            <w:hideMark/>
          </w:tcPr>
          <w:p w14:paraId="411DFDC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369CE0B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3B65427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1E30D952" w14:textId="77777777" w:rsidTr="006130D4">
        <w:trPr>
          <w:trHeight w:val="176"/>
        </w:trPr>
        <w:tc>
          <w:tcPr>
            <w:tcW w:w="959" w:type="dxa"/>
            <w:vMerge/>
            <w:tcBorders>
              <w:left w:val="single" w:sz="18" w:space="0" w:color="auto"/>
            </w:tcBorders>
            <w:vAlign w:val="center"/>
            <w:hideMark/>
          </w:tcPr>
          <w:p w14:paraId="00F74D02"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2A51ECEA"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3FAA6C6"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61DCD022"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noWrap/>
            <w:vAlign w:val="center"/>
            <w:hideMark/>
          </w:tcPr>
          <w:p w14:paraId="6F29948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noWrap/>
            <w:vAlign w:val="center"/>
            <w:hideMark/>
          </w:tcPr>
          <w:p w14:paraId="293333D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noWrap/>
            <w:vAlign w:val="center"/>
            <w:hideMark/>
          </w:tcPr>
          <w:p w14:paraId="2C57A4A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3955733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59608E" w:rsidRPr="007F042D" w14:paraId="2ABE659B" w14:textId="77777777" w:rsidTr="006130D4">
        <w:trPr>
          <w:trHeight w:val="538"/>
        </w:trPr>
        <w:tc>
          <w:tcPr>
            <w:tcW w:w="959" w:type="dxa"/>
            <w:vMerge/>
            <w:tcBorders>
              <w:left w:val="single" w:sz="18" w:space="0" w:color="auto"/>
            </w:tcBorders>
            <w:vAlign w:val="center"/>
            <w:hideMark/>
          </w:tcPr>
          <w:p w14:paraId="530DF34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593BF35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BF3420B"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6E39A059"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vAlign w:val="center"/>
            <w:hideMark/>
          </w:tcPr>
          <w:p w14:paraId="33C95604"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4DF5AFA5" w14:textId="77777777" w:rsidR="0059608E" w:rsidRPr="007F042D" w:rsidRDefault="0059608E" w:rsidP="006130D4">
            <w:pPr>
              <w:jc w:val="center"/>
              <w:rPr>
                <w:rFonts w:eastAsia="Times New Roman" w:cs="Arial"/>
                <w:color w:val="000000"/>
                <w:sz w:val="16"/>
                <w:szCs w:val="16"/>
                <w:lang w:val="en-AU" w:eastAsia="en-AU"/>
              </w:rPr>
            </w:pPr>
          </w:p>
        </w:tc>
        <w:tc>
          <w:tcPr>
            <w:tcW w:w="850" w:type="dxa"/>
            <w:vAlign w:val="center"/>
            <w:hideMark/>
          </w:tcPr>
          <w:p w14:paraId="65601EC3"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14:paraId="3389062B"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1D490950" w14:textId="77777777" w:rsidTr="006130D4">
        <w:trPr>
          <w:trHeight w:val="176"/>
        </w:trPr>
        <w:tc>
          <w:tcPr>
            <w:tcW w:w="959" w:type="dxa"/>
            <w:vMerge/>
            <w:tcBorders>
              <w:left w:val="single" w:sz="18" w:space="0" w:color="auto"/>
            </w:tcBorders>
            <w:vAlign w:val="center"/>
            <w:hideMark/>
          </w:tcPr>
          <w:p w14:paraId="654CB7C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4B346B7F"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50CC52C"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45F50140"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vAlign w:val="center"/>
            <w:hideMark/>
          </w:tcPr>
          <w:p w14:paraId="633DCD0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14:paraId="54EFDBD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10D18D7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522CD73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59608E" w:rsidRPr="007F042D" w14:paraId="542CBFE1" w14:textId="77777777" w:rsidTr="006130D4">
        <w:trPr>
          <w:trHeight w:val="307"/>
        </w:trPr>
        <w:tc>
          <w:tcPr>
            <w:tcW w:w="959" w:type="dxa"/>
            <w:vMerge/>
            <w:tcBorders>
              <w:left w:val="single" w:sz="18" w:space="0" w:color="auto"/>
            </w:tcBorders>
            <w:vAlign w:val="center"/>
            <w:hideMark/>
          </w:tcPr>
          <w:p w14:paraId="15F6FB9C"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F1F5654"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03FB95F"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17B737B9"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275" w:type="dxa"/>
            <w:noWrap/>
            <w:vAlign w:val="center"/>
            <w:hideMark/>
          </w:tcPr>
          <w:p w14:paraId="6AE16F4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14:paraId="6575C92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noWrap/>
            <w:vAlign w:val="center"/>
            <w:hideMark/>
          </w:tcPr>
          <w:p w14:paraId="72B3EF4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7BF07E5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59608E" w:rsidRPr="007F042D" w14:paraId="0E52BDC4" w14:textId="77777777" w:rsidTr="006130D4">
        <w:trPr>
          <w:trHeight w:val="176"/>
        </w:trPr>
        <w:tc>
          <w:tcPr>
            <w:tcW w:w="959" w:type="dxa"/>
            <w:vMerge/>
            <w:tcBorders>
              <w:left w:val="single" w:sz="18" w:space="0" w:color="auto"/>
            </w:tcBorders>
            <w:vAlign w:val="center"/>
            <w:hideMark/>
          </w:tcPr>
          <w:p w14:paraId="53C9EB9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45FB2F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6613632"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3A690A29"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275" w:type="dxa"/>
            <w:vAlign w:val="center"/>
            <w:hideMark/>
          </w:tcPr>
          <w:p w14:paraId="6AB7933F"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14:paraId="1F98B54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406E182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5AA1DAC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59608E" w:rsidRPr="007F042D" w14:paraId="0CB97F5E" w14:textId="77777777" w:rsidTr="006130D4">
        <w:trPr>
          <w:trHeight w:val="176"/>
        </w:trPr>
        <w:tc>
          <w:tcPr>
            <w:tcW w:w="959" w:type="dxa"/>
            <w:vMerge/>
            <w:tcBorders>
              <w:left w:val="single" w:sz="18" w:space="0" w:color="auto"/>
            </w:tcBorders>
            <w:vAlign w:val="center"/>
            <w:hideMark/>
          </w:tcPr>
          <w:p w14:paraId="1746C7E5"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116F5ECE"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894CAAA"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7F2FE70C"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14:paraId="6BBFAAF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14:paraId="330EF6C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601E5F4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0838F91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Jones 2004</w:t>
            </w:r>
          </w:p>
        </w:tc>
      </w:tr>
      <w:tr w:rsidR="0059608E" w:rsidRPr="007F042D" w14:paraId="6CCF486C" w14:textId="77777777" w:rsidTr="006130D4">
        <w:trPr>
          <w:trHeight w:val="176"/>
        </w:trPr>
        <w:tc>
          <w:tcPr>
            <w:tcW w:w="959" w:type="dxa"/>
            <w:vMerge/>
            <w:tcBorders>
              <w:left w:val="single" w:sz="18" w:space="0" w:color="auto"/>
            </w:tcBorders>
            <w:vAlign w:val="center"/>
            <w:hideMark/>
          </w:tcPr>
          <w:p w14:paraId="4357E49B"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1DE9F5A3"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3813433"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7EBC5507"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millepora</w:t>
            </w:r>
          </w:p>
        </w:tc>
        <w:tc>
          <w:tcPr>
            <w:tcW w:w="1275" w:type="dxa"/>
            <w:vAlign w:val="center"/>
            <w:hideMark/>
          </w:tcPr>
          <w:p w14:paraId="1A16D8D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14:paraId="79898E2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2D1ED35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129EAFE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59608E" w:rsidRPr="007F042D" w14:paraId="7864377A" w14:textId="77777777" w:rsidTr="006130D4">
        <w:trPr>
          <w:trHeight w:val="176"/>
        </w:trPr>
        <w:tc>
          <w:tcPr>
            <w:tcW w:w="959" w:type="dxa"/>
            <w:vMerge/>
            <w:tcBorders>
              <w:left w:val="single" w:sz="18" w:space="0" w:color="auto"/>
            </w:tcBorders>
            <w:vAlign w:val="center"/>
            <w:hideMark/>
          </w:tcPr>
          <w:p w14:paraId="671A3BB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471A548"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6DEB823"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694AEFA7"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14:paraId="7AD8CAC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14:paraId="69E94BA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36091C0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16849C1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306C1F6D" w14:textId="77777777" w:rsidTr="006130D4">
        <w:trPr>
          <w:trHeight w:val="176"/>
        </w:trPr>
        <w:tc>
          <w:tcPr>
            <w:tcW w:w="959" w:type="dxa"/>
            <w:vMerge/>
            <w:tcBorders>
              <w:left w:val="single" w:sz="18" w:space="0" w:color="auto"/>
            </w:tcBorders>
            <w:vAlign w:val="center"/>
            <w:hideMark/>
          </w:tcPr>
          <w:p w14:paraId="37B1347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2436777F"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8931ACD"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1E78183F"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14:paraId="0046E05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2300</w:t>
            </w:r>
          </w:p>
        </w:tc>
        <w:tc>
          <w:tcPr>
            <w:tcW w:w="1418" w:type="dxa"/>
            <w:vAlign w:val="center"/>
            <w:hideMark/>
          </w:tcPr>
          <w:p w14:paraId="3A19069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6D1F271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14:paraId="5F2BDA8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59608E" w:rsidRPr="007F042D" w14:paraId="5B2436C7" w14:textId="77777777" w:rsidTr="006130D4">
        <w:trPr>
          <w:trHeight w:val="176"/>
        </w:trPr>
        <w:tc>
          <w:tcPr>
            <w:tcW w:w="959" w:type="dxa"/>
            <w:vMerge/>
            <w:tcBorders>
              <w:left w:val="single" w:sz="18" w:space="0" w:color="auto"/>
            </w:tcBorders>
            <w:vAlign w:val="center"/>
            <w:hideMark/>
          </w:tcPr>
          <w:p w14:paraId="3EFE6806"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40E9765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76D9802"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226D6B9B"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formosa</w:t>
            </w:r>
          </w:p>
        </w:tc>
        <w:tc>
          <w:tcPr>
            <w:tcW w:w="1275" w:type="dxa"/>
            <w:vAlign w:val="center"/>
            <w:hideMark/>
          </w:tcPr>
          <w:p w14:paraId="5AC5DBD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2700</w:t>
            </w:r>
          </w:p>
        </w:tc>
        <w:tc>
          <w:tcPr>
            <w:tcW w:w="1418" w:type="dxa"/>
            <w:vAlign w:val="center"/>
            <w:hideMark/>
          </w:tcPr>
          <w:p w14:paraId="738FD2B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6F92DFB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14:paraId="709D3C6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&amp; Kerswell, 2003</w:t>
            </w:r>
          </w:p>
        </w:tc>
      </w:tr>
      <w:tr w:rsidR="0059608E" w:rsidRPr="007F042D" w14:paraId="662818AF" w14:textId="77777777" w:rsidTr="006130D4">
        <w:trPr>
          <w:trHeight w:val="176"/>
        </w:trPr>
        <w:tc>
          <w:tcPr>
            <w:tcW w:w="959" w:type="dxa"/>
            <w:vMerge/>
            <w:tcBorders>
              <w:left w:val="single" w:sz="18" w:space="0" w:color="auto"/>
            </w:tcBorders>
            <w:vAlign w:val="center"/>
            <w:hideMark/>
          </w:tcPr>
          <w:p w14:paraId="17566303"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6821211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9FF2F45"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2DC54196"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digitata</w:t>
            </w:r>
          </w:p>
        </w:tc>
        <w:tc>
          <w:tcPr>
            <w:tcW w:w="1275" w:type="dxa"/>
            <w:vAlign w:val="center"/>
            <w:hideMark/>
          </w:tcPr>
          <w:p w14:paraId="0371D0F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14:paraId="406A536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14:paraId="4A0F18D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403902AA"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59608E" w:rsidRPr="007F042D" w14:paraId="64C68DAA" w14:textId="77777777" w:rsidTr="006130D4">
        <w:trPr>
          <w:trHeight w:val="176"/>
        </w:trPr>
        <w:tc>
          <w:tcPr>
            <w:tcW w:w="959" w:type="dxa"/>
            <w:vMerge/>
            <w:tcBorders>
              <w:left w:val="single" w:sz="18" w:space="0" w:color="auto"/>
            </w:tcBorders>
            <w:vAlign w:val="center"/>
            <w:hideMark/>
          </w:tcPr>
          <w:p w14:paraId="2B47E51D"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02D66D3"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8CE6598"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511C7A38"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damicornis</w:t>
            </w:r>
          </w:p>
        </w:tc>
        <w:tc>
          <w:tcPr>
            <w:tcW w:w="1275" w:type="dxa"/>
            <w:vAlign w:val="center"/>
            <w:hideMark/>
          </w:tcPr>
          <w:p w14:paraId="4C89A43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vAlign w:val="center"/>
            <w:hideMark/>
          </w:tcPr>
          <w:p w14:paraId="576CAA3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14:paraId="7ECAE59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48D66AA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xml:space="preserve">Negri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59608E" w:rsidRPr="007F042D" w14:paraId="71BC875B" w14:textId="77777777" w:rsidTr="006130D4">
        <w:trPr>
          <w:trHeight w:val="176"/>
        </w:trPr>
        <w:tc>
          <w:tcPr>
            <w:tcW w:w="959" w:type="dxa"/>
            <w:vMerge/>
            <w:tcBorders>
              <w:left w:val="single" w:sz="18" w:space="0" w:color="auto"/>
            </w:tcBorders>
            <w:vAlign w:val="center"/>
            <w:hideMark/>
          </w:tcPr>
          <w:p w14:paraId="30359C68"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13BE1FF8"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FDD2CEE"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63119D5F"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S. hystrix</w:t>
            </w:r>
          </w:p>
        </w:tc>
        <w:tc>
          <w:tcPr>
            <w:tcW w:w="1275" w:type="dxa"/>
            <w:vAlign w:val="center"/>
            <w:hideMark/>
          </w:tcPr>
          <w:p w14:paraId="35CF298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14:paraId="67797FC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14:paraId="3B27DDA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036FC3F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2004</w:t>
            </w:r>
          </w:p>
        </w:tc>
      </w:tr>
      <w:tr w:rsidR="0059608E" w:rsidRPr="007F042D" w14:paraId="0B54A2AA" w14:textId="77777777" w:rsidTr="006130D4">
        <w:trPr>
          <w:trHeight w:val="176"/>
        </w:trPr>
        <w:tc>
          <w:tcPr>
            <w:tcW w:w="959" w:type="dxa"/>
            <w:vMerge/>
            <w:tcBorders>
              <w:left w:val="single" w:sz="18" w:space="0" w:color="auto"/>
            </w:tcBorders>
            <w:vAlign w:val="center"/>
            <w:hideMark/>
          </w:tcPr>
          <w:p w14:paraId="68A19E99"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1B4E4D31"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5F42313"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21F25450"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cylindrica</w:t>
            </w:r>
          </w:p>
        </w:tc>
        <w:tc>
          <w:tcPr>
            <w:tcW w:w="1275" w:type="dxa"/>
            <w:vAlign w:val="center"/>
            <w:hideMark/>
          </w:tcPr>
          <w:p w14:paraId="689954A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14:paraId="5D528C5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GPP* rate, GPP to respiration ration, effective quantum yield</w:t>
            </w:r>
          </w:p>
        </w:tc>
        <w:tc>
          <w:tcPr>
            <w:tcW w:w="850" w:type="dxa"/>
            <w:vAlign w:val="center"/>
            <w:hideMark/>
          </w:tcPr>
          <w:p w14:paraId="42DE225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5ED7794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Råberg</w:t>
            </w:r>
            <w:r w:rsidRPr="007F042D">
              <w:rPr>
                <w:rFonts w:eastAsia="Times New Roman" w:cs="Arial"/>
                <w:i/>
                <w:iCs/>
                <w:color w:val="000000"/>
                <w:sz w:val="16"/>
                <w:szCs w:val="16"/>
                <w:lang w:val="en-AU" w:eastAsia="en-AU"/>
              </w:rPr>
              <w:t xml:space="preserve"> et al </w:t>
            </w:r>
            <w:r w:rsidRPr="007F042D">
              <w:rPr>
                <w:rFonts w:eastAsia="Times New Roman" w:cs="Arial"/>
                <w:color w:val="000000"/>
                <w:sz w:val="16"/>
                <w:szCs w:val="16"/>
                <w:lang w:val="en-AU" w:eastAsia="en-AU"/>
              </w:rPr>
              <w:t>2003</w:t>
            </w:r>
          </w:p>
        </w:tc>
      </w:tr>
      <w:tr w:rsidR="0059608E" w:rsidRPr="007F042D" w14:paraId="1C3B7A85" w14:textId="77777777" w:rsidTr="006130D4">
        <w:trPr>
          <w:trHeight w:val="176"/>
        </w:trPr>
        <w:tc>
          <w:tcPr>
            <w:tcW w:w="959" w:type="dxa"/>
            <w:vMerge/>
            <w:tcBorders>
              <w:left w:val="single" w:sz="18" w:space="0" w:color="auto"/>
            </w:tcBorders>
            <w:vAlign w:val="center"/>
            <w:hideMark/>
          </w:tcPr>
          <w:p w14:paraId="48F10FA0"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62F14BFB"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5DFCDABC"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4860567B"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Macro Algae</w:t>
            </w:r>
          </w:p>
        </w:tc>
        <w:tc>
          <w:tcPr>
            <w:tcW w:w="1275" w:type="dxa"/>
            <w:vAlign w:val="center"/>
            <w:hideMark/>
          </w:tcPr>
          <w:p w14:paraId="32E29403"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3954FD13" w14:textId="77777777" w:rsidR="0059608E" w:rsidRPr="007F042D" w:rsidRDefault="0059608E" w:rsidP="006130D4">
            <w:pPr>
              <w:jc w:val="center"/>
              <w:rPr>
                <w:rFonts w:eastAsia="Times New Roman" w:cs="Arial"/>
                <w:color w:val="000000"/>
                <w:sz w:val="16"/>
                <w:szCs w:val="16"/>
                <w:lang w:val="en-AU" w:eastAsia="en-AU"/>
              </w:rPr>
            </w:pPr>
          </w:p>
        </w:tc>
        <w:tc>
          <w:tcPr>
            <w:tcW w:w="850" w:type="dxa"/>
            <w:vAlign w:val="center"/>
            <w:hideMark/>
          </w:tcPr>
          <w:p w14:paraId="0C7D8E68"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14:paraId="47CCF0B7"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39263C94" w14:textId="77777777" w:rsidTr="006130D4">
        <w:trPr>
          <w:trHeight w:val="518"/>
        </w:trPr>
        <w:tc>
          <w:tcPr>
            <w:tcW w:w="959" w:type="dxa"/>
            <w:vMerge/>
            <w:tcBorders>
              <w:left w:val="single" w:sz="18" w:space="0" w:color="auto"/>
            </w:tcBorders>
            <w:vAlign w:val="center"/>
            <w:hideMark/>
          </w:tcPr>
          <w:p w14:paraId="30D7F238"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67742722"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E0E268E"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2FEA024F"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H. banksii</w:t>
            </w:r>
          </w:p>
        </w:tc>
        <w:tc>
          <w:tcPr>
            <w:tcW w:w="1275" w:type="dxa"/>
            <w:vAlign w:val="center"/>
            <w:hideMark/>
          </w:tcPr>
          <w:p w14:paraId="3F6759C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1650</w:t>
            </w:r>
          </w:p>
        </w:tc>
        <w:tc>
          <w:tcPr>
            <w:tcW w:w="1418" w:type="dxa"/>
            <w:vAlign w:val="center"/>
            <w:hideMark/>
          </w:tcPr>
          <w:p w14:paraId="7AEB1EC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29086DB8"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14:paraId="4365F2F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Seery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59608E" w:rsidRPr="007F042D" w14:paraId="09A6B0F4" w14:textId="77777777" w:rsidTr="006130D4">
        <w:trPr>
          <w:trHeight w:val="176"/>
        </w:trPr>
        <w:tc>
          <w:tcPr>
            <w:tcW w:w="959" w:type="dxa"/>
            <w:vMerge/>
            <w:tcBorders>
              <w:left w:val="single" w:sz="18" w:space="0" w:color="auto"/>
            </w:tcBorders>
            <w:vAlign w:val="center"/>
            <w:hideMark/>
          </w:tcPr>
          <w:p w14:paraId="0AEECD9D"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652BD55"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2F360952"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47106568"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Red Algae</w:t>
            </w:r>
          </w:p>
        </w:tc>
        <w:tc>
          <w:tcPr>
            <w:tcW w:w="1275" w:type="dxa"/>
            <w:noWrap/>
            <w:vAlign w:val="center"/>
            <w:hideMark/>
          </w:tcPr>
          <w:p w14:paraId="5B0F1FB8"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6E40C6FC"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461E9607"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1E6E545A"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047715B9" w14:textId="77777777" w:rsidTr="006130D4">
        <w:trPr>
          <w:trHeight w:val="176"/>
        </w:trPr>
        <w:tc>
          <w:tcPr>
            <w:tcW w:w="959" w:type="dxa"/>
            <w:vMerge/>
            <w:tcBorders>
              <w:left w:val="single" w:sz="18" w:space="0" w:color="auto"/>
            </w:tcBorders>
            <w:vAlign w:val="center"/>
            <w:hideMark/>
          </w:tcPr>
          <w:p w14:paraId="5ADF3337"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3FBCB61F"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45A3A7BE"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3266EDC1"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onkodes</w:t>
            </w:r>
          </w:p>
        </w:tc>
        <w:tc>
          <w:tcPr>
            <w:tcW w:w="1275" w:type="dxa"/>
            <w:vAlign w:val="center"/>
            <w:hideMark/>
          </w:tcPr>
          <w:p w14:paraId="31BBD4C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14:paraId="0DDE19E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1C947D53"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07989AC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Harrington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59608E" w:rsidRPr="007F042D" w14:paraId="4F328208" w14:textId="77777777" w:rsidTr="006130D4">
        <w:trPr>
          <w:trHeight w:val="176"/>
        </w:trPr>
        <w:tc>
          <w:tcPr>
            <w:tcW w:w="959" w:type="dxa"/>
            <w:vMerge/>
            <w:tcBorders>
              <w:left w:val="single" w:sz="18" w:space="0" w:color="auto"/>
            </w:tcBorders>
            <w:vAlign w:val="center"/>
            <w:hideMark/>
          </w:tcPr>
          <w:p w14:paraId="6789019E"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E0FF912"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15D2E5E2"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56C9C75F" w14:textId="77777777" w:rsidR="0059608E" w:rsidRPr="007F042D" w:rsidRDefault="0059608E" w:rsidP="006130D4">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14:paraId="15F2712A"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10EC1015" w14:textId="77777777" w:rsidR="0059608E" w:rsidRPr="007F042D" w:rsidRDefault="0059608E" w:rsidP="006130D4">
            <w:pPr>
              <w:jc w:val="center"/>
              <w:rPr>
                <w:rFonts w:eastAsia="Times New Roman" w:cs="Arial"/>
                <w:color w:val="000000"/>
                <w:sz w:val="16"/>
                <w:szCs w:val="16"/>
                <w:lang w:val="en-AU" w:eastAsia="en-AU"/>
              </w:rPr>
            </w:pPr>
          </w:p>
        </w:tc>
        <w:tc>
          <w:tcPr>
            <w:tcW w:w="850" w:type="dxa"/>
            <w:noWrap/>
            <w:vAlign w:val="center"/>
            <w:hideMark/>
          </w:tcPr>
          <w:p w14:paraId="4B31B578"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14:paraId="4D0B8D24"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17DB3B36" w14:textId="77777777" w:rsidTr="006130D4">
        <w:trPr>
          <w:trHeight w:val="176"/>
        </w:trPr>
        <w:tc>
          <w:tcPr>
            <w:tcW w:w="959" w:type="dxa"/>
            <w:vMerge/>
            <w:tcBorders>
              <w:left w:val="single" w:sz="18" w:space="0" w:color="auto"/>
            </w:tcBorders>
            <w:vAlign w:val="center"/>
            <w:hideMark/>
          </w:tcPr>
          <w:p w14:paraId="5FB35295"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D740A9F"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67C87690"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10795572"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Navicula sp</w:t>
            </w:r>
          </w:p>
        </w:tc>
        <w:tc>
          <w:tcPr>
            <w:tcW w:w="1275" w:type="dxa"/>
            <w:vAlign w:val="center"/>
            <w:hideMark/>
          </w:tcPr>
          <w:p w14:paraId="19CFB5C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14:paraId="507E6CF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14:paraId="1D26098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IC50</w:t>
            </w:r>
          </w:p>
          <w:p w14:paraId="57477D4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Acute, 6 m</w:t>
            </w:r>
          </w:p>
        </w:tc>
        <w:tc>
          <w:tcPr>
            <w:tcW w:w="1356" w:type="dxa"/>
            <w:tcBorders>
              <w:right w:val="single" w:sz="18" w:space="0" w:color="auto"/>
            </w:tcBorders>
            <w:vAlign w:val="center"/>
            <w:hideMark/>
          </w:tcPr>
          <w:p w14:paraId="6C9E818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Magnusson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59608E" w:rsidRPr="007F042D" w14:paraId="1FC05EFA" w14:textId="77777777" w:rsidTr="006130D4">
        <w:trPr>
          <w:trHeight w:val="176"/>
        </w:trPr>
        <w:tc>
          <w:tcPr>
            <w:tcW w:w="959" w:type="dxa"/>
            <w:vMerge/>
            <w:tcBorders>
              <w:left w:val="single" w:sz="18" w:space="0" w:color="auto"/>
            </w:tcBorders>
            <w:vAlign w:val="center"/>
            <w:hideMark/>
          </w:tcPr>
          <w:p w14:paraId="507B3825"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2225BFC1"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1D3A2090"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59FFF8CC"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P. tricornutum</w:t>
            </w:r>
          </w:p>
          <w:p w14:paraId="4BF884B3" w14:textId="77777777" w:rsidR="0059608E" w:rsidRPr="007F042D" w:rsidRDefault="0059608E" w:rsidP="006130D4">
            <w:pPr>
              <w:jc w:val="center"/>
              <w:rPr>
                <w:rFonts w:eastAsia="Times New Roman" w:cs="Arial"/>
                <w:i/>
                <w:iCs/>
                <w:color w:val="000000"/>
                <w:sz w:val="16"/>
                <w:szCs w:val="16"/>
                <w:lang w:val="en-AU" w:eastAsia="en-AU"/>
              </w:rPr>
            </w:pPr>
          </w:p>
        </w:tc>
        <w:tc>
          <w:tcPr>
            <w:tcW w:w="1275" w:type="dxa"/>
            <w:noWrap/>
            <w:vAlign w:val="center"/>
            <w:hideMark/>
          </w:tcPr>
          <w:p w14:paraId="180791A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3300</w:t>
            </w:r>
          </w:p>
        </w:tc>
        <w:tc>
          <w:tcPr>
            <w:tcW w:w="1418" w:type="dxa"/>
            <w:noWrap/>
            <w:vAlign w:val="center"/>
            <w:hideMark/>
          </w:tcPr>
          <w:p w14:paraId="756BB09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p w14:paraId="3F61C960" w14:textId="77777777" w:rsidR="0059608E" w:rsidRPr="007F042D" w:rsidRDefault="0059608E" w:rsidP="006130D4">
            <w:pPr>
              <w:jc w:val="center"/>
              <w:rPr>
                <w:rFonts w:eastAsia="Times New Roman" w:cs="Arial"/>
                <w:color w:val="000000"/>
                <w:sz w:val="16"/>
                <w:szCs w:val="16"/>
                <w:lang w:val="en-AU" w:eastAsia="en-AU"/>
              </w:rPr>
            </w:pPr>
          </w:p>
        </w:tc>
        <w:tc>
          <w:tcPr>
            <w:tcW w:w="850" w:type="dxa"/>
            <w:tcBorders>
              <w:bottom w:val="single" w:sz="4" w:space="0" w:color="000000" w:themeColor="text1"/>
            </w:tcBorders>
            <w:noWrap/>
            <w:vAlign w:val="center"/>
            <w:hideMark/>
          </w:tcPr>
          <w:p w14:paraId="257736E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I50</w:t>
            </w:r>
          </w:p>
        </w:tc>
        <w:tc>
          <w:tcPr>
            <w:tcW w:w="1356" w:type="dxa"/>
            <w:tcBorders>
              <w:right w:val="single" w:sz="18" w:space="0" w:color="auto"/>
            </w:tcBorders>
            <w:noWrap/>
            <w:vAlign w:val="center"/>
            <w:hideMark/>
          </w:tcPr>
          <w:p w14:paraId="6982EDC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Schreiber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2002</w:t>
            </w:r>
          </w:p>
          <w:p w14:paraId="5EE8B04D"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623877BA" w14:textId="77777777" w:rsidTr="006130D4">
        <w:trPr>
          <w:trHeight w:val="365"/>
        </w:trPr>
        <w:tc>
          <w:tcPr>
            <w:tcW w:w="959" w:type="dxa"/>
            <w:vMerge/>
            <w:tcBorders>
              <w:left w:val="single" w:sz="18" w:space="0" w:color="auto"/>
            </w:tcBorders>
            <w:vAlign w:val="center"/>
            <w:hideMark/>
          </w:tcPr>
          <w:p w14:paraId="320870F7"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08E28CE6"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6440CDF" w14:textId="77777777" w:rsidR="0059608E" w:rsidRPr="007F042D" w:rsidRDefault="0059608E" w:rsidP="006130D4">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14:paraId="2BAEC57E"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b/>
                <w:bCs/>
                <w:color w:val="000000"/>
                <w:sz w:val="16"/>
                <w:szCs w:val="16"/>
                <w:lang w:val="en-AU" w:eastAsia="en-AU"/>
              </w:rPr>
              <w:t>M</w:t>
            </w:r>
            <w:r w:rsidRPr="007F042D">
              <w:rPr>
                <w:rFonts w:eastAsia="Times New Roman" w:cs="Arial"/>
                <w:b/>
                <w:bCs/>
                <w:color w:val="000000"/>
                <w:sz w:val="16"/>
                <w:szCs w:val="16"/>
                <w:shd w:val="clear" w:color="auto" w:fill="B6DDE8" w:themeFill="accent5" w:themeFillTint="66"/>
                <w:lang w:val="en-AU" w:eastAsia="en-AU"/>
              </w:rPr>
              <w:t>angroves</w:t>
            </w:r>
          </w:p>
        </w:tc>
        <w:tc>
          <w:tcPr>
            <w:tcW w:w="1275" w:type="dxa"/>
            <w:vAlign w:val="center"/>
            <w:hideMark/>
          </w:tcPr>
          <w:p w14:paraId="6ADB3DA0"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77D80E92" w14:textId="77777777" w:rsidR="0059608E" w:rsidRPr="007F042D" w:rsidRDefault="0059608E" w:rsidP="006130D4">
            <w:pPr>
              <w:jc w:val="center"/>
              <w:rPr>
                <w:rFonts w:eastAsia="Times New Roman" w:cs="Arial"/>
                <w:color w:val="000000"/>
                <w:sz w:val="16"/>
                <w:szCs w:val="16"/>
                <w:lang w:val="en-AU" w:eastAsia="en-AU"/>
              </w:rPr>
            </w:pPr>
          </w:p>
        </w:tc>
        <w:tc>
          <w:tcPr>
            <w:tcW w:w="850" w:type="dxa"/>
            <w:vAlign w:val="center"/>
            <w:hideMark/>
          </w:tcPr>
          <w:p w14:paraId="36B3E329" w14:textId="77777777" w:rsidR="0059608E" w:rsidRPr="007F042D" w:rsidRDefault="0059608E" w:rsidP="006130D4">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14:paraId="2E1E79EE" w14:textId="77777777" w:rsidR="0059608E" w:rsidRPr="007F042D" w:rsidRDefault="0059608E" w:rsidP="006130D4">
            <w:pPr>
              <w:jc w:val="center"/>
              <w:rPr>
                <w:rFonts w:eastAsia="Times New Roman" w:cs="Arial"/>
                <w:color w:val="000000"/>
                <w:sz w:val="16"/>
                <w:szCs w:val="16"/>
                <w:lang w:val="en-AU" w:eastAsia="en-AU"/>
              </w:rPr>
            </w:pPr>
          </w:p>
        </w:tc>
      </w:tr>
      <w:tr w:rsidR="0059608E" w:rsidRPr="007F042D" w14:paraId="0FC1612A" w14:textId="77777777" w:rsidTr="006130D4">
        <w:trPr>
          <w:trHeight w:val="176"/>
        </w:trPr>
        <w:tc>
          <w:tcPr>
            <w:tcW w:w="959" w:type="dxa"/>
            <w:vMerge/>
            <w:tcBorders>
              <w:left w:val="single" w:sz="18" w:space="0" w:color="auto"/>
            </w:tcBorders>
            <w:vAlign w:val="center"/>
            <w:hideMark/>
          </w:tcPr>
          <w:p w14:paraId="2B55F35D"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1B65F3A1"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1402DD9"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062BA6D1"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14:paraId="53AB5041"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1100</w:t>
            </w:r>
          </w:p>
        </w:tc>
        <w:tc>
          <w:tcPr>
            <w:tcW w:w="1418" w:type="dxa"/>
            <w:vAlign w:val="center"/>
            <w:hideMark/>
          </w:tcPr>
          <w:p w14:paraId="6E32AD85"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Health</w:t>
            </w:r>
          </w:p>
        </w:tc>
        <w:tc>
          <w:tcPr>
            <w:tcW w:w="850" w:type="dxa"/>
            <w:vAlign w:val="center"/>
            <w:hideMark/>
          </w:tcPr>
          <w:p w14:paraId="2937B457"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NOEC</w:t>
            </w:r>
          </w:p>
        </w:tc>
        <w:tc>
          <w:tcPr>
            <w:tcW w:w="1356" w:type="dxa"/>
            <w:tcBorders>
              <w:right w:val="single" w:sz="18" w:space="0" w:color="auto"/>
            </w:tcBorders>
            <w:vAlign w:val="center"/>
            <w:hideMark/>
          </w:tcPr>
          <w:p w14:paraId="590E2C2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2003, 2005</w:t>
            </w:r>
          </w:p>
        </w:tc>
      </w:tr>
      <w:tr w:rsidR="0059608E" w:rsidRPr="007F042D" w14:paraId="07CBC2E2" w14:textId="77777777" w:rsidTr="006130D4">
        <w:trPr>
          <w:trHeight w:val="176"/>
        </w:trPr>
        <w:tc>
          <w:tcPr>
            <w:tcW w:w="959" w:type="dxa"/>
            <w:vMerge/>
            <w:tcBorders>
              <w:left w:val="single" w:sz="18" w:space="0" w:color="auto"/>
            </w:tcBorders>
            <w:vAlign w:val="center"/>
            <w:hideMark/>
          </w:tcPr>
          <w:p w14:paraId="08B93F2F"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45B9A705"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E494673" w14:textId="77777777" w:rsidR="0059608E" w:rsidRPr="007F042D" w:rsidRDefault="0059608E" w:rsidP="006130D4">
            <w:pPr>
              <w:jc w:val="center"/>
              <w:rPr>
                <w:rFonts w:eastAsia="Times New Roman" w:cs="Arial"/>
                <w:color w:val="000000"/>
                <w:sz w:val="16"/>
                <w:szCs w:val="16"/>
                <w:lang w:val="en-AU" w:eastAsia="en-AU"/>
              </w:rPr>
            </w:pPr>
          </w:p>
        </w:tc>
        <w:tc>
          <w:tcPr>
            <w:tcW w:w="1418" w:type="dxa"/>
            <w:noWrap/>
            <w:vAlign w:val="center"/>
            <w:hideMark/>
          </w:tcPr>
          <w:p w14:paraId="5C20AF99"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noWrap/>
            <w:vAlign w:val="center"/>
            <w:hideMark/>
          </w:tcPr>
          <w:p w14:paraId="6CFD6A4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noWrap/>
            <w:vAlign w:val="center"/>
            <w:hideMark/>
          </w:tcPr>
          <w:p w14:paraId="50E4177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noWrap/>
            <w:vAlign w:val="center"/>
            <w:hideMark/>
          </w:tcPr>
          <w:p w14:paraId="5965F8A4"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14:paraId="38008A70"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59608E" w:rsidRPr="007F042D" w14:paraId="4A76E022" w14:textId="77777777" w:rsidTr="006130D4">
        <w:trPr>
          <w:trHeight w:val="176"/>
        </w:trPr>
        <w:tc>
          <w:tcPr>
            <w:tcW w:w="959" w:type="dxa"/>
            <w:vMerge/>
            <w:tcBorders>
              <w:left w:val="single" w:sz="18" w:space="0" w:color="auto"/>
            </w:tcBorders>
            <w:vAlign w:val="center"/>
            <w:hideMark/>
          </w:tcPr>
          <w:p w14:paraId="2F000390"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2E956C47"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3567A5C7"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644F8FCB"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14:paraId="5B4C4A0B"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vAlign w:val="center"/>
            <w:hideMark/>
          </w:tcPr>
          <w:p w14:paraId="18C16609"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Dieback/ absence</w:t>
            </w:r>
          </w:p>
        </w:tc>
        <w:tc>
          <w:tcPr>
            <w:tcW w:w="850" w:type="dxa"/>
            <w:vAlign w:val="center"/>
            <w:hideMark/>
          </w:tcPr>
          <w:p w14:paraId="4E74192C"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Mortality</w:t>
            </w:r>
          </w:p>
        </w:tc>
        <w:tc>
          <w:tcPr>
            <w:tcW w:w="1356" w:type="dxa"/>
            <w:tcBorders>
              <w:right w:val="single" w:sz="18" w:space="0" w:color="auto"/>
            </w:tcBorders>
            <w:vAlign w:val="center"/>
            <w:hideMark/>
          </w:tcPr>
          <w:p w14:paraId="56F685C6"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Duke et al 2003, Bell &amp; Duke 2005</w:t>
            </w:r>
          </w:p>
        </w:tc>
      </w:tr>
      <w:tr w:rsidR="0059608E" w:rsidRPr="007F042D" w14:paraId="163B1C92" w14:textId="77777777" w:rsidTr="006130D4">
        <w:trPr>
          <w:trHeight w:val="298"/>
        </w:trPr>
        <w:tc>
          <w:tcPr>
            <w:tcW w:w="959" w:type="dxa"/>
            <w:vMerge/>
            <w:tcBorders>
              <w:left w:val="single" w:sz="18" w:space="0" w:color="auto"/>
            </w:tcBorders>
            <w:vAlign w:val="center"/>
            <w:hideMark/>
          </w:tcPr>
          <w:p w14:paraId="4D816512" w14:textId="77777777" w:rsidR="0059608E" w:rsidRPr="007F042D" w:rsidRDefault="0059608E" w:rsidP="006130D4">
            <w:pPr>
              <w:jc w:val="center"/>
              <w:rPr>
                <w:rFonts w:eastAsia="Times New Roman" w:cs="Arial"/>
                <w:color w:val="000000"/>
                <w:sz w:val="16"/>
                <w:szCs w:val="16"/>
                <w:lang w:val="en-AU" w:eastAsia="en-AU"/>
              </w:rPr>
            </w:pPr>
          </w:p>
        </w:tc>
        <w:tc>
          <w:tcPr>
            <w:tcW w:w="992" w:type="dxa"/>
            <w:vMerge/>
            <w:vAlign w:val="center"/>
            <w:hideMark/>
          </w:tcPr>
          <w:p w14:paraId="780F52E1" w14:textId="77777777" w:rsidR="0059608E" w:rsidRPr="007F042D" w:rsidRDefault="0059608E" w:rsidP="006130D4">
            <w:pPr>
              <w:jc w:val="center"/>
              <w:rPr>
                <w:rFonts w:eastAsia="Times New Roman" w:cs="Arial"/>
                <w:color w:val="000000"/>
                <w:sz w:val="16"/>
                <w:szCs w:val="16"/>
                <w:lang w:val="en-AU" w:eastAsia="en-AU"/>
              </w:rPr>
            </w:pPr>
          </w:p>
        </w:tc>
        <w:tc>
          <w:tcPr>
            <w:tcW w:w="1701" w:type="dxa"/>
            <w:vMerge/>
            <w:vAlign w:val="center"/>
            <w:hideMark/>
          </w:tcPr>
          <w:p w14:paraId="7EEB7ECA" w14:textId="77777777" w:rsidR="0059608E" w:rsidRPr="007F042D" w:rsidRDefault="0059608E" w:rsidP="006130D4">
            <w:pPr>
              <w:jc w:val="center"/>
              <w:rPr>
                <w:rFonts w:eastAsia="Times New Roman" w:cs="Arial"/>
                <w:color w:val="000000"/>
                <w:sz w:val="16"/>
                <w:szCs w:val="16"/>
                <w:lang w:val="en-AU" w:eastAsia="en-AU"/>
              </w:rPr>
            </w:pPr>
          </w:p>
        </w:tc>
        <w:tc>
          <w:tcPr>
            <w:tcW w:w="1418" w:type="dxa"/>
            <w:vAlign w:val="center"/>
            <w:hideMark/>
          </w:tcPr>
          <w:p w14:paraId="2B6C11BB" w14:textId="77777777" w:rsidR="0059608E" w:rsidRPr="007F042D" w:rsidRDefault="0059608E" w:rsidP="006130D4">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14:paraId="6BF100A2"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vAlign w:val="center"/>
            <w:hideMark/>
          </w:tcPr>
          <w:p w14:paraId="17B22E8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vAlign w:val="center"/>
            <w:hideMark/>
          </w:tcPr>
          <w:p w14:paraId="29B0C00D"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14:paraId="7CC46A9E" w14:textId="77777777" w:rsidR="0059608E" w:rsidRPr="007F042D" w:rsidRDefault="0059608E" w:rsidP="006130D4">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Bell &amp; Duke 2005</w:t>
            </w:r>
          </w:p>
        </w:tc>
      </w:tr>
      <w:tr w:rsidR="0059608E" w:rsidRPr="007F042D" w14:paraId="187D6E6F" w14:textId="77777777" w:rsidTr="006130D4">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969" w:type="dxa"/>
            <w:gridSpan w:val="8"/>
            <w:tcBorders>
              <w:top w:val="single" w:sz="18" w:space="0" w:color="auto"/>
            </w:tcBorders>
          </w:tcPr>
          <w:p w14:paraId="74C3D98A" w14:textId="77777777" w:rsidR="0059608E" w:rsidRPr="007F042D" w:rsidRDefault="0059608E" w:rsidP="006130D4">
            <w:pPr>
              <w:rPr>
                <w:sz w:val="16"/>
                <w:szCs w:val="16"/>
                <w:lang w:val="en-AU"/>
              </w:rPr>
            </w:pPr>
          </w:p>
        </w:tc>
      </w:tr>
    </w:tbl>
    <w:p w14:paraId="1F025000" w14:textId="77777777" w:rsidR="0059608E" w:rsidRPr="00C11BBA" w:rsidRDefault="0059608E" w:rsidP="006130D4">
      <w:pPr>
        <w:rPr>
          <w:sz w:val="18"/>
          <w:szCs w:val="18"/>
          <w:lang w:val="en-AU"/>
        </w:rPr>
      </w:pPr>
      <w:r w:rsidRPr="00C11BBA">
        <w:rPr>
          <w:sz w:val="18"/>
          <w:szCs w:val="18"/>
          <w:lang w:val="en-AU"/>
        </w:rPr>
        <w:t xml:space="preserve">ANZECC (Australian and New Zealand Environment and Conservation Council) and ARMCANZ (Agriculture and Resource Management Council of Australia and New Zealand) (2000). </w:t>
      </w:r>
      <w:r w:rsidRPr="00C11BBA">
        <w:rPr>
          <w:i/>
          <w:sz w:val="18"/>
          <w:szCs w:val="18"/>
          <w:lang w:val="en-AU"/>
        </w:rPr>
        <w:t xml:space="preserve">Australian and New Zealand guidelines for fresh and marine water quality. </w:t>
      </w:r>
      <w:r w:rsidRPr="00C11BBA">
        <w:rPr>
          <w:sz w:val="18"/>
          <w:szCs w:val="18"/>
          <w:lang w:val="en-AU"/>
        </w:rPr>
        <w:t>National Water Quality Management Strategy. Australian and New Zealand Environment and Conservation Council and Agriculture and Resource Management Council of Australia and New Zealand, Canberra.</w:t>
      </w:r>
    </w:p>
    <w:p w14:paraId="36C3C1E7" w14:textId="77777777" w:rsidR="0059608E" w:rsidRPr="00C11BBA" w:rsidRDefault="0059608E" w:rsidP="006130D4">
      <w:pPr>
        <w:rPr>
          <w:sz w:val="18"/>
          <w:szCs w:val="18"/>
          <w:lang w:val="en-AU"/>
        </w:rPr>
      </w:pPr>
      <w:r w:rsidRPr="00C11BBA">
        <w:rPr>
          <w:sz w:val="18"/>
          <w:szCs w:val="18"/>
          <w:lang w:val="en-AU"/>
        </w:rPr>
        <w:lastRenderedPageBreak/>
        <w:t>APVMA (Australian Pesticides and Veterinary Medicines Authority (2005). The Reconsideration of Approvals of the Active Constituent Diuron, Registration of Products containing Diuron and their Associated Labels. Preliminary Review Findings. Volume I and II.</w:t>
      </w:r>
    </w:p>
    <w:p w14:paraId="0EF293B6" w14:textId="77777777" w:rsidR="0059608E" w:rsidRPr="00C11BBA" w:rsidRDefault="0059608E" w:rsidP="006130D4">
      <w:pPr>
        <w:rPr>
          <w:sz w:val="18"/>
          <w:szCs w:val="18"/>
          <w:lang w:val="en-AU"/>
        </w:rPr>
      </w:pPr>
      <w:r w:rsidRPr="00C11BBA">
        <w:rPr>
          <w:sz w:val="18"/>
          <w:szCs w:val="18"/>
          <w:lang w:val="en-AU"/>
        </w:rPr>
        <w:t xml:space="preserve">Bell A and Duke N (2005). Effects of Photosystem II inhibiting herbicides on mangroves – preliminary toxicology trials. </w:t>
      </w:r>
      <w:r w:rsidRPr="00C11BBA">
        <w:rPr>
          <w:i/>
          <w:sz w:val="18"/>
          <w:szCs w:val="18"/>
          <w:lang w:val="en-AU"/>
        </w:rPr>
        <w:t xml:space="preserve">Marine Pollution Bulletin </w:t>
      </w:r>
      <w:r w:rsidRPr="00C11BBA">
        <w:rPr>
          <w:sz w:val="18"/>
          <w:szCs w:val="18"/>
          <w:lang w:val="en-AU"/>
        </w:rPr>
        <w:t>51(1-4):297-307.</w:t>
      </w:r>
    </w:p>
    <w:p w14:paraId="0B1969F6" w14:textId="77777777" w:rsidR="0059608E" w:rsidRPr="00C11BBA" w:rsidRDefault="0059608E" w:rsidP="006130D4">
      <w:pPr>
        <w:rPr>
          <w:sz w:val="18"/>
          <w:szCs w:val="18"/>
          <w:lang w:val="en-AU"/>
        </w:rPr>
      </w:pPr>
      <w:r w:rsidRPr="00C11BBA">
        <w:rPr>
          <w:sz w:val="18"/>
          <w:szCs w:val="18"/>
          <w:lang w:val="en-AU"/>
        </w:rPr>
        <w:t>Bengston-Nash S, Quayle PA, Schreiber U and Muller JF (2005).The selection of a model microalgal spe</w:t>
      </w:r>
      <w:r>
        <w:rPr>
          <w:sz w:val="18"/>
          <w:szCs w:val="18"/>
          <w:lang w:val="en-AU"/>
        </w:rPr>
        <w:t>c</w:t>
      </w:r>
      <w:r w:rsidRPr="00C11BBA">
        <w:rPr>
          <w:sz w:val="18"/>
          <w:szCs w:val="18"/>
          <w:lang w:val="en-AU"/>
        </w:rPr>
        <w:t xml:space="preserve">ies as biomaterial for a novel aquatic phytotoxicity assay. </w:t>
      </w:r>
      <w:r w:rsidRPr="00C11BBA">
        <w:rPr>
          <w:i/>
          <w:sz w:val="18"/>
          <w:szCs w:val="18"/>
          <w:lang w:val="en-AU"/>
        </w:rPr>
        <w:t>Aquatic Toxicology72:315-326</w:t>
      </w:r>
      <w:r w:rsidRPr="00C11BBA">
        <w:rPr>
          <w:sz w:val="18"/>
          <w:szCs w:val="18"/>
          <w:lang w:val="en-AU"/>
        </w:rPr>
        <w:t>.</w:t>
      </w:r>
    </w:p>
    <w:p w14:paraId="6902C8B9" w14:textId="77777777" w:rsidR="0059608E" w:rsidRPr="00C11BBA" w:rsidRDefault="0059608E" w:rsidP="006130D4">
      <w:pPr>
        <w:rPr>
          <w:sz w:val="18"/>
          <w:szCs w:val="18"/>
          <w:lang w:val="en-AU"/>
        </w:rPr>
      </w:pPr>
      <w:r w:rsidRPr="00C11BBA">
        <w:rPr>
          <w:sz w:val="18"/>
          <w:szCs w:val="18"/>
          <w:lang w:val="en-AU"/>
        </w:rPr>
        <w:t>Chesworth JC, Donkin ME and Brown DT (2004). The interactive effects o</w:t>
      </w:r>
      <w:r>
        <w:rPr>
          <w:sz w:val="18"/>
          <w:szCs w:val="18"/>
          <w:lang w:val="en-AU"/>
        </w:rPr>
        <w:t>f the antifouling herbicides Irgar</w:t>
      </w:r>
      <w:r w:rsidRPr="00C11BBA">
        <w:rPr>
          <w:sz w:val="18"/>
          <w:szCs w:val="18"/>
          <w:lang w:val="en-AU"/>
        </w:rPr>
        <w:t xml:space="preserve">ol 1051 and Diuron in the seagrass </w:t>
      </w:r>
      <w:r w:rsidRPr="00C11BBA">
        <w:rPr>
          <w:i/>
          <w:sz w:val="18"/>
          <w:szCs w:val="18"/>
          <w:lang w:val="en-AU"/>
        </w:rPr>
        <w:t>Zostera marina</w:t>
      </w:r>
      <w:r w:rsidRPr="00C11BBA">
        <w:rPr>
          <w:sz w:val="18"/>
          <w:szCs w:val="18"/>
          <w:lang w:val="en-AU"/>
        </w:rPr>
        <w:t xml:space="preserve"> (L.). </w:t>
      </w:r>
      <w:r w:rsidRPr="00C11BBA">
        <w:rPr>
          <w:i/>
          <w:sz w:val="18"/>
          <w:szCs w:val="18"/>
          <w:lang w:val="en-AU"/>
        </w:rPr>
        <w:t>Aquatic Toxicology</w:t>
      </w:r>
      <w:r w:rsidRPr="00C11BBA">
        <w:rPr>
          <w:sz w:val="18"/>
          <w:szCs w:val="18"/>
          <w:lang w:val="en-AU"/>
        </w:rPr>
        <w:t xml:space="preserve"> 66:293-305.</w:t>
      </w:r>
    </w:p>
    <w:p w14:paraId="2ADB508D" w14:textId="77777777" w:rsidR="0059608E" w:rsidRPr="00C11BBA" w:rsidRDefault="0059608E" w:rsidP="006130D4">
      <w:pPr>
        <w:rPr>
          <w:sz w:val="18"/>
          <w:szCs w:val="18"/>
          <w:lang w:val="en-AU"/>
        </w:rPr>
      </w:pPr>
      <w:r w:rsidRPr="00C11BBA">
        <w:rPr>
          <w:sz w:val="18"/>
          <w:szCs w:val="18"/>
          <w:lang w:val="en-AU"/>
        </w:rPr>
        <w:t xml:space="preserve">Duke N, Bell A, Pederson D, Roelfsema CM, Nash SB, Godson LM, Zahmel KN and Mackenzie J (2003). </w:t>
      </w:r>
      <w:r w:rsidRPr="00C11BBA">
        <w:rPr>
          <w:i/>
          <w:sz w:val="18"/>
          <w:szCs w:val="18"/>
          <w:lang w:val="en-AU"/>
        </w:rPr>
        <w:t xml:space="preserve">Mackay mangrove dieback. </w:t>
      </w:r>
      <w:r w:rsidRPr="00C11BBA">
        <w:rPr>
          <w:sz w:val="18"/>
          <w:szCs w:val="18"/>
          <w:lang w:val="en-AU"/>
        </w:rPr>
        <w:t>(Investigations in 2002 with recommendations for further research, monitoring and management).</w:t>
      </w:r>
    </w:p>
    <w:p w14:paraId="3AAE07EA" w14:textId="77777777" w:rsidR="0059608E" w:rsidRPr="00C11BBA" w:rsidRDefault="0059608E" w:rsidP="006130D4">
      <w:pPr>
        <w:rPr>
          <w:sz w:val="18"/>
          <w:szCs w:val="18"/>
          <w:lang w:val="en-AU"/>
        </w:rPr>
      </w:pPr>
      <w:r w:rsidRPr="00C11BBA">
        <w:rPr>
          <w:sz w:val="18"/>
          <w:szCs w:val="18"/>
          <w:lang w:val="en-AU"/>
        </w:rPr>
        <w:t xml:space="preserve">Duke N, Bell A, Pederson D, Roelfsema CM, Nash SB (2005). Herbicides implicated as the cause of severe mangrove dieback in the Mackay region, NE Australia: consequences for marine plant habitats o the Great Barrier Reef World Heritage Area. </w:t>
      </w:r>
      <w:r w:rsidRPr="00C11BBA">
        <w:rPr>
          <w:i/>
          <w:sz w:val="18"/>
          <w:szCs w:val="18"/>
          <w:lang w:val="en-AU"/>
        </w:rPr>
        <w:t xml:space="preserve">Marine Pollution Bulletin </w:t>
      </w:r>
      <w:r w:rsidRPr="00C11BBA">
        <w:rPr>
          <w:sz w:val="18"/>
          <w:szCs w:val="18"/>
          <w:lang w:val="en-AU"/>
        </w:rPr>
        <w:t>51(1-4):308-324.</w:t>
      </w:r>
    </w:p>
    <w:p w14:paraId="41727BEB" w14:textId="77777777" w:rsidR="0059608E" w:rsidRPr="00C11BBA" w:rsidRDefault="0059608E" w:rsidP="006130D4">
      <w:pPr>
        <w:rPr>
          <w:sz w:val="18"/>
          <w:szCs w:val="18"/>
          <w:lang w:val="en-AU"/>
        </w:rPr>
      </w:pPr>
      <w:r w:rsidRPr="00C11BBA">
        <w:rPr>
          <w:sz w:val="18"/>
          <w:szCs w:val="18"/>
          <w:lang w:val="en-AU"/>
        </w:rPr>
        <w:t>Harrington L, Fabricius K, Eaglesham G, Negri A (2005). Sy</w:t>
      </w:r>
      <w:r>
        <w:rPr>
          <w:sz w:val="18"/>
          <w:szCs w:val="18"/>
          <w:lang w:val="en-AU"/>
        </w:rPr>
        <w:t>nerg</w:t>
      </w:r>
      <w:r w:rsidRPr="00C11BBA">
        <w:rPr>
          <w:sz w:val="18"/>
          <w:szCs w:val="18"/>
          <w:lang w:val="en-AU"/>
        </w:rPr>
        <w:t xml:space="preserve">istic effects of diuron and sedimentation on photosynthesis and survival of crustose coralline algae. </w:t>
      </w:r>
      <w:r w:rsidRPr="00C11BBA">
        <w:rPr>
          <w:i/>
          <w:sz w:val="18"/>
          <w:szCs w:val="18"/>
          <w:lang w:val="en-AU"/>
        </w:rPr>
        <w:t xml:space="preserve">Marine Pollution Bulletin </w:t>
      </w:r>
      <w:r w:rsidRPr="00C11BBA">
        <w:rPr>
          <w:sz w:val="18"/>
          <w:szCs w:val="18"/>
          <w:lang w:val="en-AU"/>
        </w:rPr>
        <w:t>51:415-427.</w:t>
      </w:r>
    </w:p>
    <w:p w14:paraId="6008AD07" w14:textId="77777777" w:rsidR="0059608E" w:rsidRPr="00C11BBA" w:rsidRDefault="0059608E" w:rsidP="006130D4">
      <w:pPr>
        <w:rPr>
          <w:sz w:val="18"/>
          <w:szCs w:val="18"/>
          <w:lang w:val="en-AU"/>
        </w:rPr>
      </w:pPr>
      <w:r>
        <w:rPr>
          <w:sz w:val="18"/>
          <w:szCs w:val="18"/>
          <w:lang w:val="en-AU"/>
        </w:rPr>
        <w:t>Haynes D, Ralph P, Prange</w:t>
      </w:r>
      <w:r w:rsidRPr="00C11BBA">
        <w:rPr>
          <w:sz w:val="18"/>
          <w:szCs w:val="18"/>
          <w:lang w:val="en-AU"/>
        </w:rPr>
        <w:t xml:space="preserve"> J and Dennison B (2000). The impact of the Herbicide Diuron on Photosynthesis in Three Species of Tropical Seagrass. </w:t>
      </w:r>
      <w:r w:rsidRPr="00C11BBA">
        <w:rPr>
          <w:i/>
          <w:sz w:val="18"/>
          <w:szCs w:val="18"/>
          <w:lang w:val="en-AU"/>
        </w:rPr>
        <w:t xml:space="preserve">Marine Pollution Bulletin </w:t>
      </w:r>
      <w:r w:rsidRPr="00C11BBA">
        <w:rPr>
          <w:sz w:val="18"/>
          <w:szCs w:val="18"/>
          <w:lang w:val="en-AU"/>
        </w:rPr>
        <w:t>41(7-12):288-293.</w:t>
      </w:r>
    </w:p>
    <w:p w14:paraId="47E2CA65" w14:textId="77777777" w:rsidR="0059608E" w:rsidRPr="00C11BBA" w:rsidRDefault="0059608E" w:rsidP="006130D4">
      <w:pPr>
        <w:rPr>
          <w:sz w:val="18"/>
          <w:szCs w:val="18"/>
          <w:lang w:val="en-AU"/>
        </w:rPr>
      </w:pPr>
      <w:r w:rsidRPr="00C11BBA">
        <w:rPr>
          <w:sz w:val="18"/>
          <w:szCs w:val="18"/>
          <w:lang w:val="en-AU"/>
        </w:rPr>
        <w:t xml:space="preserve">Jones RJ (2004). Testing the ‘photoinhibition’ model of coral bleaching using chemical inhibitors. </w:t>
      </w:r>
      <w:r w:rsidRPr="00C11BBA">
        <w:rPr>
          <w:i/>
          <w:sz w:val="18"/>
          <w:szCs w:val="18"/>
          <w:lang w:val="en-AU"/>
        </w:rPr>
        <w:t xml:space="preserve">Marine Ecology Progress Series </w:t>
      </w:r>
      <w:r w:rsidRPr="00C11BBA">
        <w:rPr>
          <w:sz w:val="18"/>
          <w:szCs w:val="18"/>
          <w:lang w:val="en-AU"/>
        </w:rPr>
        <w:t>284:133-145.</w:t>
      </w:r>
    </w:p>
    <w:p w14:paraId="627B7143" w14:textId="77777777" w:rsidR="0059608E" w:rsidRPr="00C11BBA" w:rsidRDefault="0059608E" w:rsidP="006130D4">
      <w:pPr>
        <w:rPr>
          <w:sz w:val="18"/>
          <w:szCs w:val="18"/>
          <w:lang w:val="en-AU"/>
        </w:rPr>
      </w:pPr>
      <w:r w:rsidRPr="00C11BBA">
        <w:rPr>
          <w:sz w:val="18"/>
          <w:szCs w:val="18"/>
          <w:lang w:val="en-AU"/>
        </w:rPr>
        <w:t>Jon</w:t>
      </w:r>
      <w:r>
        <w:rPr>
          <w:sz w:val="18"/>
          <w:szCs w:val="18"/>
          <w:lang w:val="en-AU"/>
        </w:rPr>
        <w:t>es RJ (2005). The ecotoxicological</w:t>
      </w:r>
      <w:r w:rsidRPr="00C11BBA">
        <w:rPr>
          <w:sz w:val="18"/>
          <w:szCs w:val="18"/>
          <w:lang w:val="en-AU"/>
        </w:rPr>
        <w:t xml:space="preserve"> effects of Photosystem II herbicides on corals. </w:t>
      </w:r>
      <w:r w:rsidRPr="00C11BBA">
        <w:rPr>
          <w:i/>
          <w:sz w:val="18"/>
          <w:szCs w:val="18"/>
          <w:lang w:val="en-AU"/>
        </w:rPr>
        <w:t>Marine Pollution Bulletin</w:t>
      </w:r>
      <w:r w:rsidRPr="00C11BBA">
        <w:rPr>
          <w:sz w:val="18"/>
          <w:szCs w:val="18"/>
          <w:lang w:val="en-AU"/>
        </w:rPr>
        <w:t xml:space="preserve"> 51(5-7):495-506.</w:t>
      </w:r>
    </w:p>
    <w:p w14:paraId="34B4F8BF" w14:textId="77777777" w:rsidR="0059608E" w:rsidRPr="00C11BBA" w:rsidRDefault="0059608E" w:rsidP="006130D4">
      <w:pPr>
        <w:rPr>
          <w:sz w:val="18"/>
          <w:szCs w:val="18"/>
          <w:lang w:val="en-AU"/>
        </w:rPr>
      </w:pPr>
      <w:r w:rsidRPr="00C11BBA">
        <w:rPr>
          <w:sz w:val="18"/>
          <w:szCs w:val="18"/>
          <w:lang w:val="en-AU"/>
        </w:rPr>
        <w:t xml:space="preserve">Jones RJ and Kerswell AP (2003). Phytotoxicity of Photosystem II (PSII) herbicides to coral. </w:t>
      </w:r>
      <w:r w:rsidRPr="00C11BBA">
        <w:rPr>
          <w:i/>
          <w:sz w:val="18"/>
          <w:szCs w:val="18"/>
          <w:lang w:val="en-AU"/>
        </w:rPr>
        <w:t xml:space="preserve">Marine Ecology Progress Series </w:t>
      </w:r>
      <w:r w:rsidRPr="00C11BBA">
        <w:rPr>
          <w:sz w:val="18"/>
          <w:szCs w:val="18"/>
          <w:lang w:val="en-AU"/>
        </w:rPr>
        <w:t>261 (October 17):149-159.</w:t>
      </w:r>
    </w:p>
    <w:p w14:paraId="1DB79653" w14:textId="77777777" w:rsidR="0059608E" w:rsidRPr="00C11BBA" w:rsidRDefault="0059608E" w:rsidP="006130D4">
      <w:pPr>
        <w:rPr>
          <w:sz w:val="18"/>
          <w:szCs w:val="18"/>
          <w:lang w:val="en-AU"/>
        </w:rPr>
      </w:pPr>
      <w:r w:rsidRPr="00C11BBA">
        <w:rPr>
          <w:sz w:val="18"/>
          <w:szCs w:val="18"/>
          <w:lang w:val="en-AU"/>
        </w:rPr>
        <w:t xml:space="preserve">Jones R, Muller J, Haynes D, Schreiber U (2003). Effects of herbicides diuron and atrazine on corals of the Great Barrier Reef, Australia. </w:t>
      </w:r>
      <w:r w:rsidRPr="00C11BBA">
        <w:rPr>
          <w:i/>
          <w:sz w:val="18"/>
          <w:szCs w:val="18"/>
          <w:lang w:val="en-AU"/>
        </w:rPr>
        <w:t xml:space="preserve"> Marine Ecology Progress Series 251</w:t>
      </w:r>
      <w:r w:rsidRPr="00C11BBA">
        <w:rPr>
          <w:sz w:val="18"/>
          <w:szCs w:val="18"/>
          <w:lang w:val="en-AU"/>
        </w:rPr>
        <w:t>:153-167.</w:t>
      </w:r>
    </w:p>
    <w:p w14:paraId="270EA6F3" w14:textId="77777777" w:rsidR="0059608E" w:rsidRPr="00C11BBA" w:rsidRDefault="0059608E" w:rsidP="006130D4">
      <w:pPr>
        <w:rPr>
          <w:sz w:val="18"/>
          <w:szCs w:val="18"/>
          <w:lang w:val="en-AU"/>
        </w:rPr>
      </w:pPr>
      <w:r w:rsidRPr="00C11BBA">
        <w:rPr>
          <w:sz w:val="18"/>
          <w:szCs w:val="18"/>
          <w:lang w:val="en-AU"/>
        </w:rPr>
        <w:t xml:space="preserve">Macinnis-Ng CMO and Ralph PJ (2003). Short term response and recovery of Zostera capricorni photosynthesis after herbicide exposure. </w:t>
      </w:r>
      <w:r w:rsidRPr="00C11BBA">
        <w:rPr>
          <w:i/>
          <w:sz w:val="18"/>
          <w:szCs w:val="18"/>
          <w:lang w:val="en-AU"/>
        </w:rPr>
        <w:t xml:space="preserve">Aquatic Botany </w:t>
      </w:r>
      <w:r w:rsidRPr="00C11BBA">
        <w:rPr>
          <w:sz w:val="18"/>
          <w:szCs w:val="18"/>
          <w:lang w:val="en-AU"/>
        </w:rPr>
        <w:t>76:1-15.</w:t>
      </w:r>
    </w:p>
    <w:p w14:paraId="782785FA" w14:textId="77777777" w:rsidR="0059608E" w:rsidRPr="00C11BBA" w:rsidRDefault="0059608E" w:rsidP="006130D4">
      <w:pPr>
        <w:rPr>
          <w:sz w:val="18"/>
          <w:szCs w:val="18"/>
          <w:lang w:val="en-AU"/>
        </w:rPr>
      </w:pPr>
      <w:r w:rsidRPr="00C11BBA">
        <w:rPr>
          <w:sz w:val="18"/>
          <w:szCs w:val="18"/>
          <w:lang w:val="en-AU"/>
        </w:rPr>
        <w:t>Magnusson M, Heimann K, Negri A, Ridd M (2006). Pesticide Toxicity to estuarine benthic microflora in tropical Queensland. Oral Presentation, Australian Marine Sciences Association, 9-13 July 2006, Cairns Convention Centre, Queensland, Australia.</w:t>
      </w:r>
    </w:p>
    <w:p w14:paraId="1F4BAF86" w14:textId="77777777" w:rsidR="0059608E" w:rsidRPr="00C11BBA" w:rsidRDefault="0059608E" w:rsidP="006130D4">
      <w:pPr>
        <w:rPr>
          <w:sz w:val="18"/>
          <w:szCs w:val="18"/>
          <w:lang w:val="en-AU"/>
        </w:rPr>
      </w:pPr>
      <w:r w:rsidRPr="00C11BBA">
        <w:rPr>
          <w:sz w:val="18"/>
          <w:szCs w:val="18"/>
          <w:lang w:val="en-AU"/>
        </w:rPr>
        <w:t xml:space="preserve">Negri A , Vollhardt C, Humphrey C, Heyward A, Jones R, Eaglesham G and Fabricius K (2005). Effects of the herbicide diuron on the early life history stages of coral. </w:t>
      </w:r>
      <w:r w:rsidRPr="00C11BBA">
        <w:rPr>
          <w:i/>
          <w:sz w:val="18"/>
          <w:szCs w:val="18"/>
          <w:lang w:val="en-AU"/>
        </w:rPr>
        <w:t xml:space="preserve">Marine Pollution Bulletin </w:t>
      </w:r>
      <w:r w:rsidRPr="00C11BBA">
        <w:rPr>
          <w:sz w:val="18"/>
          <w:szCs w:val="18"/>
          <w:lang w:val="en-AU"/>
        </w:rPr>
        <w:t>51:370-383.</w:t>
      </w:r>
    </w:p>
    <w:p w14:paraId="35996A24" w14:textId="77777777" w:rsidR="0059608E" w:rsidRPr="00C11BBA" w:rsidRDefault="0059608E" w:rsidP="006130D4">
      <w:pPr>
        <w:rPr>
          <w:sz w:val="18"/>
          <w:szCs w:val="18"/>
          <w:lang w:val="en-AU"/>
        </w:rPr>
      </w:pPr>
      <w:r w:rsidRPr="00C11BBA">
        <w:rPr>
          <w:sz w:val="18"/>
          <w:szCs w:val="18"/>
          <w:lang w:val="en-AU"/>
        </w:rPr>
        <w:t xml:space="preserve">Owen R, Knap A, Ostrander N and Carbery K (2003). Comparative acute toxicity of herbicides to photosynthesis of Coral Zooxanthellae. </w:t>
      </w:r>
      <w:r w:rsidRPr="00C11BBA">
        <w:rPr>
          <w:i/>
          <w:sz w:val="18"/>
          <w:szCs w:val="18"/>
          <w:lang w:val="en-AU"/>
        </w:rPr>
        <w:t xml:space="preserve">Bulletin of Environmental Contamination and Toxicology </w:t>
      </w:r>
      <w:r w:rsidRPr="00C11BBA">
        <w:rPr>
          <w:sz w:val="18"/>
          <w:szCs w:val="18"/>
          <w:lang w:val="en-AU"/>
        </w:rPr>
        <w:t>70:541-548.</w:t>
      </w:r>
    </w:p>
    <w:p w14:paraId="5989C556" w14:textId="77777777" w:rsidR="0059608E" w:rsidRPr="00C11BBA" w:rsidRDefault="0059608E" w:rsidP="006130D4">
      <w:pPr>
        <w:rPr>
          <w:sz w:val="18"/>
          <w:szCs w:val="18"/>
          <w:lang w:val="en-AU"/>
        </w:rPr>
      </w:pPr>
      <w:r w:rsidRPr="00C11BBA">
        <w:rPr>
          <w:sz w:val="18"/>
          <w:szCs w:val="18"/>
          <w:lang w:val="en-AU"/>
        </w:rPr>
        <w:t xml:space="preserve">Råberg S, Nystrom M, Eros M and Plantman P (2003). Impact of the herbicides 2,4-D and diuron on the metabolism of the coral Porites cylindrical. </w:t>
      </w:r>
      <w:r w:rsidRPr="00C11BBA">
        <w:rPr>
          <w:i/>
          <w:sz w:val="18"/>
          <w:szCs w:val="18"/>
          <w:lang w:val="en-AU"/>
        </w:rPr>
        <w:t xml:space="preserve">Marine Environmental Research </w:t>
      </w:r>
      <w:r w:rsidRPr="00C11BBA">
        <w:rPr>
          <w:sz w:val="18"/>
          <w:szCs w:val="18"/>
          <w:lang w:val="en-AU"/>
        </w:rPr>
        <w:t>503-514.</w:t>
      </w:r>
    </w:p>
    <w:p w14:paraId="1564616A" w14:textId="77777777" w:rsidR="0059608E" w:rsidRPr="00C11BBA" w:rsidRDefault="0059608E" w:rsidP="006130D4">
      <w:pPr>
        <w:rPr>
          <w:sz w:val="18"/>
          <w:szCs w:val="18"/>
          <w:lang w:val="en-AU"/>
        </w:rPr>
      </w:pPr>
      <w:r w:rsidRPr="00C11BBA">
        <w:rPr>
          <w:sz w:val="18"/>
          <w:szCs w:val="18"/>
          <w:lang w:val="en-AU"/>
        </w:rPr>
        <w:t xml:space="preserve">Schreiber U, Muller JF, Haugg A and Gademann R (2002). New type of dual-channel PAM chlorophyll fluorometer for highly sensitive water toxicity biotests. </w:t>
      </w:r>
      <w:r w:rsidRPr="00C11BBA">
        <w:rPr>
          <w:i/>
          <w:sz w:val="18"/>
          <w:szCs w:val="18"/>
          <w:lang w:val="en-AU"/>
        </w:rPr>
        <w:t xml:space="preserve">Photosynthesis Research </w:t>
      </w:r>
      <w:r w:rsidRPr="00C11BBA">
        <w:rPr>
          <w:sz w:val="18"/>
          <w:szCs w:val="18"/>
          <w:lang w:val="en-AU"/>
        </w:rPr>
        <w:t>74:317-330.</w:t>
      </w:r>
    </w:p>
    <w:p w14:paraId="46F9EBEF" w14:textId="77777777" w:rsidR="0059608E" w:rsidRPr="00C11BBA" w:rsidRDefault="0059608E" w:rsidP="006130D4">
      <w:pPr>
        <w:rPr>
          <w:sz w:val="18"/>
          <w:szCs w:val="18"/>
          <w:lang w:val="en-AU"/>
        </w:rPr>
      </w:pPr>
      <w:r w:rsidRPr="00C11BBA">
        <w:rPr>
          <w:sz w:val="18"/>
          <w:szCs w:val="18"/>
          <w:lang w:val="en-AU"/>
        </w:rPr>
        <w:t xml:space="preserve">Seery CR, Gunthorpe L and Ralph PJ (2006). Herbicide impact on Hormosira banksii gametes measured by fluorescence and germination bioassays. </w:t>
      </w:r>
      <w:r w:rsidRPr="00C11BBA">
        <w:rPr>
          <w:i/>
          <w:sz w:val="18"/>
          <w:szCs w:val="18"/>
          <w:lang w:val="en-AU"/>
        </w:rPr>
        <w:t xml:space="preserve">Environmental pollution </w:t>
      </w:r>
      <w:r w:rsidRPr="00C11BBA">
        <w:rPr>
          <w:sz w:val="18"/>
          <w:szCs w:val="18"/>
          <w:lang w:val="en-AU"/>
        </w:rPr>
        <w:t>140:43-51.</w:t>
      </w:r>
    </w:p>
    <w:p w14:paraId="7CDD1426" w14:textId="77777777" w:rsidR="0059608E" w:rsidRDefault="0059608E" w:rsidP="006130D4">
      <w:pPr>
        <w:rPr>
          <w:sz w:val="18"/>
          <w:szCs w:val="18"/>
          <w:lang w:val="en-AU"/>
        </w:rPr>
      </w:pPr>
      <w:r>
        <w:rPr>
          <w:sz w:val="18"/>
          <w:szCs w:val="18"/>
          <w:lang w:val="en-AU"/>
        </w:rPr>
        <w:t>Sunsderam RIM, Warne MS</w:t>
      </w:r>
      <w:r w:rsidRPr="00C11BBA">
        <w:rPr>
          <w:sz w:val="18"/>
          <w:szCs w:val="18"/>
          <w:lang w:val="en-AU"/>
        </w:rPr>
        <w:t xml:space="preserve">J, Chapman JC, Pablo F, Hawkins J, Rose RM, Patra RW (2000). </w:t>
      </w:r>
      <w:r w:rsidRPr="00C11BBA">
        <w:rPr>
          <w:i/>
          <w:sz w:val="18"/>
          <w:szCs w:val="18"/>
          <w:lang w:val="en-AU"/>
        </w:rPr>
        <w:t xml:space="preserve">The ANZECC and ARMCANZ water quality guideline database for toxicants. </w:t>
      </w:r>
      <w:r w:rsidRPr="00C11BBA">
        <w:rPr>
          <w:sz w:val="18"/>
          <w:szCs w:val="18"/>
          <w:lang w:val="en-AU"/>
        </w:rPr>
        <w:t>Supplied as a CD-rom in the ANZECC and ARMCANZ (2000) Australian and New Zealand Guidelines for Fresh and Marine Water Quality.</w:t>
      </w:r>
    </w:p>
    <w:p w14:paraId="485AFE53" w14:textId="77777777" w:rsidR="0059608E" w:rsidRDefault="0059608E">
      <w:pPr>
        <w:ind w:firstLine="357"/>
        <w:jc w:val="left"/>
        <w:rPr>
          <w:sz w:val="18"/>
          <w:szCs w:val="18"/>
          <w:lang w:val="en-AU"/>
        </w:rPr>
      </w:pPr>
      <w:r>
        <w:rPr>
          <w:sz w:val="18"/>
          <w:szCs w:val="18"/>
          <w:lang w:val="en-AU"/>
        </w:rPr>
        <w:br w:type="page"/>
      </w:r>
    </w:p>
    <w:p w14:paraId="65DB8E31" w14:textId="77777777" w:rsidR="0059608E" w:rsidRPr="00EB48FA" w:rsidRDefault="0059608E" w:rsidP="00EB48FA">
      <w:pPr>
        <w:spacing w:line="360" w:lineRule="auto"/>
        <w:rPr>
          <w:sz w:val="24"/>
          <w:szCs w:val="24"/>
          <w:lang w:val="en-AU"/>
        </w:rPr>
      </w:pPr>
      <w:r w:rsidRPr="00C11BBA">
        <w:rPr>
          <w:sz w:val="24"/>
          <w:szCs w:val="24"/>
          <w:lang w:val="en-AU"/>
        </w:rPr>
        <w:lastRenderedPageBreak/>
        <w:t xml:space="preserve"> Additionally the following marine data is an excerpt from the Australian Pesticides and Veterinary Medicines Authority (APVMA 2005), Volume I and II as preliminary findings for diuron. Effects concentrations are reported in µg.L</w:t>
      </w:r>
      <w:r w:rsidRPr="00C11BBA">
        <w:rPr>
          <w:sz w:val="24"/>
          <w:szCs w:val="24"/>
          <w:vertAlign w:val="superscript"/>
          <w:lang w:val="en-AU"/>
        </w:rPr>
        <w:t>-1</w:t>
      </w:r>
      <w:r w:rsidRPr="00C11BBA">
        <w:rPr>
          <w:sz w:val="24"/>
          <w:szCs w:val="24"/>
          <w:lang w:val="en-AU"/>
        </w:rPr>
        <w:t>. This data set has also been used in the derivation of Ca</w:t>
      </w:r>
      <w:r w:rsidR="00EB48FA">
        <w:rPr>
          <w:sz w:val="24"/>
          <w:szCs w:val="24"/>
          <w:lang w:val="en-AU"/>
        </w:rPr>
        <w:t>tegory 1 of the PSII-HEq Index.</w:t>
      </w:r>
    </w:p>
    <w:p w14:paraId="32EAD80D" w14:textId="77777777" w:rsidR="00EB48FA" w:rsidRDefault="00EB48FA" w:rsidP="00EB48FA">
      <w:pPr>
        <w:pStyle w:val="Caption"/>
        <w:keepNext/>
      </w:pPr>
      <w:bookmarkStart w:id="724" w:name="_Toc462652076"/>
      <w:r>
        <w:t xml:space="preserve">Table A </w:t>
      </w:r>
      <w:r>
        <w:fldChar w:fldCharType="begin"/>
      </w:r>
      <w:r>
        <w:instrText xml:space="preserve"> SEQ Table_A \* ARABIC </w:instrText>
      </w:r>
      <w:r>
        <w:fldChar w:fldCharType="separate"/>
      </w:r>
      <w:r w:rsidR="00E51A34">
        <w:rPr>
          <w:noProof/>
        </w:rPr>
        <w:t>9</w:t>
      </w:r>
      <w:r>
        <w:fldChar w:fldCharType="end"/>
      </w:r>
      <w:r>
        <w:t xml:space="preserve"> Preliminary effects of diuron in marine organisms</w:t>
      </w:r>
      <w:bookmarkEnd w:id="724"/>
    </w:p>
    <w:tbl>
      <w:tblPr>
        <w:tblStyle w:val="TableGrid"/>
        <w:tblpPr w:leftFromText="180" w:rightFromText="180" w:vertAnchor="text" w:horzAnchor="page" w:tblpXSpec="center" w:tblpY="354"/>
        <w:tblW w:w="4818" w:type="pct"/>
        <w:tblLook w:val="04A0" w:firstRow="1" w:lastRow="0" w:firstColumn="1" w:lastColumn="0" w:noHBand="0" w:noVBand="1"/>
        <w:tblDescription w:val="Table A 9 Preliminary effects of diuron in marine organisms"/>
      </w:tblPr>
      <w:tblGrid>
        <w:gridCol w:w="4216"/>
        <w:gridCol w:w="2788"/>
        <w:gridCol w:w="1892"/>
        <w:gridCol w:w="1398"/>
      </w:tblGrid>
      <w:tr w:rsidR="0059608E" w:rsidRPr="00C11BBA" w14:paraId="30467458" w14:textId="77777777" w:rsidTr="006130D4">
        <w:trPr>
          <w:trHeight w:val="238"/>
          <w:tblHeader/>
        </w:trPr>
        <w:tc>
          <w:tcPr>
            <w:tcW w:w="2048" w:type="pct"/>
          </w:tcPr>
          <w:p w14:paraId="766F33ED" w14:textId="77777777" w:rsidR="0059608E" w:rsidRPr="0000155E" w:rsidRDefault="0059608E" w:rsidP="006130D4">
            <w:pPr>
              <w:tabs>
                <w:tab w:val="left" w:pos="1660"/>
              </w:tabs>
              <w:rPr>
                <w:b/>
                <w:sz w:val="20"/>
                <w:szCs w:val="20"/>
                <w:lang w:val="en-AU"/>
              </w:rPr>
            </w:pPr>
            <w:r w:rsidRPr="0000155E">
              <w:rPr>
                <w:b/>
                <w:sz w:val="20"/>
                <w:szCs w:val="20"/>
                <w:lang w:val="en-AU"/>
              </w:rPr>
              <w:t>Organisms and comments</w:t>
            </w:r>
          </w:p>
        </w:tc>
        <w:tc>
          <w:tcPr>
            <w:tcW w:w="1354" w:type="pct"/>
          </w:tcPr>
          <w:p w14:paraId="2327F6B2" w14:textId="77777777" w:rsidR="0059608E" w:rsidRPr="0000155E" w:rsidRDefault="0059608E" w:rsidP="006130D4">
            <w:pPr>
              <w:tabs>
                <w:tab w:val="left" w:pos="1660"/>
              </w:tabs>
              <w:rPr>
                <w:b/>
                <w:sz w:val="20"/>
                <w:szCs w:val="20"/>
                <w:lang w:val="en-AU"/>
              </w:rPr>
            </w:pPr>
            <w:r w:rsidRPr="0000155E">
              <w:rPr>
                <w:b/>
                <w:sz w:val="20"/>
                <w:szCs w:val="20"/>
                <w:lang w:val="en-AU"/>
              </w:rPr>
              <w:t>Toxicity (ug.L</w:t>
            </w:r>
            <w:r w:rsidRPr="0000155E">
              <w:rPr>
                <w:b/>
                <w:sz w:val="20"/>
                <w:szCs w:val="20"/>
                <w:vertAlign w:val="superscript"/>
                <w:lang w:val="en-AU"/>
              </w:rPr>
              <w:t>-1</w:t>
            </w:r>
            <w:r w:rsidRPr="0000155E">
              <w:rPr>
                <w:b/>
                <w:sz w:val="20"/>
                <w:szCs w:val="20"/>
                <w:lang w:val="en-AU"/>
              </w:rPr>
              <w:t>) test substance (95% CL)</w:t>
            </w:r>
          </w:p>
        </w:tc>
        <w:tc>
          <w:tcPr>
            <w:tcW w:w="919" w:type="pct"/>
          </w:tcPr>
          <w:p w14:paraId="4F2FDE35" w14:textId="77777777" w:rsidR="0059608E" w:rsidRPr="0000155E" w:rsidRDefault="0059608E" w:rsidP="006130D4">
            <w:pPr>
              <w:tabs>
                <w:tab w:val="left" w:pos="1660"/>
              </w:tabs>
              <w:rPr>
                <w:b/>
                <w:sz w:val="20"/>
                <w:szCs w:val="20"/>
                <w:lang w:val="en-AU"/>
              </w:rPr>
            </w:pPr>
            <w:r w:rsidRPr="0000155E">
              <w:rPr>
                <w:b/>
                <w:sz w:val="20"/>
                <w:szCs w:val="20"/>
                <w:lang w:val="en-AU"/>
              </w:rPr>
              <w:t>Year reported</w:t>
            </w:r>
          </w:p>
        </w:tc>
        <w:tc>
          <w:tcPr>
            <w:tcW w:w="679" w:type="pct"/>
          </w:tcPr>
          <w:p w14:paraId="7A6C8565" w14:textId="77777777" w:rsidR="0059608E" w:rsidRPr="0000155E" w:rsidRDefault="0059608E" w:rsidP="006130D4">
            <w:pPr>
              <w:tabs>
                <w:tab w:val="left" w:pos="1660"/>
              </w:tabs>
              <w:rPr>
                <w:b/>
                <w:sz w:val="20"/>
                <w:szCs w:val="20"/>
                <w:lang w:val="en-AU"/>
              </w:rPr>
            </w:pPr>
            <w:r w:rsidRPr="0000155E">
              <w:rPr>
                <w:b/>
                <w:sz w:val="20"/>
                <w:szCs w:val="20"/>
                <w:lang w:val="en-AU"/>
              </w:rPr>
              <w:t>US EPA category</w:t>
            </w:r>
          </w:p>
        </w:tc>
      </w:tr>
      <w:tr w:rsidR="0059608E" w:rsidRPr="00C11BBA" w14:paraId="6F5DD4D0" w14:textId="77777777" w:rsidTr="006130D4">
        <w:trPr>
          <w:trHeight w:val="258"/>
        </w:trPr>
        <w:tc>
          <w:tcPr>
            <w:tcW w:w="2048" w:type="pct"/>
            <w:shd w:val="clear" w:color="auto" w:fill="B6DDE8" w:themeFill="accent5" w:themeFillTint="66"/>
          </w:tcPr>
          <w:p w14:paraId="19EA292A" w14:textId="77777777" w:rsidR="0059608E" w:rsidRPr="0000155E" w:rsidRDefault="0059608E" w:rsidP="006130D4">
            <w:pPr>
              <w:tabs>
                <w:tab w:val="left" w:pos="1660"/>
              </w:tabs>
              <w:rPr>
                <w:b/>
                <w:sz w:val="20"/>
                <w:szCs w:val="20"/>
                <w:lang w:val="en-AU"/>
              </w:rPr>
            </w:pPr>
            <w:r w:rsidRPr="0000155E">
              <w:rPr>
                <w:b/>
                <w:sz w:val="20"/>
                <w:szCs w:val="20"/>
                <w:lang w:val="en-AU"/>
              </w:rPr>
              <w:t>Fish</w:t>
            </w:r>
          </w:p>
        </w:tc>
        <w:tc>
          <w:tcPr>
            <w:tcW w:w="1354" w:type="pct"/>
          </w:tcPr>
          <w:p w14:paraId="4739F7E4" w14:textId="77777777" w:rsidR="0059608E" w:rsidRPr="0000155E" w:rsidRDefault="0059608E" w:rsidP="006130D4">
            <w:pPr>
              <w:tabs>
                <w:tab w:val="left" w:pos="1660"/>
              </w:tabs>
              <w:rPr>
                <w:sz w:val="20"/>
                <w:szCs w:val="20"/>
                <w:lang w:val="en-AU"/>
              </w:rPr>
            </w:pPr>
          </w:p>
        </w:tc>
        <w:tc>
          <w:tcPr>
            <w:tcW w:w="919" w:type="pct"/>
          </w:tcPr>
          <w:p w14:paraId="15E7B22F" w14:textId="77777777" w:rsidR="0059608E" w:rsidRPr="0000155E" w:rsidRDefault="0059608E" w:rsidP="006130D4">
            <w:pPr>
              <w:tabs>
                <w:tab w:val="left" w:pos="1660"/>
              </w:tabs>
              <w:rPr>
                <w:sz w:val="20"/>
                <w:szCs w:val="20"/>
                <w:lang w:val="en-AU"/>
              </w:rPr>
            </w:pPr>
          </w:p>
        </w:tc>
        <w:tc>
          <w:tcPr>
            <w:tcW w:w="679" w:type="pct"/>
          </w:tcPr>
          <w:p w14:paraId="74AB6C12" w14:textId="77777777" w:rsidR="0059608E" w:rsidRPr="0000155E" w:rsidRDefault="0059608E" w:rsidP="006130D4">
            <w:pPr>
              <w:tabs>
                <w:tab w:val="left" w:pos="1660"/>
              </w:tabs>
              <w:rPr>
                <w:sz w:val="20"/>
                <w:szCs w:val="20"/>
                <w:lang w:val="en-AU"/>
              </w:rPr>
            </w:pPr>
          </w:p>
        </w:tc>
      </w:tr>
      <w:tr w:rsidR="0059608E" w:rsidRPr="00C11BBA" w14:paraId="46F76DD6" w14:textId="77777777" w:rsidTr="006130D4">
        <w:trPr>
          <w:trHeight w:val="258"/>
        </w:trPr>
        <w:tc>
          <w:tcPr>
            <w:tcW w:w="2048" w:type="pct"/>
          </w:tcPr>
          <w:p w14:paraId="7DBA2D83" w14:textId="77777777" w:rsidR="0059608E" w:rsidRPr="0000155E" w:rsidRDefault="0059608E" w:rsidP="006130D4">
            <w:pPr>
              <w:tabs>
                <w:tab w:val="left" w:pos="1660"/>
              </w:tabs>
              <w:rPr>
                <w:sz w:val="20"/>
                <w:szCs w:val="20"/>
                <w:lang w:val="en-AU"/>
              </w:rPr>
            </w:pPr>
            <w:r w:rsidRPr="0000155E">
              <w:rPr>
                <w:i/>
                <w:sz w:val="20"/>
                <w:szCs w:val="20"/>
                <w:lang w:val="en-AU"/>
              </w:rPr>
              <w:t xml:space="preserve">M. cephalus </w:t>
            </w:r>
            <w:r w:rsidRPr="0000155E">
              <w:rPr>
                <w:sz w:val="20"/>
                <w:szCs w:val="20"/>
                <w:lang w:val="en-AU"/>
              </w:rPr>
              <w:t>(striped mullet) tech. (95%) static</w:t>
            </w:r>
          </w:p>
        </w:tc>
        <w:tc>
          <w:tcPr>
            <w:tcW w:w="1354" w:type="pct"/>
          </w:tcPr>
          <w:p w14:paraId="6A7107D4" w14:textId="77777777" w:rsidR="0059608E" w:rsidRPr="0000155E" w:rsidRDefault="0059608E" w:rsidP="006130D4">
            <w:pPr>
              <w:tabs>
                <w:tab w:val="left" w:pos="1660"/>
              </w:tabs>
              <w:rPr>
                <w:sz w:val="20"/>
                <w:szCs w:val="20"/>
                <w:lang w:val="en-AU"/>
              </w:rPr>
            </w:pPr>
            <w:r w:rsidRPr="0000155E">
              <w:rPr>
                <w:sz w:val="20"/>
                <w:szCs w:val="20"/>
                <w:lang w:val="en-AU"/>
              </w:rPr>
              <w:t>6300 (NR)</w:t>
            </w:r>
          </w:p>
          <w:p w14:paraId="0D4638FE" w14:textId="77777777" w:rsidR="0059608E" w:rsidRPr="0000155E" w:rsidRDefault="0059608E" w:rsidP="006130D4">
            <w:pPr>
              <w:tabs>
                <w:tab w:val="left" w:pos="1660"/>
              </w:tabs>
              <w:rPr>
                <w:sz w:val="20"/>
                <w:szCs w:val="20"/>
                <w:lang w:val="en-AU"/>
              </w:rPr>
            </w:pPr>
            <w:r w:rsidRPr="0000155E">
              <w:rPr>
                <w:sz w:val="20"/>
                <w:szCs w:val="20"/>
                <w:lang w:val="en-AU"/>
              </w:rPr>
              <w:t>48h, acute</w:t>
            </w:r>
          </w:p>
        </w:tc>
        <w:tc>
          <w:tcPr>
            <w:tcW w:w="919" w:type="pct"/>
          </w:tcPr>
          <w:p w14:paraId="5A052E1B"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13C6A6BD"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3DB191E7" w14:textId="77777777" w:rsidTr="006130D4">
        <w:trPr>
          <w:trHeight w:val="516"/>
        </w:trPr>
        <w:tc>
          <w:tcPr>
            <w:tcW w:w="2048" w:type="pct"/>
          </w:tcPr>
          <w:p w14:paraId="1D3D8808" w14:textId="77777777" w:rsidR="0059608E" w:rsidRPr="0000155E" w:rsidRDefault="0059608E" w:rsidP="006130D4">
            <w:pPr>
              <w:tabs>
                <w:tab w:val="left" w:pos="1660"/>
              </w:tabs>
              <w:rPr>
                <w:sz w:val="20"/>
                <w:szCs w:val="20"/>
                <w:lang w:val="en-AU"/>
              </w:rPr>
            </w:pPr>
            <w:r w:rsidRPr="0000155E">
              <w:rPr>
                <w:i/>
                <w:sz w:val="20"/>
                <w:szCs w:val="20"/>
                <w:lang w:val="en-AU"/>
              </w:rPr>
              <w:t xml:space="preserve">C. variegates </w:t>
            </w:r>
            <w:r w:rsidRPr="0000155E">
              <w:rPr>
                <w:sz w:val="20"/>
                <w:szCs w:val="20"/>
                <w:lang w:val="en-AU"/>
              </w:rPr>
              <w:t>(Sheephead minnow) 99% active constituent; static</w:t>
            </w:r>
          </w:p>
        </w:tc>
        <w:tc>
          <w:tcPr>
            <w:tcW w:w="1354" w:type="pct"/>
          </w:tcPr>
          <w:p w14:paraId="5C9853DA" w14:textId="77777777" w:rsidR="0059608E" w:rsidRPr="0000155E" w:rsidRDefault="0059608E" w:rsidP="006130D4">
            <w:pPr>
              <w:tabs>
                <w:tab w:val="left" w:pos="1660"/>
              </w:tabs>
              <w:rPr>
                <w:sz w:val="20"/>
                <w:szCs w:val="20"/>
                <w:lang w:val="en-AU"/>
              </w:rPr>
            </w:pPr>
            <w:r w:rsidRPr="0000155E">
              <w:rPr>
                <w:sz w:val="20"/>
                <w:szCs w:val="20"/>
                <w:lang w:val="en-AU"/>
              </w:rPr>
              <w:t>6700 (NR)</w:t>
            </w:r>
          </w:p>
          <w:p w14:paraId="5AD5ADD5" w14:textId="77777777" w:rsidR="0059608E" w:rsidRPr="0000155E" w:rsidRDefault="0059608E" w:rsidP="006130D4">
            <w:pPr>
              <w:tabs>
                <w:tab w:val="left" w:pos="1660"/>
              </w:tabs>
              <w:rPr>
                <w:sz w:val="20"/>
                <w:szCs w:val="20"/>
                <w:lang w:val="en-AU"/>
              </w:rPr>
            </w:pPr>
            <w:r w:rsidRPr="0000155E">
              <w:rPr>
                <w:sz w:val="20"/>
                <w:szCs w:val="20"/>
                <w:lang w:val="en-AU"/>
              </w:rPr>
              <w:t>96h, acute</w:t>
            </w:r>
          </w:p>
          <w:p w14:paraId="527AA3D6" w14:textId="77777777" w:rsidR="0059608E" w:rsidRPr="0000155E" w:rsidRDefault="0059608E" w:rsidP="006130D4">
            <w:pPr>
              <w:tabs>
                <w:tab w:val="left" w:pos="1660"/>
              </w:tabs>
              <w:rPr>
                <w:sz w:val="20"/>
                <w:szCs w:val="20"/>
                <w:lang w:val="en-AU"/>
              </w:rPr>
            </w:pPr>
            <w:r w:rsidRPr="0000155E">
              <w:rPr>
                <w:sz w:val="20"/>
                <w:szCs w:val="20"/>
                <w:lang w:val="en-AU"/>
              </w:rPr>
              <w:t>NOEC = 3600</w:t>
            </w:r>
          </w:p>
        </w:tc>
        <w:tc>
          <w:tcPr>
            <w:tcW w:w="919" w:type="pct"/>
          </w:tcPr>
          <w:p w14:paraId="45EC3251"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115324A5" w14:textId="77777777" w:rsidR="0059608E" w:rsidRPr="0000155E" w:rsidRDefault="0059608E" w:rsidP="006130D4">
            <w:pPr>
              <w:tabs>
                <w:tab w:val="left" w:pos="1660"/>
              </w:tabs>
              <w:rPr>
                <w:sz w:val="20"/>
                <w:szCs w:val="20"/>
                <w:lang w:val="en-AU"/>
              </w:rPr>
            </w:pPr>
            <w:r w:rsidRPr="0000155E">
              <w:rPr>
                <w:sz w:val="20"/>
                <w:szCs w:val="20"/>
                <w:lang w:val="en-AU"/>
              </w:rPr>
              <w:t>Core</w:t>
            </w:r>
          </w:p>
        </w:tc>
      </w:tr>
      <w:tr w:rsidR="0059608E" w:rsidRPr="00C11BBA" w14:paraId="2F56D87B" w14:textId="77777777" w:rsidTr="006130D4">
        <w:trPr>
          <w:trHeight w:val="258"/>
        </w:trPr>
        <w:tc>
          <w:tcPr>
            <w:tcW w:w="2048" w:type="pct"/>
            <w:shd w:val="clear" w:color="auto" w:fill="B6DDE8" w:themeFill="accent5" w:themeFillTint="66"/>
          </w:tcPr>
          <w:p w14:paraId="60371B17" w14:textId="77777777" w:rsidR="0059608E" w:rsidRPr="0000155E" w:rsidRDefault="0059608E" w:rsidP="006130D4">
            <w:pPr>
              <w:tabs>
                <w:tab w:val="left" w:pos="1660"/>
              </w:tabs>
              <w:rPr>
                <w:b/>
                <w:sz w:val="20"/>
                <w:szCs w:val="20"/>
                <w:lang w:val="en-AU"/>
              </w:rPr>
            </w:pPr>
            <w:r w:rsidRPr="0000155E">
              <w:rPr>
                <w:b/>
                <w:sz w:val="20"/>
                <w:szCs w:val="20"/>
                <w:lang w:val="en-AU"/>
              </w:rPr>
              <w:t>Invertebrates</w:t>
            </w:r>
          </w:p>
        </w:tc>
        <w:tc>
          <w:tcPr>
            <w:tcW w:w="1354" w:type="pct"/>
          </w:tcPr>
          <w:p w14:paraId="3D1728D5" w14:textId="77777777" w:rsidR="0059608E" w:rsidRPr="0000155E" w:rsidRDefault="0059608E" w:rsidP="006130D4">
            <w:pPr>
              <w:tabs>
                <w:tab w:val="left" w:pos="1660"/>
              </w:tabs>
              <w:rPr>
                <w:sz w:val="20"/>
                <w:szCs w:val="20"/>
                <w:lang w:val="en-AU"/>
              </w:rPr>
            </w:pPr>
          </w:p>
        </w:tc>
        <w:tc>
          <w:tcPr>
            <w:tcW w:w="919" w:type="pct"/>
          </w:tcPr>
          <w:p w14:paraId="3C86474D" w14:textId="77777777" w:rsidR="0059608E" w:rsidRPr="0000155E" w:rsidRDefault="0059608E" w:rsidP="006130D4">
            <w:pPr>
              <w:tabs>
                <w:tab w:val="left" w:pos="1660"/>
              </w:tabs>
              <w:rPr>
                <w:sz w:val="20"/>
                <w:szCs w:val="20"/>
                <w:lang w:val="en-AU"/>
              </w:rPr>
            </w:pPr>
          </w:p>
        </w:tc>
        <w:tc>
          <w:tcPr>
            <w:tcW w:w="679" w:type="pct"/>
          </w:tcPr>
          <w:p w14:paraId="066A193C" w14:textId="77777777" w:rsidR="0059608E" w:rsidRPr="0000155E" w:rsidRDefault="0059608E" w:rsidP="006130D4">
            <w:pPr>
              <w:tabs>
                <w:tab w:val="left" w:pos="1660"/>
              </w:tabs>
              <w:rPr>
                <w:sz w:val="20"/>
                <w:szCs w:val="20"/>
                <w:lang w:val="en-AU"/>
              </w:rPr>
            </w:pPr>
          </w:p>
        </w:tc>
      </w:tr>
      <w:tr w:rsidR="0059608E" w:rsidRPr="00C11BBA" w14:paraId="1C220F56" w14:textId="77777777" w:rsidTr="006130D4">
        <w:trPr>
          <w:trHeight w:val="258"/>
        </w:trPr>
        <w:tc>
          <w:tcPr>
            <w:tcW w:w="2048" w:type="pct"/>
          </w:tcPr>
          <w:p w14:paraId="31BBBDAD" w14:textId="77777777" w:rsidR="0059608E" w:rsidRPr="0000155E" w:rsidRDefault="0059608E" w:rsidP="006130D4">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99% active constituent; static</w:t>
            </w:r>
          </w:p>
        </w:tc>
        <w:tc>
          <w:tcPr>
            <w:tcW w:w="1354" w:type="pct"/>
          </w:tcPr>
          <w:p w14:paraId="0A686B45" w14:textId="77777777" w:rsidR="0059608E" w:rsidRPr="0000155E" w:rsidRDefault="0059608E" w:rsidP="006130D4">
            <w:pPr>
              <w:tabs>
                <w:tab w:val="left" w:pos="1660"/>
              </w:tabs>
              <w:rPr>
                <w:sz w:val="20"/>
                <w:szCs w:val="20"/>
                <w:lang w:val="en-AU"/>
              </w:rPr>
            </w:pPr>
            <w:r w:rsidRPr="0000155E">
              <w:rPr>
                <w:sz w:val="20"/>
                <w:szCs w:val="20"/>
                <w:lang w:val="en-AU"/>
              </w:rPr>
              <w:t>LC50 = 110</w:t>
            </w:r>
          </w:p>
          <w:p w14:paraId="62E7EC3D" w14:textId="77777777" w:rsidR="0059608E" w:rsidRPr="0000155E" w:rsidRDefault="0059608E" w:rsidP="006130D4">
            <w:pPr>
              <w:tabs>
                <w:tab w:val="left" w:pos="1660"/>
              </w:tabs>
              <w:rPr>
                <w:sz w:val="20"/>
                <w:szCs w:val="20"/>
                <w:lang w:val="en-AU"/>
              </w:rPr>
            </w:pPr>
            <w:r w:rsidRPr="0000155E">
              <w:rPr>
                <w:sz w:val="20"/>
                <w:szCs w:val="20"/>
                <w:lang w:val="en-AU"/>
              </w:rPr>
              <w:t>96h, acute</w:t>
            </w:r>
          </w:p>
          <w:p w14:paraId="765EC682" w14:textId="77777777" w:rsidR="0059608E" w:rsidRPr="0000155E" w:rsidRDefault="0059608E" w:rsidP="006130D4">
            <w:pPr>
              <w:tabs>
                <w:tab w:val="left" w:pos="1660"/>
              </w:tabs>
              <w:rPr>
                <w:sz w:val="20"/>
                <w:szCs w:val="20"/>
                <w:lang w:val="en-AU"/>
              </w:rPr>
            </w:pPr>
            <w:r w:rsidRPr="0000155E">
              <w:rPr>
                <w:sz w:val="20"/>
                <w:szCs w:val="20"/>
                <w:lang w:val="en-AU"/>
              </w:rPr>
              <w:t>NOEC = 1000</w:t>
            </w:r>
          </w:p>
        </w:tc>
        <w:tc>
          <w:tcPr>
            <w:tcW w:w="919" w:type="pct"/>
          </w:tcPr>
          <w:p w14:paraId="2CF26E13" w14:textId="77777777" w:rsidR="0059608E" w:rsidRPr="0000155E" w:rsidRDefault="0059608E" w:rsidP="006130D4">
            <w:pPr>
              <w:tabs>
                <w:tab w:val="left" w:pos="1660"/>
              </w:tabs>
              <w:rPr>
                <w:sz w:val="20"/>
                <w:szCs w:val="20"/>
                <w:lang w:val="en-AU"/>
              </w:rPr>
            </w:pPr>
            <w:r w:rsidRPr="0000155E">
              <w:rPr>
                <w:sz w:val="20"/>
                <w:szCs w:val="20"/>
                <w:lang w:val="en-AU"/>
              </w:rPr>
              <w:t>1987</w:t>
            </w:r>
          </w:p>
        </w:tc>
        <w:tc>
          <w:tcPr>
            <w:tcW w:w="679" w:type="pct"/>
          </w:tcPr>
          <w:p w14:paraId="6B75AAB0" w14:textId="77777777" w:rsidR="0059608E" w:rsidRPr="0000155E" w:rsidRDefault="0059608E" w:rsidP="006130D4">
            <w:pPr>
              <w:tabs>
                <w:tab w:val="left" w:pos="1660"/>
              </w:tabs>
              <w:rPr>
                <w:sz w:val="20"/>
                <w:szCs w:val="20"/>
                <w:lang w:val="en-AU"/>
              </w:rPr>
            </w:pPr>
            <w:r w:rsidRPr="0000155E">
              <w:rPr>
                <w:sz w:val="20"/>
                <w:szCs w:val="20"/>
                <w:lang w:val="en-AU"/>
              </w:rPr>
              <w:t>Core</w:t>
            </w:r>
          </w:p>
        </w:tc>
      </w:tr>
      <w:tr w:rsidR="0059608E" w:rsidRPr="00C11BBA" w14:paraId="6EE78AA8" w14:textId="77777777" w:rsidTr="006130D4">
        <w:trPr>
          <w:trHeight w:val="258"/>
        </w:trPr>
        <w:tc>
          <w:tcPr>
            <w:tcW w:w="2048" w:type="pct"/>
          </w:tcPr>
          <w:p w14:paraId="61B31136" w14:textId="77777777" w:rsidR="0059608E" w:rsidRPr="0000155E" w:rsidRDefault="0059608E" w:rsidP="006130D4">
            <w:pPr>
              <w:tabs>
                <w:tab w:val="left" w:pos="1660"/>
              </w:tabs>
              <w:rPr>
                <w:sz w:val="20"/>
                <w:szCs w:val="20"/>
                <w:lang w:val="en-AU"/>
              </w:rPr>
            </w:pPr>
            <w:r w:rsidRPr="0000155E">
              <w:rPr>
                <w:i/>
                <w:sz w:val="20"/>
                <w:szCs w:val="20"/>
                <w:lang w:val="en-AU"/>
              </w:rPr>
              <w:t xml:space="preserve">M. bahia </w:t>
            </w:r>
            <w:r w:rsidRPr="0000155E">
              <w:rPr>
                <w:sz w:val="20"/>
                <w:szCs w:val="20"/>
                <w:lang w:val="en-AU"/>
              </w:rPr>
              <w:t>(Mysid shrimp) 96.8% active constituent; early life stage; static</w:t>
            </w:r>
          </w:p>
        </w:tc>
        <w:tc>
          <w:tcPr>
            <w:tcW w:w="1354" w:type="pct"/>
          </w:tcPr>
          <w:p w14:paraId="2DA81C96" w14:textId="77777777" w:rsidR="0059608E" w:rsidRPr="0000155E" w:rsidRDefault="0059608E" w:rsidP="006130D4">
            <w:pPr>
              <w:tabs>
                <w:tab w:val="left" w:pos="1660"/>
              </w:tabs>
              <w:rPr>
                <w:sz w:val="20"/>
                <w:szCs w:val="20"/>
                <w:lang w:val="en-AU"/>
              </w:rPr>
            </w:pPr>
            <w:r w:rsidRPr="0000155E">
              <w:rPr>
                <w:sz w:val="20"/>
                <w:szCs w:val="20"/>
                <w:lang w:val="en-AU"/>
              </w:rPr>
              <w:t>28d LOEC = 110</w:t>
            </w:r>
          </w:p>
          <w:p w14:paraId="255D6369" w14:textId="77777777" w:rsidR="0059608E" w:rsidRPr="0000155E" w:rsidRDefault="0059608E" w:rsidP="006130D4">
            <w:pPr>
              <w:tabs>
                <w:tab w:val="left" w:pos="1660"/>
              </w:tabs>
              <w:rPr>
                <w:sz w:val="20"/>
                <w:szCs w:val="20"/>
                <w:lang w:val="en-AU"/>
              </w:rPr>
            </w:pPr>
            <w:r w:rsidRPr="0000155E">
              <w:rPr>
                <w:sz w:val="20"/>
                <w:szCs w:val="20"/>
                <w:lang w:val="en-AU"/>
              </w:rPr>
              <w:t>560</w:t>
            </w:r>
          </w:p>
          <w:p w14:paraId="0ABB8079" w14:textId="77777777" w:rsidR="0059608E" w:rsidRPr="0000155E" w:rsidRDefault="0059608E" w:rsidP="006130D4">
            <w:pPr>
              <w:tabs>
                <w:tab w:val="left" w:pos="1660"/>
              </w:tabs>
              <w:rPr>
                <w:sz w:val="20"/>
                <w:szCs w:val="20"/>
                <w:lang w:val="en-AU"/>
              </w:rPr>
            </w:pPr>
            <w:r w:rsidRPr="0000155E">
              <w:rPr>
                <w:sz w:val="20"/>
                <w:szCs w:val="20"/>
                <w:lang w:val="en-AU"/>
              </w:rPr>
              <w:t>NOEC = 270</w:t>
            </w:r>
          </w:p>
        </w:tc>
        <w:tc>
          <w:tcPr>
            <w:tcW w:w="919" w:type="pct"/>
          </w:tcPr>
          <w:p w14:paraId="563C66D1" w14:textId="77777777" w:rsidR="0059608E" w:rsidRPr="0000155E" w:rsidRDefault="0059608E" w:rsidP="006130D4">
            <w:pPr>
              <w:tabs>
                <w:tab w:val="left" w:pos="1660"/>
              </w:tabs>
              <w:rPr>
                <w:sz w:val="20"/>
                <w:szCs w:val="20"/>
                <w:lang w:val="en-AU"/>
              </w:rPr>
            </w:pPr>
            <w:r w:rsidRPr="0000155E">
              <w:rPr>
                <w:sz w:val="20"/>
                <w:szCs w:val="20"/>
                <w:lang w:val="en-AU"/>
              </w:rPr>
              <w:t>1992</w:t>
            </w:r>
          </w:p>
        </w:tc>
        <w:tc>
          <w:tcPr>
            <w:tcW w:w="679" w:type="pct"/>
          </w:tcPr>
          <w:p w14:paraId="664136FE" w14:textId="77777777" w:rsidR="0059608E" w:rsidRPr="0000155E" w:rsidRDefault="0059608E" w:rsidP="006130D4">
            <w:pPr>
              <w:tabs>
                <w:tab w:val="left" w:pos="1660"/>
              </w:tabs>
              <w:rPr>
                <w:sz w:val="20"/>
                <w:szCs w:val="20"/>
                <w:lang w:val="en-AU"/>
              </w:rPr>
            </w:pPr>
            <w:r w:rsidRPr="0000155E">
              <w:rPr>
                <w:sz w:val="20"/>
                <w:szCs w:val="20"/>
                <w:lang w:val="en-AU"/>
              </w:rPr>
              <w:t>Core</w:t>
            </w:r>
          </w:p>
        </w:tc>
      </w:tr>
      <w:tr w:rsidR="0059608E" w:rsidRPr="00C11BBA" w14:paraId="4AD96854" w14:textId="77777777" w:rsidTr="006130D4">
        <w:trPr>
          <w:trHeight w:val="258"/>
        </w:trPr>
        <w:tc>
          <w:tcPr>
            <w:tcW w:w="2048" w:type="pct"/>
          </w:tcPr>
          <w:p w14:paraId="43BF4DCF" w14:textId="77777777" w:rsidR="0059608E" w:rsidRPr="0000155E" w:rsidRDefault="0059608E" w:rsidP="006130D4">
            <w:pPr>
              <w:tabs>
                <w:tab w:val="left" w:pos="1660"/>
              </w:tabs>
              <w:rPr>
                <w:sz w:val="20"/>
                <w:szCs w:val="20"/>
                <w:lang w:val="en-AU"/>
              </w:rPr>
            </w:pPr>
            <w:r w:rsidRPr="0000155E">
              <w:rPr>
                <w:i/>
                <w:sz w:val="20"/>
                <w:szCs w:val="20"/>
                <w:lang w:val="en-AU"/>
              </w:rPr>
              <w:t xml:space="preserve">P. aztecus </w:t>
            </w:r>
            <w:r w:rsidRPr="0000155E">
              <w:rPr>
                <w:sz w:val="20"/>
                <w:szCs w:val="20"/>
                <w:lang w:val="en-AU"/>
              </w:rPr>
              <w:t>(Brown shrimp) 95% active constituent; flow through</w:t>
            </w:r>
          </w:p>
        </w:tc>
        <w:tc>
          <w:tcPr>
            <w:tcW w:w="1354" w:type="pct"/>
          </w:tcPr>
          <w:p w14:paraId="1D18E4EE" w14:textId="77777777" w:rsidR="0059608E" w:rsidRPr="0000155E" w:rsidRDefault="0059608E" w:rsidP="006130D4">
            <w:pPr>
              <w:tabs>
                <w:tab w:val="left" w:pos="1660"/>
              </w:tabs>
              <w:rPr>
                <w:sz w:val="20"/>
                <w:szCs w:val="20"/>
                <w:lang w:val="en-AU"/>
              </w:rPr>
            </w:pPr>
            <w:r w:rsidRPr="0000155E">
              <w:rPr>
                <w:sz w:val="20"/>
                <w:szCs w:val="20"/>
                <w:lang w:val="en-AU"/>
              </w:rPr>
              <w:t>LC50 = 1000</w:t>
            </w:r>
          </w:p>
          <w:p w14:paraId="5F13330F" w14:textId="77777777" w:rsidR="0059608E" w:rsidRPr="0000155E" w:rsidRDefault="0059608E" w:rsidP="006130D4">
            <w:pPr>
              <w:tabs>
                <w:tab w:val="left" w:pos="1660"/>
              </w:tabs>
              <w:rPr>
                <w:sz w:val="20"/>
                <w:szCs w:val="20"/>
                <w:lang w:val="en-AU"/>
              </w:rPr>
            </w:pPr>
            <w:r w:rsidRPr="0000155E">
              <w:rPr>
                <w:sz w:val="20"/>
                <w:szCs w:val="20"/>
                <w:lang w:val="en-AU"/>
              </w:rPr>
              <w:t>48h acute</w:t>
            </w:r>
          </w:p>
        </w:tc>
        <w:tc>
          <w:tcPr>
            <w:tcW w:w="919" w:type="pct"/>
          </w:tcPr>
          <w:p w14:paraId="7E9AB3EA"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0FF526AD"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04B23743" w14:textId="77777777" w:rsidTr="006130D4">
        <w:trPr>
          <w:trHeight w:val="258"/>
        </w:trPr>
        <w:tc>
          <w:tcPr>
            <w:tcW w:w="2048" w:type="pct"/>
          </w:tcPr>
          <w:p w14:paraId="1184422C" w14:textId="77777777" w:rsidR="0059608E" w:rsidRPr="0000155E" w:rsidRDefault="0059608E" w:rsidP="006130D4">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14:paraId="19EB5BCB" w14:textId="77777777" w:rsidR="0059608E" w:rsidRPr="0000155E" w:rsidRDefault="0059608E" w:rsidP="006130D4">
            <w:pPr>
              <w:tabs>
                <w:tab w:val="left" w:pos="1660"/>
              </w:tabs>
              <w:rPr>
                <w:sz w:val="20"/>
                <w:szCs w:val="20"/>
                <w:lang w:val="en-AU"/>
              </w:rPr>
            </w:pPr>
            <w:r w:rsidRPr="0000155E">
              <w:rPr>
                <w:sz w:val="20"/>
                <w:szCs w:val="20"/>
                <w:lang w:val="en-AU"/>
              </w:rPr>
              <w:t>EC50 = 4800</w:t>
            </w:r>
          </w:p>
          <w:p w14:paraId="752D2AFF" w14:textId="77777777" w:rsidR="0059608E" w:rsidRPr="0000155E" w:rsidRDefault="0059608E" w:rsidP="006130D4">
            <w:pPr>
              <w:tabs>
                <w:tab w:val="left" w:pos="1660"/>
              </w:tabs>
              <w:rPr>
                <w:sz w:val="20"/>
                <w:szCs w:val="20"/>
                <w:lang w:val="en-AU"/>
              </w:rPr>
            </w:pPr>
            <w:r w:rsidRPr="0000155E">
              <w:rPr>
                <w:sz w:val="20"/>
                <w:szCs w:val="20"/>
                <w:lang w:val="en-AU"/>
              </w:rPr>
              <w:t>96h, acute</w:t>
            </w:r>
          </w:p>
          <w:p w14:paraId="60D777F0" w14:textId="77777777" w:rsidR="0059608E" w:rsidRPr="0000155E" w:rsidRDefault="0059608E" w:rsidP="006130D4">
            <w:pPr>
              <w:tabs>
                <w:tab w:val="left" w:pos="1660"/>
              </w:tabs>
              <w:rPr>
                <w:sz w:val="20"/>
                <w:szCs w:val="20"/>
                <w:lang w:val="en-AU"/>
              </w:rPr>
            </w:pPr>
            <w:r w:rsidRPr="0000155E">
              <w:rPr>
                <w:sz w:val="20"/>
                <w:szCs w:val="20"/>
                <w:lang w:val="en-AU"/>
              </w:rPr>
              <w:t>NOEC = 2400</w:t>
            </w:r>
          </w:p>
        </w:tc>
        <w:tc>
          <w:tcPr>
            <w:tcW w:w="919" w:type="pct"/>
          </w:tcPr>
          <w:p w14:paraId="45212367" w14:textId="77777777" w:rsidR="0059608E" w:rsidRPr="0000155E" w:rsidRDefault="0059608E" w:rsidP="006130D4">
            <w:pPr>
              <w:tabs>
                <w:tab w:val="left" w:pos="1660"/>
              </w:tabs>
              <w:rPr>
                <w:sz w:val="20"/>
                <w:szCs w:val="20"/>
                <w:lang w:val="en-AU"/>
              </w:rPr>
            </w:pPr>
            <w:r w:rsidRPr="0000155E">
              <w:rPr>
                <w:sz w:val="20"/>
                <w:szCs w:val="20"/>
                <w:lang w:val="en-AU"/>
              </w:rPr>
              <w:t>1991</w:t>
            </w:r>
          </w:p>
        </w:tc>
        <w:tc>
          <w:tcPr>
            <w:tcW w:w="679" w:type="pct"/>
          </w:tcPr>
          <w:p w14:paraId="235811DE" w14:textId="77777777" w:rsidR="0059608E" w:rsidRPr="0000155E" w:rsidRDefault="0059608E" w:rsidP="006130D4">
            <w:pPr>
              <w:tabs>
                <w:tab w:val="left" w:pos="1660"/>
              </w:tabs>
              <w:rPr>
                <w:sz w:val="20"/>
                <w:szCs w:val="20"/>
                <w:lang w:val="en-AU"/>
              </w:rPr>
            </w:pPr>
            <w:r w:rsidRPr="0000155E">
              <w:rPr>
                <w:sz w:val="20"/>
                <w:szCs w:val="20"/>
                <w:lang w:val="en-AU"/>
              </w:rPr>
              <w:t>Core</w:t>
            </w:r>
          </w:p>
        </w:tc>
      </w:tr>
      <w:tr w:rsidR="0059608E" w:rsidRPr="00C11BBA" w14:paraId="02A04DC1" w14:textId="77777777" w:rsidTr="006130D4">
        <w:trPr>
          <w:trHeight w:val="258"/>
        </w:trPr>
        <w:tc>
          <w:tcPr>
            <w:tcW w:w="2048" w:type="pct"/>
          </w:tcPr>
          <w:p w14:paraId="43FEAF00" w14:textId="77777777" w:rsidR="0059608E" w:rsidRPr="0000155E" w:rsidRDefault="0059608E" w:rsidP="006130D4">
            <w:pPr>
              <w:tabs>
                <w:tab w:val="left" w:pos="1660"/>
              </w:tabs>
              <w:rPr>
                <w:sz w:val="20"/>
                <w:szCs w:val="20"/>
                <w:lang w:val="en-AU"/>
              </w:rPr>
            </w:pPr>
            <w:r w:rsidRPr="0000155E">
              <w:rPr>
                <w:i/>
                <w:sz w:val="20"/>
                <w:szCs w:val="20"/>
                <w:lang w:val="en-AU"/>
              </w:rPr>
              <w:t xml:space="preserve">C. virginica </w:t>
            </w:r>
            <w:r w:rsidRPr="0000155E">
              <w:rPr>
                <w:sz w:val="20"/>
                <w:szCs w:val="20"/>
                <w:lang w:val="en-AU"/>
              </w:rPr>
              <w:t>(Eastern oyster) 96.8% active constituent; flow through</w:t>
            </w:r>
          </w:p>
        </w:tc>
        <w:tc>
          <w:tcPr>
            <w:tcW w:w="1354" w:type="pct"/>
          </w:tcPr>
          <w:p w14:paraId="1C8C6C8B" w14:textId="77777777" w:rsidR="0059608E" w:rsidRPr="0000155E" w:rsidRDefault="0059608E" w:rsidP="006130D4">
            <w:pPr>
              <w:tabs>
                <w:tab w:val="left" w:pos="1660"/>
              </w:tabs>
              <w:rPr>
                <w:sz w:val="20"/>
                <w:szCs w:val="20"/>
                <w:lang w:val="en-AU"/>
              </w:rPr>
            </w:pPr>
            <w:r w:rsidRPr="0000155E">
              <w:rPr>
                <w:sz w:val="20"/>
                <w:szCs w:val="20"/>
                <w:lang w:val="en-AU"/>
              </w:rPr>
              <w:t>EC50 = 3200</w:t>
            </w:r>
          </w:p>
          <w:p w14:paraId="522CC64B" w14:textId="77777777" w:rsidR="0059608E" w:rsidRPr="0000155E" w:rsidRDefault="0059608E" w:rsidP="006130D4">
            <w:pPr>
              <w:tabs>
                <w:tab w:val="left" w:pos="1660"/>
              </w:tabs>
              <w:rPr>
                <w:sz w:val="20"/>
                <w:szCs w:val="20"/>
                <w:lang w:val="en-AU"/>
              </w:rPr>
            </w:pPr>
            <w:r w:rsidRPr="0000155E">
              <w:rPr>
                <w:sz w:val="20"/>
                <w:szCs w:val="20"/>
                <w:lang w:val="en-AU"/>
              </w:rPr>
              <w:t>96h acute</w:t>
            </w:r>
          </w:p>
        </w:tc>
        <w:tc>
          <w:tcPr>
            <w:tcW w:w="919" w:type="pct"/>
          </w:tcPr>
          <w:p w14:paraId="1AC0151F"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55F712FD" w14:textId="77777777" w:rsidR="0059608E" w:rsidRPr="0000155E" w:rsidRDefault="0059608E" w:rsidP="006130D4">
            <w:pPr>
              <w:tabs>
                <w:tab w:val="left" w:pos="1660"/>
              </w:tabs>
              <w:rPr>
                <w:sz w:val="20"/>
                <w:szCs w:val="20"/>
                <w:lang w:val="en-AU"/>
              </w:rPr>
            </w:pPr>
            <w:r w:rsidRPr="0000155E">
              <w:rPr>
                <w:sz w:val="20"/>
                <w:szCs w:val="20"/>
                <w:lang w:val="en-AU"/>
              </w:rPr>
              <w:t>Core</w:t>
            </w:r>
          </w:p>
        </w:tc>
      </w:tr>
      <w:tr w:rsidR="0059608E" w:rsidRPr="00C11BBA" w14:paraId="5BCDF7B0" w14:textId="77777777" w:rsidTr="006130D4">
        <w:trPr>
          <w:trHeight w:val="258"/>
        </w:trPr>
        <w:tc>
          <w:tcPr>
            <w:tcW w:w="2048" w:type="pct"/>
            <w:shd w:val="clear" w:color="auto" w:fill="B6DDE8" w:themeFill="accent5" w:themeFillTint="66"/>
          </w:tcPr>
          <w:p w14:paraId="5AD3906C" w14:textId="77777777" w:rsidR="0059608E" w:rsidRPr="0000155E" w:rsidRDefault="0059608E" w:rsidP="006130D4">
            <w:pPr>
              <w:tabs>
                <w:tab w:val="left" w:pos="1660"/>
              </w:tabs>
              <w:rPr>
                <w:b/>
                <w:sz w:val="20"/>
                <w:szCs w:val="20"/>
                <w:lang w:val="en-AU"/>
              </w:rPr>
            </w:pPr>
            <w:r w:rsidRPr="0000155E">
              <w:rPr>
                <w:b/>
                <w:sz w:val="20"/>
                <w:szCs w:val="20"/>
                <w:lang w:val="en-AU"/>
              </w:rPr>
              <w:t>Algae</w:t>
            </w:r>
          </w:p>
        </w:tc>
        <w:tc>
          <w:tcPr>
            <w:tcW w:w="1354" w:type="pct"/>
          </w:tcPr>
          <w:p w14:paraId="015858A1" w14:textId="77777777" w:rsidR="0059608E" w:rsidRPr="0000155E" w:rsidRDefault="0059608E" w:rsidP="006130D4">
            <w:pPr>
              <w:tabs>
                <w:tab w:val="left" w:pos="1660"/>
              </w:tabs>
              <w:rPr>
                <w:sz w:val="20"/>
                <w:szCs w:val="20"/>
                <w:lang w:val="en-AU"/>
              </w:rPr>
            </w:pPr>
          </w:p>
        </w:tc>
        <w:tc>
          <w:tcPr>
            <w:tcW w:w="919" w:type="pct"/>
          </w:tcPr>
          <w:p w14:paraId="354CD75B" w14:textId="77777777" w:rsidR="0059608E" w:rsidRPr="0000155E" w:rsidRDefault="0059608E" w:rsidP="006130D4">
            <w:pPr>
              <w:tabs>
                <w:tab w:val="left" w:pos="1660"/>
              </w:tabs>
              <w:rPr>
                <w:sz w:val="20"/>
                <w:szCs w:val="20"/>
                <w:lang w:val="en-AU"/>
              </w:rPr>
            </w:pPr>
          </w:p>
        </w:tc>
        <w:tc>
          <w:tcPr>
            <w:tcW w:w="679" w:type="pct"/>
          </w:tcPr>
          <w:p w14:paraId="5FEE80BF" w14:textId="77777777" w:rsidR="0059608E" w:rsidRPr="0000155E" w:rsidRDefault="0059608E" w:rsidP="006130D4">
            <w:pPr>
              <w:tabs>
                <w:tab w:val="left" w:pos="1660"/>
              </w:tabs>
              <w:rPr>
                <w:sz w:val="20"/>
                <w:szCs w:val="20"/>
                <w:lang w:val="en-AU"/>
              </w:rPr>
            </w:pPr>
          </w:p>
        </w:tc>
      </w:tr>
      <w:tr w:rsidR="0059608E" w:rsidRPr="00C11BBA" w14:paraId="799B3D31" w14:textId="77777777" w:rsidTr="006130D4">
        <w:trPr>
          <w:trHeight w:val="258"/>
        </w:trPr>
        <w:tc>
          <w:tcPr>
            <w:tcW w:w="2048" w:type="pct"/>
          </w:tcPr>
          <w:p w14:paraId="07A40A6F" w14:textId="77777777" w:rsidR="0059608E" w:rsidRPr="0000155E" w:rsidRDefault="0059608E" w:rsidP="006130D4">
            <w:pPr>
              <w:tabs>
                <w:tab w:val="left" w:pos="1660"/>
              </w:tabs>
              <w:rPr>
                <w:sz w:val="20"/>
                <w:szCs w:val="20"/>
                <w:lang w:val="en-AU"/>
              </w:rPr>
            </w:pPr>
            <w:r w:rsidRPr="0000155E">
              <w:rPr>
                <w:i/>
                <w:sz w:val="20"/>
                <w:szCs w:val="20"/>
                <w:lang w:val="en-AU"/>
              </w:rPr>
              <w:t>D. tertiolecta</w:t>
            </w:r>
            <w:r w:rsidRPr="0000155E">
              <w:rPr>
                <w:sz w:val="20"/>
                <w:szCs w:val="20"/>
                <w:lang w:val="en-AU"/>
              </w:rPr>
              <w:t xml:space="preserve"> 95% active constituent; static</w:t>
            </w:r>
          </w:p>
        </w:tc>
        <w:tc>
          <w:tcPr>
            <w:tcW w:w="1354" w:type="pct"/>
          </w:tcPr>
          <w:p w14:paraId="3B310297" w14:textId="77777777" w:rsidR="0059608E" w:rsidRPr="0000155E" w:rsidRDefault="0059608E" w:rsidP="006130D4">
            <w:pPr>
              <w:tabs>
                <w:tab w:val="left" w:pos="1660"/>
              </w:tabs>
              <w:rPr>
                <w:sz w:val="20"/>
                <w:szCs w:val="20"/>
                <w:lang w:val="en-AU"/>
              </w:rPr>
            </w:pPr>
            <w:r w:rsidRPr="0000155E">
              <w:rPr>
                <w:sz w:val="20"/>
                <w:szCs w:val="20"/>
                <w:lang w:val="en-AU"/>
              </w:rPr>
              <w:t>EC50 = 20</w:t>
            </w:r>
          </w:p>
          <w:p w14:paraId="623D3285" w14:textId="77777777" w:rsidR="0059608E" w:rsidRPr="0000155E" w:rsidRDefault="0059608E" w:rsidP="006130D4">
            <w:pPr>
              <w:tabs>
                <w:tab w:val="left" w:pos="1660"/>
              </w:tabs>
              <w:rPr>
                <w:sz w:val="20"/>
                <w:szCs w:val="20"/>
                <w:lang w:val="en-AU"/>
              </w:rPr>
            </w:pPr>
            <w:r w:rsidRPr="0000155E">
              <w:rPr>
                <w:sz w:val="20"/>
                <w:szCs w:val="20"/>
                <w:lang w:val="en-AU"/>
              </w:rPr>
              <w:t>240h chronic</w:t>
            </w:r>
          </w:p>
        </w:tc>
        <w:tc>
          <w:tcPr>
            <w:tcW w:w="919" w:type="pct"/>
          </w:tcPr>
          <w:p w14:paraId="60C80616"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749E57CD"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2791B015" w14:textId="77777777" w:rsidTr="006130D4">
        <w:trPr>
          <w:trHeight w:val="258"/>
        </w:trPr>
        <w:tc>
          <w:tcPr>
            <w:tcW w:w="2048" w:type="pct"/>
          </w:tcPr>
          <w:p w14:paraId="53878C64" w14:textId="77777777" w:rsidR="0059608E" w:rsidRPr="0000155E" w:rsidRDefault="0059608E" w:rsidP="006130D4">
            <w:pPr>
              <w:tabs>
                <w:tab w:val="left" w:pos="1660"/>
              </w:tabs>
              <w:rPr>
                <w:sz w:val="20"/>
                <w:szCs w:val="20"/>
                <w:lang w:val="en-AU"/>
              </w:rPr>
            </w:pPr>
            <w:r w:rsidRPr="0000155E">
              <w:rPr>
                <w:i/>
                <w:sz w:val="20"/>
                <w:szCs w:val="20"/>
                <w:lang w:val="en-AU"/>
              </w:rPr>
              <w:t xml:space="preserve">Platmonas sp </w:t>
            </w:r>
            <w:r w:rsidRPr="0000155E">
              <w:rPr>
                <w:sz w:val="20"/>
                <w:szCs w:val="20"/>
                <w:lang w:val="en-AU"/>
              </w:rPr>
              <w:t>95% active constituent; static</w:t>
            </w:r>
          </w:p>
        </w:tc>
        <w:tc>
          <w:tcPr>
            <w:tcW w:w="1354" w:type="pct"/>
          </w:tcPr>
          <w:p w14:paraId="1221C175" w14:textId="77777777" w:rsidR="0059608E" w:rsidRPr="0000155E" w:rsidRDefault="0059608E" w:rsidP="006130D4">
            <w:pPr>
              <w:tabs>
                <w:tab w:val="left" w:pos="1660"/>
              </w:tabs>
              <w:rPr>
                <w:sz w:val="20"/>
                <w:szCs w:val="20"/>
                <w:lang w:val="en-AU"/>
              </w:rPr>
            </w:pPr>
            <w:r w:rsidRPr="0000155E">
              <w:rPr>
                <w:sz w:val="20"/>
                <w:szCs w:val="20"/>
                <w:lang w:val="en-AU"/>
              </w:rPr>
              <w:t>EC50 = 17</w:t>
            </w:r>
          </w:p>
          <w:p w14:paraId="340752E9"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18049155"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024837CF"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7EE96301" w14:textId="77777777" w:rsidTr="006130D4">
        <w:trPr>
          <w:trHeight w:val="258"/>
        </w:trPr>
        <w:tc>
          <w:tcPr>
            <w:tcW w:w="2048" w:type="pct"/>
          </w:tcPr>
          <w:p w14:paraId="1B1CCBBB" w14:textId="77777777" w:rsidR="0059608E" w:rsidRPr="0000155E" w:rsidRDefault="0059608E" w:rsidP="006130D4">
            <w:pPr>
              <w:tabs>
                <w:tab w:val="left" w:pos="1660"/>
              </w:tabs>
              <w:rPr>
                <w:sz w:val="20"/>
                <w:szCs w:val="20"/>
                <w:lang w:val="en-AU"/>
              </w:rPr>
            </w:pPr>
            <w:r w:rsidRPr="0000155E">
              <w:rPr>
                <w:i/>
                <w:sz w:val="20"/>
                <w:szCs w:val="20"/>
                <w:lang w:val="en-AU"/>
              </w:rPr>
              <w:t xml:space="preserve">P. cruentum </w:t>
            </w:r>
            <w:r w:rsidRPr="0000155E">
              <w:rPr>
                <w:sz w:val="20"/>
                <w:szCs w:val="20"/>
                <w:lang w:val="en-AU"/>
              </w:rPr>
              <w:t>(red algae) 95% active constituent; static</w:t>
            </w:r>
          </w:p>
        </w:tc>
        <w:tc>
          <w:tcPr>
            <w:tcW w:w="1354" w:type="pct"/>
          </w:tcPr>
          <w:p w14:paraId="3AC094F5" w14:textId="77777777" w:rsidR="0059608E" w:rsidRPr="0000155E" w:rsidRDefault="0059608E" w:rsidP="006130D4">
            <w:pPr>
              <w:tabs>
                <w:tab w:val="left" w:pos="1660"/>
              </w:tabs>
              <w:rPr>
                <w:sz w:val="20"/>
                <w:szCs w:val="20"/>
                <w:lang w:val="en-AU"/>
              </w:rPr>
            </w:pPr>
            <w:r w:rsidRPr="0000155E">
              <w:rPr>
                <w:sz w:val="20"/>
                <w:szCs w:val="20"/>
                <w:lang w:val="en-AU"/>
              </w:rPr>
              <w:t>EC50 = 24</w:t>
            </w:r>
          </w:p>
          <w:p w14:paraId="091F548C"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11FB34A9"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6D1FFAE7"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1344A79D" w14:textId="77777777" w:rsidTr="006130D4">
        <w:trPr>
          <w:trHeight w:val="258"/>
        </w:trPr>
        <w:tc>
          <w:tcPr>
            <w:tcW w:w="2048" w:type="pct"/>
          </w:tcPr>
          <w:p w14:paraId="5A881D90" w14:textId="77777777" w:rsidR="0059608E" w:rsidRPr="0000155E" w:rsidRDefault="0059608E" w:rsidP="006130D4">
            <w:pPr>
              <w:tabs>
                <w:tab w:val="left" w:pos="1660"/>
              </w:tabs>
              <w:rPr>
                <w:sz w:val="20"/>
                <w:szCs w:val="20"/>
                <w:lang w:val="en-AU"/>
              </w:rPr>
            </w:pPr>
            <w:r w:rsidRPr="0000155E">
              <w:rPr>
                <w:i/>
                <w:sz w:val="20"/>
                <w:szCs w:val="20"/>
                <w:lang w:val="en-AU"/>
              </w:rPr>
              <w:t xml:space="preserve">M. lutheri </w:t>
            </w:r>
            <w:r w:rsidRPr="0000155E">
              <w:rPr>
                <w:sz w:val="20"/>
                <w:szCs w:val="20"/>
                <w:lang w:val="en-AU"/>
              </w:rPr>
              <w:t>95% active constituent; static</w:t>
            </w:r>
          </w:p>
        </w:tc>
        <w:tc>
          <w:tcPr>
            <w:tcW w:w="1354" w:type="pct"/>
          </w:tcPr>
          <w:p w14:paraId="32E3156C" w14:textId="77777777" w:rsidR="0059608E" w:rsidRPr="0000155E" w:rsidRDefault="0059608E" w:rsidP="006130D4">
            <w:pPr>
              <w:tabs>
                <w:tab w:val="left" w:pos="1660"/>
              </w:tabs>
              <w:rPr>
                <w:sz w:val="20"/>
                <w:szCs w:val="20"/>
                <w:lang w:val="en-AU"/>
              </w:rPr>
            </w:pPr>
            <w:r w:rsidRPr="0000155E">
              <w:rPr>
                <w:sz w:val="20"/>
                <w:szCs w:val="20"/>
                <w:lang w:val="en-AU"/>
              </w:rPr>
              <w:t>EC50 = 18</w:t>
            </w:r>
          </w:p>
          <w:p w14:paraId="4CB9B097"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0AB88154"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63461947"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29852551" w14:textId="77777777" w:rsidTr="006130D4">
        <w:trPr>
          <w:trHeight w:val="258"/>
        </w:trPr>
        <w:tc>
          <w:tcPr>
            <w:tcW w:w="2048" w:type="pct"/>
          </w:tcPr>
          <w:p w14:paraId="4BDEFE50" w14:textId="77777777" w:rsidR="0059608E" w:rsidRPr="0000155E" w:rsidRDefault="0059608E" w:rsidP="006130D4">
            <w:pPr>
              <w:tabs>
                <w:tab w:val="left" w:pos="1660"/>
              </w:tabs>
              <w:rPr>
                <w:sz w:val="20"/>
                <w:szCs w:val="20"/>
                <w:lang w:val="en-AU"/>
              </w:rPr>
            </w:pPr>
            <w:r w:rsidRPr="0000155E">
              <w:rPr>
                <w:i/>
                <w:sz w:val="20"/>
                <w:szCs w:val="20"/>
                <w:lang w:val="en-AU"/>
              </w:rPr>
              <w:t xml:space="preserve">I. galbana </w:t>
            </w:r>
            <w:r w:rsidRPr="0000155E">
              <w:rPr>
                <w:sz w:val="20"/>
                <w:szCs w:val="20"/>
                <w:lang w:val="en-AU"/>
              </w:rPr>
              <w:t>95% active constituent; static</w:t>
            </w:r>
          </w:p>
        </w:tc>
        <w:tc>
          <w:tcPr>
            <w:tcW w:w="1354" w:type="pct"/>
          </w:tcPr>
          <w:p w14:paraId="44CF1974" w14:textId="77777777" w:rsidR="0059608E" w:rsidRPr="0000155E" w:rsidRDefault="0059608E" w:rsidP="006130D4">
            <w:pPr>
              <w:tabs>
                <w:tab w:val="left" w:pos="1660"/>
              </w:tabs>
              <w:rPr>
                <w:sz w:val="20"/>
                <w:szCs w:val="20"/>
                <w:lang w:val="en-AU"/>
              </w:rPr>
            </w:pPr>
            <w:r w:rsidRPr="0000155E">
              <w:rPr>
                <w:sz w:val="20"/>
                <w:szCs w:val="20"/>
                <w:lang w:val="en-AU"/>
              </w:rPr>
              <w:t>EC50 = 10</w:t>
            </w:r>
          </w:p>
          <w:p w14:paraId="5810618A"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077AC247"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0B7BDACA"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175D457E" w14:textId="77777777" w:rsidTr="006130D4">
        <w:trPr>
          <w:trHeight w:val="258"/>
        </w:trPr>
        <w:tc>
          <w:tcPr>
            <w:tcW w:w="2048" w:type="pct"/>
            <w:shd w:val="clear" w:color="auto" w:fill="B6DDE8" w:themeFill="accent5" w:themeFillTint="66"/>
          </w:tcPr>
          <w:p w14:paraId="73F55529" w14:textId="77777777" w:rsidR="0059608E" w:rsidRPr="0000155E" w:rsidRDefault="0059608E" w:rsidP="006130D4">
            <w:pPr>
              <w:tabs>
                <w:tab w:val="left" w:pos="1660"/>
              </w:tabs>
              <w:rPr>
                <w:b/>
                <w:sz w:val="20"/>
                <w:szCs w:val="20"/>
                <w:lang w:val="en-AU"/>
              </w:rPr>
            </w:pPr>
            <w:r w:rsidRPr="0000155E">
              <w:rPr>
                <w:b/>
                <w:sz w:val="20"/>
                <w:szCs w:val="20"/>
                <w:lang w:val="en-AU"/>
              </w:rPr>
              <w:t>Marine diatoms</w:t>
            </w:r>
          </w:p>
        </w:tc>
        <w:tc>
          <w:tcPr>
            <w:tcW w:w="1354" w:type="pct"/>
          </w:tcPr>
          <w:p w14:paraId="25D103B3" w14:textId="77777777" w:rsidR="0059608E" w:rsidRPr="0000155E" w:rsidRDefault="0059608E" w:rsidP="006130D4">
            <w:pPr>
              <w:tabs>
                <w:tab w:val="left" w:pos="1660"/>
              </w:tabs>
              <w:rPr>
                <w:sz w:val="20"/>
                <w:szCs w:val="20"/>
                <w:lang w:val="en-AU"/>
              </w:rPr>
            </w:pPr>
          </w:p>
        </w:tc>
        <w:tc>
          <w:tcPr>
            <w:tcW w:w="919" w:type="pct"/>
          </w:tcPr>
          <w:p w14:paraId="5E87C2F7" w14:textId="77777777" w:rsidR="0059608E" w:rsidRPr="0000155E" w:rsidRDefault="0059608E" w:rsidP="006130D4">
            <w:pPr>
              <w:tabs>
                <w:tab w:val="left" w:pos="1660"/>
              </w:tabs>
              <w:rPr>
                <w:sz w:val="20"/>
                <w:szCs w:val="20"/>
                <w:lang w:val="en-AU"/>
              </w:rPr>
            </w:pPr>
          </w:p>
        </w:tc>
        <w:tc>
          <w:tcPr>
            <w:tcW w:w="679" w:type="pct"/>
          </w:tcPr>
          <w:p w14:paraId="194F6EE0" w14:textId="77777777" w:rsidR="0059608E" w:rsidRPr="0000155E" w:rsidRDefault="0059608E" w:rsidP="006130D4">
            <w:pPr>
              <w:tabs>
                <w:tab w:val="left" w:pos="1660"/>
              </w:tabs>
              <w:rPr>
                <w:sz w:val="20"/>
                <w:szCs w:val="20"/>
                <w:lang w:val="en-AU"/>
              </w:rPr>
            </w:pPr>
          </w:p>
        </w:tc>
      </w:tr>
      <w:tr w:rsidR="0059608E" w:rsidRPr="00C11BBA" w14:paraId="47CFCDAC" w14:textId="77777777" w:rsidTr="006130D4">
        <w:trPr>
          <w:trHeight w:val="258"/>
        </w:trPr>
        <w:tc>
          <w:tcPr>
            <w:tcW w:w="2048" w:type="pct"/>
          </w:tcPr>
          <w:p w14:paraId="703FBC80" w14:textId="77777777" w:rsidR="0059608E" w:rsidRPr="0000155E" w:rsidRDefault="0059608E" w:rsidP="006130D4">
            <w:pPr>
              <w:tabs>
                <w:tab w:val="left" w:pos="1660"/>
              </w:tabs>
              <w:rPr>
                <w:sz w:val="20"/>
                <w:szCs w:val="20"/>
                <w:lang w:val="en-AU"/>
              </w:rPr>
            </w:pPr>
            <w:r w:rsidRPr="0000155E">
              <w:rPr>
                <w:i/>
                <w:sz w:val="20"/>
                <w:szCs w:val="20"/>
                <w:lang w:val="en-AU"/>
              </w:rPr>
              <w:t>N. incerta</w:t>
            </w:r>
            <w:r w:rsidRPr="0000155E">
              <w:rPr>
                <w:sz w:val="20"/>
                <w:szCs w:val="20"/>
                <w:lang w:val="en-AU"/>
              </w:rPr>
              <w:t xml:space="preserve"> 95% active constituent; static</w:t>
            </w:r>
          </w:p>
        </w:tc>
        <w:tc>
          <w:tcPr>
            <w:tcW w:w="1354" w:type="pct"/>
          </w:tcPr>
          <w:p w14:paraId="582F7083" w14:textId="77777777" w:rsidR="0059608E" w:rsidRPr="0000155E" w:rsidRDefault="0059608E" w:rsidP="006130D4">
            <w:pPr>
              <w:tabs>
                <w:tab w:val="left" w:pos="1660"/>
              </w:tabs>
              <w:rPr>
                <w:sz w:val="20"/>
                <w:szCs w:val="20"/>
                <w:lang w:val="en-AU"/>
              </w:rPr>
            </w:pPr>
            <w:r w:rsidRPr="0000155E">
              <w:rPr>
                <w:sz w:val="20"/>
                <w:szCs w:val="20"/>
                <w:lang w:val="en-AU"/>
              </w:rPr>
              <w:t>EC50 = 93</w:t>
            </w:r>
          </w:p>
          <w:p w14:paraId="2EFC2EBA"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1B9966F2"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670F0F6E"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5F506832" w14:textId="77777777" w:rsidTr="006130D4">
        <w:trPr>
          <w:trHeight w:val="258"/>
        </w:trPr>
        <w:tc>
          <w:tcPr>
            <w:tcW w:w="2048" w:type="pct"/>
          </w:tcPr>
          <w:p w14:paraId="0A1209BE" w14:textId="77777777" w:rsidR="0059608E" w:rsidRPr="0000155E" w:rsidRDefault="0059608E" w:rsidP="006130D4">
            <w:pPr>
              <w:tabs>
                <w:tab w:val="left" w:pos="1660"/>
              </w:tabs>
              <w:rPr>
                <w:sz w:val="20"/>
                <w:szCs w:val="20"/>
                <w:lang w:val="en-AU"/>
              </w:rPr>
            </w:pPr>
            <w:r w:rsidRPr="0000155E">
              <w:rPr>
                <w:i/>
                <w:sz w:val="20"/>
                <w:szCs w:val="20"/>
                <w:lang w:val="en-AU"/>
              </w:rPr>
              <w:t xml:space="preserve">N. closterium </w:t>
            </w:r>
            <w:r w:rsidRPr="0000155E">
              <w:rPr>
                <w:sz w:val="20"/>
                <w:szCs w:val="20"/>
                <w:lang w:val="en-AU"/>
              </w:rPr>
              <w:t>95% active constituent; static</w:t>
            </w:r>
          </w:p>
        </w:tc>
        <w:tc>
          <w:tcPr>
            <w:tcW w:w="1354" w:type="pct"/>
          </w:tcPr>
          <w:p w14:paraId="710C71B9" w14:textId="77777777" w:rsidR="0059608E" w:rsidRPr="0000155E" w:rsidRDefault="0059608E" w:rsidP="006130D4">
            <w:pPr>
              <w:tabs>
                <w:tab w:val="left" w:pos="1660"/>
              </w:tabs>
              <w:rPr>
                <w:sz w:val="20"/>
                <w:szCs w:val="20"/>
                <w:lang w:val="en-AU"/>
              </w:rPr>
            </w:pPr>
            <w:r w:rsidRPr="0000155E">
              <w:rPr>
                <w:sz w:val="20"/>
                <w:szCs w:val="20"/>
                <w:lang w:val="en-AU"/>
              </w:rPr>
              <w:t>EC50 = 50</w:t>
            </w:r>
          </w:p>
          <w:p w14:paraId="0573ACCA"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41B8681F"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5A7F4394"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7C714926" w14:textId="77777777" w:rsidTr="006130D4">
        <w:trPr>
          <w:trHeight w:val="258"/>
        </w:trPr>
        <w:tc>
          <w:tcPr>
            <w:tcW w:w="2048" w:type="pct"/>
          </w:tcPr>
          <w:p w14:paraId="2ABA216E" w14:textId="77777777" w:rsidR="0059608E" w:rsidRPr="0000155E" w:rsidRDefault="0059608E" w:rsidP="006130D4">
            <w:pPr>
              <w:tabs>
                <w:tab w:val="left" w:pos="1660"/>
              </w:tabs>
              <w:rPr>
                <w:sz w:val="20"/>
                <w:szCs w:val="20"/>
                <w:lang w:val="en-AU"/>
              </w:rPr>
            </w:pPr>
            <w:r w:rsidRPr="0000155E">
              <w:rPr>
                <w:i/>
                <w:sz w:val="20"/>
                <w:szCs w:val="20"/>
                <w:lang w:val="en-AU"/>
              </w:rPr>
              <w:t xml:space="preserve">P. tricornutum </w:t>
            </w:r>
            <w:r w:rsidRPr="0000155E">
              <w:rPr>
                <w:sz w:val="20"/>
                <w:szCs w:val="20"/>
                <w:lang w:val="en-AU"/>
              </w:rPr>
              <w:t>95% active constituent; static</w:t>
            </w:r>
          </w:p>
        </w:tc>
        <w:tc>
          <w:tcPr>
            <w:tcW w:w="1354" w:type="pct"/>
          </w:tcPr>
          <w:p w14:paraId="41A13594" w14:textId="77777777" w:rsidR="0059608E" w:rsidRPr="0000155E" w:rsidRDefault="0059608E" w:rsidP="006130D4">
            <w:pPr>
              <w:tabs>
                <w:tab w:val="left" w:pos="1660"/>
              </w:tabs>
              <w:rPr>
                <w:sz w:val="20"/>
                <w:szCs w:val="20"/>
                <w:lang w:val="en-AU"/>
              </w:rPr>
            </w:pPr>
            <w:r w:rsidRPr="0000155E">
              <w:rPr>
                <w:sz w:val="20"/>
                <w:szCs w:val="20"/>
                <w:lang w:val="en-AU"/>
              </w:rPr>
              <w:t>EC50 = 10</w:t>
            </w:r>
          </w:p>
          <w:p w14:paraId="60914694" w14:textId="77777777" w:rsidR="0059608E" w:rsidRPr="0000155E" w:rsidRDefault="0059608E" w:rsidP="006130D4">
            <w:pPr>
              <w:tabs>
                <w:tab w:val="left" w:pos="1660"/>
              </w:tabs>
              <w:rPr>
                <w:sz w:val="20"/>
                <w:szCs w:val="20"/>
                <w:lang w:val="en-AU"/>
              </w:rPr>
            </w:pPr>
            <w:r w:rsidRPr="0000155E">
              <w:rPr>
                <w:sz w:val="20"/>
                <w:szCs w:val="20"/>
                <w:lang w:val="en-AU"/>
              </w:rPr>
              <w:t>240h chronic</w:t>
            </w:r>
          </w:p>
        </w:tc>
        <w:tc>
          <w:tcPr>
            <w:tcW w:w="919" w:type="pct"/>
          </w:tcPr>
          <w:p w14:paraId="404D9779"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7BB8D286"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34EC59CD" w14:textId="77777777" w:rsidTr="006130D4">
        <w:trPr>
          <w:trHeight w:val="258"/>
        </w:trPr>
        <w:tc>
          <w:tcPr>
            <w:tcW w:w="2048" w:type="pct"/>
          </w:tcPr>
          <w:p w14:paraId="21103B5B" w14:textId="77777777" w:rsidR="0059608E" w:rsidRPr="0000155E" w:rsidRDefault="0059608E" w:rsidP="006130D4">
            <w:pPr>
              <w:tabs>
                <w:tab w:val="left" w:pos="1660"/>
              </w:tabs>
              <w:rPr>
                <w:sz w:val="20"/>
                <w:szCs w:val="20"/>
                <w:lang w:val="en-AU"/>
              </w:rPr>
            </w:pPr>
            <w:r w:rsidRPr="0000155E">
              <w:rPr>
                <w:i/>
                <w:sz w:val="20"/>
                <w:szCs w:val="20"/>
                <w:lang w:val="en-AU"/>
              </w:rPr>
              <w:t xml:space="preserve">S. amphoroides </w:t>
            </w:r>
            <w:r w:rsidRPr="0000155E">
              <w:rPr>
                <w:sz w:val="20"/>
                <w:szCs w:val="20"/>
                <w:lang w:val="en-AU"/>
              </w:rPr>
              <w:t>95% active constituent; static</w:t>
            </w:r>
          </w:p>
        </w:tc>
        <w:tc>
          <w:tcPr>
            <w:tcW w:w="1354" w:type="pct"/>
          </w:tcPr>
          <w:p w14:paraId="06C1D1FA" w14:textId="77777777" w:rsidR="0059608E" w:rsidRPr="0000155E" w:rsidRDefault="0059608E" w:rsidP="006130D4">
            <w:pPr>
              <w:tabs>
                <w:tab w:val="left" w:pos="1660"/>
              </w:tabs>
              <w:rPr>
                <w:sz w:val="20"/>
                <w:szCs w:val="20"/>
                <w:lang w:val="en-AU"/>
              </w:rPr>
            </w:pPr>
            <w:r w:rsidRPr="0000155E">
              <w:rPr>
                <w:sz w:val="20"/>
                <w:szCs w:val="20"/>
                <w:lang w:val="en-AU"/>
              </w:rPr>
              <w:t>EC50 = 31</w:t>
            </w:r>
          </w:p>
          <w:p w14:paraId="54A114F9"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42AE744A"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39B020F0"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3442120C" w14:textId="77777777" w:rsidTr="006130D4">
        <w:trPr>
          <w:trHeight w:val="258"/>
        </w:trPr>
        <w:tc>
          <w:tcPr>
            <w:tcW w:w="2048" w:type="pct"/>
          </w:tcPr>
          <w:p w14:paraId="6A3DD34E" w14:textId="77777777" w:rsidR="0059608E" w:rsidRPr="0000155E" w:rsidRDefault="0059608E" w:rsidP="006130D4">
            <w:pPr>
              <w:tabs>
                <w:tab w:val="left" w:pos="1660"/>
              </w:tabs>
              <w:rPr>
                <w:i/>
                <w:sz w:val="20"/>
                <w:szCs w:val="20"/>
                <w:lang w:val="en-AU"/>
              </w:rPr>
            </w:pPr>
            <w:r w:rsidRPr="0000155E">
              <w:rPr>
                <w:i/>
                <w:sz w:val="20"/>
                <w:szCs w:val="20"/>
                <w:lang w:val="en-AU"/>
              </w:rPr>
              <w:t xml:space="preserve">T. fluviatilis </w:t>
            </w:r>
            <w:r w:rsidRPr="0000155E">
              <w:rPr>
                <w:sz w:val="20"/>
                <w:szCs w:val="20"/>
                <w:lang w:val="en-AU"/>
              </w:rPr>
              <w:t>95% active constituent; static</w:t>
            </w:r>
          </w:p>
        </w:tc>
        <w:tc>
          <w:tcPr>
            <w:tcW w:w="1354" w:type="pct"/>
          </w:tcPr>
          <w:p w14:paraId="60E03C43" w14:textId="77777777" w:rsidR="0059608E" w:rsidRPr="0000155E" w:rsidRDefault="0059608E" w:rsidP="006130D4">
            <w:pPr>
              <w:tabs>
                <w:tab w:val="left" w:pos="1660"/>
              </w:tabs>
              <w:rPr>
                <w:sz w:val="20"/>
                <w:szCs w:val="20"/>
                <w:lang w:val="en-AU"/>
              </w:rPr>
            </w:pPr>
            <w:r w:rsidRPr="0000155E">
              <w:rPr>
                <w:sz w:val="20"/>
                <w:szCs w:val="20"/>
                <w:lang w:val="en-AU"/>
              </w:rPr>
              <w:t>EC50 = 95</w:t>
            </w:r>
          </w:p>
          <w:p w14:paraId="1574C9E2"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3C719A06"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6D2EB77C"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3712E51C" w14:textId="77777777" w:rsidTr="006130D4">
        <w:trPr>
          <w:trHeight w:val="258"/>
        </w:trPr>
        <w:tc>
          <w:tcPr>
            <w:tcW w:w="2048" w:type="pct"/>
          </w:tcPr>
          <w:p w14:paraId="65BB35E4" w14:textId="77777777" w:rsidR="0059608E" w:rsidRPr="0000155E" w:rsidRDefault="0059608E" w:rsidP="006130D4">
            <w:pPr>
              <w:tabs>
                <w:tab w:val="left" w:pos="1660"/>
              </w:tabs>
              <w:rPr>
                <w:i/>
                <w:sz w:val="20"/>
                <w:szCs w:val="20"/>
                <w:lang w:val="en-AU"/>
              </w:rPr>
            </w:pPr>
            <w:r w:rsidRPr="0000155E">
              <w:rPr>
                <w:i/>
                <w:sz w:val="20"/>
                <w:szCs w:val="20"/>
                <w:lang w:val="en-AU"/>
              </w:rPr>
              <w:t xml:space="preserve">C.nana </w:t>
            </w:r>
            <w:r w:rsidRPr="0000155E">
              <w:rPr>
                <w:sz w:val="20"/>
                <w:szCs w:val="20"/>
                <w:lang w:val="en-AU"/>
              </w:rPr>
              <w:t>95% active constituent; static</w:t>
            </w:r>
          </w:p>
        </w:tc>
        <w:tc>
          <w:tcPr>
            <w:tcW w:w="1354" w:type="pct"/>
          </w:tcPr>
          <w:p w14:paraId="5A0F5C5F" w14:textId="77777777" w:rsidR="0059608E" w:rsidRPr="0000155E" w:rsidRDefault="0059608E" w:rsidP="006130D4">
            <w:pPr>
              <w:tabs>
                <w:tab w:val="left" w:pos="1660"/>
              </w:tabs>
              <w:rPr>
                <w:sz w:val="20"/>
                <w:szCs w:val="20"/>
                <w:lang w:val="en-AU"/>
              </w:rPr>
            </w:pPr>
            <w:r w:rsidRPr="0000155E">
              <w:rPr>
                <w:sz w:val="20"/>
                <w:szCs w:val="20"/>
                <w:lang w:val="en-AU"/>
              </w:rPr>
              <w:t>EC50 = 39</w:t>
            </w:r>
          </w:p>
          <w:p w14:paraId="1A577B9C"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292DD402"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5E2B1D60" w14:textId="77777777" w:rsidR="0059608E" w:rsidRPr="0000155E" w:rsidRDefault="0059608E" w:rsidP="006130D4">
            <w:pPr>
              <w:tabs>
                <w:tab w:val="left" w:pos="1660"/>
              </w:tabs>
              <w:rPr>
                <w:sz w:val="20"/>
                <w:szCs w:val="20"/>
                <w:lang w:val="en-AU"/>
              </w:rPr>
            </w:pPr>
            <w:r w:rsidRPr="0000155E">
              <w:rPr>
                <w:sz w:val="20"/>
                <w:szCs w:val="20"/>
                <w:lang w:val="en-AU"/>
              </w:rPr>
              <w:t>S</w:t>
            </w:r>
          </w:p>
        </w:tc>
      </w:tr>
      <w:tr w:rsidR="0059608E" w:rsidRPr="00C11BBA" w14:paraId="4FC8A41E" w14:textId="77777777" w:rsidTr="006130D4">
        <w:trPr>
          <w:trHeight w:val="258"/>
        </w:trPr>
        <w:tc>
          <w:tcPr>
            <w:tcW w:w="2048" w:type="pct"/>
          </w:tcPr>
          <w:p w14:paraId="6AEC38F6" w14:textId="77777777" w:rsidR="0059608E" w:rsidRPr="0000155E" w:rsidRDefault="0059608E" w:rsidP="006130D4">
            <w:pPr>
              <w:tabs>
                <w:tab w:val="left" w:pos="1660"/>
              </w:tabs>
              <w:rPr>
                <w:i/>
                <w:sz w:val="20"/>
                <w:szCs w:val="20"/>
                <w:lang w:val="en-AU"/>
              </w:rPr>
            </w:pPr>
            <w:r w:rsidRPr="0000155E">
              <w:rPr>
                <w:i/>
                <w:sz w:val="20"/>
                <w:szCs w:val="20"/>
                <w:lang w:val="en-AU"/>
              </w:rPr>
              <w:t xml:space="preserve">A. exigua </w:t>
            </w:r>
            <w:r w:rsidRPr="0000155E">
              <w:rPr>
                <w:sz w:val="20"/>
                <w:szCs w:val="20"/>
                <w:lang w:val="en-AU"/>
              </w:rPr>
              <w:t>95% active constituent; static</w:t>
            </w:r>
          </w:p>
        </w:tc>
        <w:tc>
          <w:tcPr>
            <w:tcW w:w="1354" w:type="pct"/>
          </w:tcPr>
          <w:p w14:paraId="035234C0" w14:textId="77777777" w:rsidR="0059608E" w:rsidRPr="0000155E" w:rsidRDefault="0059608E" w:rsidP="006130D4">
            <w:pPr>
              <w:tabs>
                <w:tab w:val="left" w:pos="1660"/>
              </w:tabs>
              <w:rPr>
                <w:sz w:val="20"/>
                <w:szCs w:val="20"/>
                <w:lang w:val="en-AU"/>
              </w:rPr>
            </w:pPr>
            <w:r w:rsidRPr="0000155E">
              <w:rPr>
                <w:sz w:val="20"/>
                <w:szCs w:val="20"/>
                <w:lang w:val="en-AU"/>
              </w:rPr>
              <w:t>EC50 = 31</w:t>
            </w:r>
          </w:p>
          <w:p w14:paraId="03BE5523" w14:textId="77777777" w:rsidR="0059608E" w:rsidRPr="0000155E" w:rsidRDefault="0059608E" w:rsidP="006130D4">
            <w:pPr>
              <w:tabs>
                <w:tab w:val="left" w:pos="1660"/>
              </w:tabs>
              <w:rPr>
                <w:sz w:val="20"/>
                <w:szCs w:val="20"/>
                <w:lang w:val="en-AU"/>
              </w:rPr>
            </w:pPr>
            <w:r w:rsidRPr="0000155E">
              <w:rPr>
                <w:sz w:val="20"/>
                <w:szCs w:val="20"/>
                <w:lang w:val="en-AU"/>
              </w:rPr>
              <w:t>72h chronic</w:t>
            </w:r>
          </w:p>
        </w:tc>
        <w:tc>
          <w:tcPr>
            <w:tcW w:w="919" w:type="pct"/>
          </w:tcPr>
          <w:p w14:paraId="37D4D9B6" w14:textId="77777777" w:rsidR="0059608E" w:rsidRPr="0000155E" w:rsidRDefault="0059608E" w:rsidP="006130D4">
            <w:pPr>
              <w:tabs>
                <w:tab w:val="left" w:pos="1660"/>
              </w:tabs>
              <w:rPr>
                <w:sz w:val="20"/>
                <w:szCs w:val="20"/>
                <w:lang w:val="en-AU"/>
              </w:rPr>
            </w:pPr>
            <w:r w:rsidRPr="0000155E">
              <w:rPr>
                <w:sz w:val="20"/>
                <w:szCs w:val="20"/>
                <w:lang w:val="en-AU"/>
              </w:rPr>
              <w:t>1986</w:t>
            </w:r>
          </w:p>
        </w:tc>
        <w:tc>
          <w:tcPr>
            <w:tcW w:w="679" w:type="pct"/>
          </w:tcPr>
          <w:p w14:paraId="7BB0FC36" w14:textId="77777777" w:rsidR="0059608E" w:rsidRPr="0000155E" w:rsidRDefault="0059608E" w:rsidP="006130D4">
            <w:pPr>
              <w:tabs>
                <w:tab w:val="left" w:pos="1660"/>
              </w:tabs>
              <w:rPr>
                <w:sz w:val="20"/>
                <w:szCs w:val="20"/>
                <w:lang w:val="en-AU"/>
              </w:rPr>
            </w:pPr>
            <w:r w:rsidRPr="0000155E">
              <w:rPr>
                <w:sz w:val="20"/>
                <w:szCs w:val="20"/>
                <w:lang w:val="en-AU"/>
              </w:rPr>
              <w:t>S</w:t>
            </w:r>
          </w:p>
        </w:tc>
      </w:tr>
    </w:tbl>
    <w:p w14:paraId="5F4D0084" w14:textId="77777777" w:rsidR="0059608E" w:rsidRPr="00C11BBA" w:rsidRDefault="0059608E" w:rsidP="0059608E">
      <w:pPr>
        <w:pStyle w:val="Heading2"/>
        <w:numPr>
          <w:ilvl w:val="1"/>
          <w:numId w:val="2"/>
        </w:numPr>
        <w:spacing w:line="360" w:lineRule="auto"/>
        <w:ind w:left="567"/>
        <w:rPr>
          <w:lang w:val="en-AU"/>
        </w:rPr>
      </w:pPr>
      <w:bookmarkStart w:id="725" w:name="_Toc461457787"/>
      <w:bookmarkStart w:id="726" w:name="_Toc462651968"/>
      <w:r>
        <w:rPr>
          <w:lang w:val="en-AU"/>
        </w:rPr>
        <w:lastRenderedPageBreak/>
        <w:t>Calculating PSII-HEq concentrations and assessing risk using the PS</w:t>
      </w:r>
      <w:r w:rsidRPr="00C11BBA">
        <w:rPr>
          <w:lang w:val="en-AU"/>
        </w:rPr>
        <w:t>II Herbicide Index</w:t>
      </w:r>
      <w:bookmarkEnd w:id="725"/>
      <w:bookmarkEnd w:id="726"/>
    </w:p>
    <w:p w14:paraId="2819BE31" w14:textId="77777777" w:rsidR="0059608E" w:rsidRPr="00C11BBA" w:rsidRDefault="0059608E" w:rsidP="006130D4">
      <w:pPr>
        <w:spacing w:line="360" w:lineRule="auto"/>
        <w:rPr>
          <w:lang w:val="en-AU"/>
        </w:rPr>
      </w:pPr>
      <w:r>
        <w:rPr>
          <w:lang w:val="en-AU"/>
        </w:rPr>
        <w:t>A given PSII herbicide with an RPF of 1 is equally as potent as diuron. If it is more potent than diuron it will have an RPF of &gt;1, while if it is less potent than diuron it will have an RPF of &lt;1. To calculate the PSII-HEq concentration of a given grab or passive sample, it is assumed that these herbicides act additively</w:t>
      </w:r>
      <w:r w:rsidRPr="00C11BBA">
        <w:rPr>
          <w:lang w:val="en-AU"/>
        </w:rPr>
        <w:t xml:space="preserve"> </w:t>
      </w:r>
      <w:r w:rsidR="00790446">
        <w:rPr>
          <w:lang w:val="en-AU"/>
        </w:rPr>
        <w:fldChar w:fldCharType="begin">
          <w:fldData xml:space="preserve">PEVuZE5vdGU+PENpdGU+PEF1dGhvcj5Fc2NoZXI8L0F1dGhvcj48WWVhcj4yMDA2PC9ZZWFyPjxS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==
</w:fldData>
        </w:fldChar>
      </w:r>
      <w:r w:rsidR="00790446">
        <w:rPr>
          <w:lang w:val="en-AU"/>
        </w:rPr>
        <w:instrText xml:space="preserve"> ADDIN EN.CITE </w:instrText>
      </w:r>
      <w:r w:rsidR="00790446">
        <w:rPr>
          <w:lang w:val="en-AU"/>
        </w:rPr>
        <w:fldChar w:fldCharType="begin">
          <w:fldData xml:space="preserve">PEVuZE5vdGU+PENpdGU+PEF1dGhvcj5Fc2NoZXI8L0F1dGhvcj48WWVhcj4yMDA2PC9ZZWFyPjxS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==
</w:fldData>
        </w:fldChar>
      </w:r>
      <w:r w:rsidR="00790446">
        <w:rPr>
          <w:lang w:val="en-AU"/>
        </w:rPr>
        <w:instrText xml:space="preserve"> ADDIN EN.CITE.DATA </w:instrText>
      </w:r>
      <w:r w:rsidR="00790446">
        <w:rPr>
          <w:lang w:val="en-AU"/>
        </w:rPr>
      </w:r>
      <w:r w:rsidR="00790446">
        <w:rPr>
          <w:lang w:val="en-AU"/>
        </w:rPr>
        <w:fldChar w:fldCharType="end"/>
      </w:r>
      <w:r w:rsidR="00790446">
        <w:rPr>
          <w:lang w:val="en-AU"/>
        </w:rPr>
      </w:r>
      <w:r w:rsidR="00790446">
        <w:rPr>
          <w:lang w:val="en-AU"/>
        </w:rPr>
        <w:fldChar w:fldCharType="separate"/>
      </w:r>
      <w:r w:rsidR="00790446">
        <w:rPr>
          <w:noProof/>
          <w:lang w:val="en-AU"/>
        </w:rPr>
        <w:t>(Escher et al., 2006, Magnusson et al., 2010, Muller et al., 2008)</w:t>
      </w:r>
      <w:r w:rsidR="00790446">
        <w:rPr>
          <w:lang w:val="en-AU"/>
        </w:rPr>
        <w:fldChar w:fldCharType="end"/>
      </w:r>
      <w:r>
        <w:rPr>
          <w:lang w:val="en-AU"/>
        </w:rPr>
        <w:t>. T</w:t>
      </w:r>
      <w:r w:rsidRPr="00C11BBA">
        <w:rPr>
          <w:lang w:val="en-AU"/>
        </w:rPr>
        <w:t xml:space="preserve">he PSII-HEq </w:t>
      </w:r>
      <w:r>
        <w:rPr>
          <w:lang w:val="en-AU"/>
        </w:rPr>
        <w:t xml:space="preserve">(ng </w:t>
      </w:r>
      <w:r w:rsidRPr="00C11BBA">
        <w:rPr>
          <w:lang w:val="en-AU"/>
        </w:rPr>
        <w:t>L</w:t>
      </w:r>
      <w:r w:rsidRPr="00C11BBA">
        <w:rPr>
          <w:vertAlign w:val="superscript"/>
          <w:lang w:val="en-AU"/>
        </w:rPr>
        <w:t>-1</w:t>
      </w:r>
      <w:r w:rsidRPr="00C11BBA">
        <w:rPr>
          <w:lang w:val="en-AU"/>
        </w:rPr>
        <w:t xml:space="preserve">) </w:t>
      </w:r>
      <w:r>
        <w:rPr>
          <w:lang w:val="en-AU"/>
        </w:rPr>
        <w:t>is therefore the sum of the individual RPF-corrected concentrations of each individual PSII herbicide (Ci, ng L</w:t>
      </w:r>
      <w:r w:rsidRPr="00D07710">
        <w:rPr>
          <w:vertAlign w:val="superscript"/>
          <w:lang w:val="en-AU"/>
        </w:rPr>
        <w:t>-1</w:t>
      </w:r>
      <w:r>
        <w:rPr>
          <w:lang w:val="en-AU"/>
        </w:rPr>
        <w:t>) detected in each sample</w:t>
      </w:r>
      <w:r w:rsidRPr="00C11BBA">
        <w:rPr>
          <w:lang w:val="en-AU"/>
        </w:rPr>
        <w:t xml:space="preserve"> using Equation </w:t>
      </w:r>
      <w:r>
        <w:rPr>
          <w:lang w:val="en-AU"/>
        </w:rPr>
        <w:t>1</w:t>
      </w:r>
      <w:r w:rsidRPr="00C11BBA">
        <w:rPr>
          <w:lang w:val="en-AU"/>
        </w:rPr>
        <w:t>.</w:t>
      </w:r>
    </w:p>
    <w:p w14:paraId="7EA22966" w14:textId="77777777" w:rsidR="0059608E" w:rsidRPr="002639D0" w:rsidRDefault="0059608E" w:rsidP="006130D4">
      <w:pPr>
        <w:pStyle w:val="Caption"/>
        <w:spacing w:line="360" w:lineRule="auto"/>
        <w:jc w:val="center"/>
        <w:rPr>
          <w:sz w:val="22"/>
          <w:lang w:val="en-AU"/>
        </w:rPr>
      </w:pPr>
      <w:r w:rsidRPr="002639D0">
        <w:rPr>
          <w:sz w:val="22"/>
          <w:lang w:val="en-AU"/>
        </w:rPr>
        <w:t xml:space="preserve">PSII-HEq = </w:t>
      </w:r>
      <w:r w:rsidRPr="002639D0">
        <w:rPr>
          <w:rFonts w:cs="Tahoma"/>
          <w:sz w:val="22"/>
          <w:lang w:val="en-AU"/>
        </w:rPr>
        <w:t>∑</w:t>
      </w:r>
      <w:r w:rsidRPr="002639D0">
        <w:rPr>
          <w:sz w:val="22"/>
          <w:lang w:val="en-AU"/>
        </w:rPr>
        <w:t xml:space="preserve"> C</w:t>
      </w:r>
      <w:r w:rsidRPr="002639D0">
        <w:rPr>
          <w:sz w:val="22"/>
          <w:vertAlign w:val="subscript"/>
          <w:lang w:val="en-AU"/>
        </w:rPr>
        <w:t>i</w:t>
      </w:r>
      <w:r w:rsidRPr="002639D0">
        <w:rPr>
          <w:sz w:val="22"/>
          <w:lang w:val="en-AU"/>
        </w:rPr>
        <w:t xml:space="preserve"> x RPF</w:t>
      </w:r>
      <w:r w:rsidRPr="002639D0">
        <w:rPr>
          <w:sz w:val="22"/>
          <w:vertAlign w:val="subscript"/>
          <w:lang w:val="en-AU"/>
        </w:rPr>
        <w:t>i</w:t>
      </w:r>
      <w:r w:rsidRPr="002639D0">
        <w:rPr>
          <w:sz w:val="22"/>
          <w:vertAlign w:val="subscript"/>
          <w:lang w:val="en-AU"/>
        </w:rPr>
        <w:tab/>
      </w:r>
      <w:r w:rsidRPr="002639D0">
        <w:rPr>
          <w:sz w:val="22"/>
          <w:vertAlign w:val="subscript"/>
          <w:lang w:val="en-AU"/>
        </w:rPr>
        <w:tab/>
      </w:r>
      <w:r w:rsidRPr="002639D0">
        <w:rPr>
          <w:sz w:val="22"/>
          <w:lang w:val="en-AU"/>
        </w:rPr>
        <w:t xml:space="preserve">Equation </w:t>
      </w:r>
      <w:r w:rsidRPr="002639D0">
        <w:rPr>
          <w:sz w:val="22"/>
          <w:lang w:val="en-AU"/>
        </w:rPr>
        <w:fldChar w:fldCharType="begin"/>
      </w:r>
      <w:r w:rsidRPr="002639D0">
        <w:rPr>
          <w:sz w:val="22"/>
          <w:lang w:val="en-AU"/>
        </w:rPr>
        <w:instrText xml:space="preserve"> SEQ Equation \* ARABIC </w:instrText>
      </w:r>
      <w:r w:rsidRPr="002639D0">
        <w:rPr>
          <w:sz w:val="22"/>
          <w:lang w:val="en-AU"/>
        </w:rPr>
        <w:fldChar w:fldCharType="separate"/>
      </w:r>
      <w:r w:rsidR="00E51A34">
        <w:rPr>
          <w:noProof/>
          <w:sz w:val="22"/>
          <w:lang w:val="en-AU"/>
        </w:rPr>
        <w:t>1</w:t>
      </w:r>
      <w:r w:rsidRPr="002639D0">
        <w:rPr>
          <w:sz w:val="22"/>
          <w:lang w:val="en-AU"/>
        </w:rPr>
        <w:fldChar w:fldCharType="end"/>
      </w:r>
    </w:p>
    <w:p w14:paraId="2E1B38D3" w14:textId="77777777" w:rsidR="0059608E" w:rsidRDefault="0059608E" w:rsidP="006130D4">
      <w:pPr>
        <w:spacing w:line="360" w:lineRule="auto"/>
        <w:rPr>
          <w:lang w:val="en-AU"/>
        </w:rPr>
      </w:pPr>
      <w:r w:rsidRPr="00C11BBA">
        <w:rPr>
          <w:lang w:val="en-AU"/>
        </w:rPr>
        <w:t>RP</w:t>
      </w:r>
      <w:r>
        <w:rPr>
          <w:lang w:val="en-AU"/>
        </w:rPr>
        <w:t>F</w:t>
      </w:r>
      <w:r w:rsidRPr="00C11BBA">
        <w:rPr>
          <w:lang w:val="en-AU"/>
        </w:rPr>
        <w:t xml:space="preserve"> values for the chemicals of interest were </w:t>
      </w:r>
      <w:r>
        <w:rPr>
          <w:lang w:val="en-AU"/>
        </w:rPr>
        <w:t>obtained</w:t>
      </w:r>
      <w:r w:rsidRPr="00C11BBA">
        <w:rPr>
          <w:lang w:val="en-AU"/>
        </w:rPr>
        <w:t xml:space="preserve"> from relevant laboratory studies </w:t>
      </w:r>
      <w:r>
        <w:rPr>
          <w:lang w:val="en-AU"/>
        </w:rPr>
        <w:t>(</w:t>
      </w:r>
      <w:r w:rsidRPr="008D6B14">
        <w:rPr>
          <w:lang w:val="en-AU"/>
        </w:rPr>
        <w:t xml:space="preserve">Table </w:t>
      </w:r>
      <w:r>
        <w:rPr>
          <w:lang w:val="en-AU"/>
        </w:rPr>
        <w:t>4)</w:t>
      </w:r>
      <w:r w:rsidRPr="008D6B14">
        <w:rPr>
          <w:lang w:val="en-AU"/>
        </w:rPr>
        <w:t>. For</w:t>
      </w:r>
      <w:r>
        <w:rPr>
          <w:lang w:val="en-AU"/>
        </w:rPr>
        <w:t xml:space="preserve"> the</w:t>
      </w:r>
      <w:r w:rsidRPr="00C11BBA">
        <w:rPr>
          <w:lang w:val="en-AU"/>
        </w:rPr>
        <w:t xml:space="preserve"> initial determination of </w:t>
      </w:r>
      <w:r>
        <w:rPr>
          <w:lang w:val="en-AU"/>
        </w:rPr>
        <w:t xml:space="preserve">RPF </w:t>
      </w:r>
      <w:r w:rsidRPr="00C11BBA">
        <w:rPr>
          <w:lang w:val="en-AU"/>
        </w:rPr>
        <w:t>consensus values</w:t>
      </w:r>
      <w:r>
        <w:rPr>
          <w:lang w:val="en-AU"/>
        </w:rPr>
        <w:t>,</w:t>
      </w:r>
      <w:r w:rsidRPr="00C11BBA">
        <w:rPr>
          <w:lang w:val="en-AU"/>
        </w:rPr>
        <w:t xml:space="preserve"> average values from studies obtained using corals, </w:t>
      </w:r>
      <w:r>
        <w:rPr>
          <w:lang w:val="en-AU"/>
        </w:rPr>
        <w:t>P</w:t>
      </w:r>
      <w:r w:rsidRPr="00C11BBA">
        <w:rPr>
          <w:lang w:val="en-AU"/>
        </w:rPr>
        <w:t xml:space="preserve">haeodactylum and </w:t>
      </w:r>
      <w:r>
        <w:rPr>
          <w:lang w:val="en-AU"/>
        </w:rPr>
        <w:t>C</w:t>
      </w:r>
      <w:r w:rsidRPr="00C11BBA">
        <w:rPr>
          <w:lang w:val="en-AU"/>
        </w:rPr>
        <w:t xml:space="preserve">hlorella were used (different organisms were not weighted). The PSII-HEq concentrations in this report were then predicted using these mean preliminary consensus </w:t>
      </w:r>
      <w:r>
        <w:rPr>
          <w:lang w:val="en-AU"/>
        </w:rPr>
        <w:t>RPF values</w:t>
      </w:r>
      <w:r w:rsidRPr="00C11BBA">
        <w:rPr>
          <w:lang w:val="en-AU"/>
        </w:rPr>
        <w:t xml:space="preserve"> giving equal weight to EC</w:t>
      </w:r>
      <w:r w:rsidRPr="00C11BBA">
        <w:rPr>
          <w:vertAlign w:val="subscript"/>
          <w:lang w:val="en-AU"/>
        </w:rPr>
        <w:t>50</w:t>
      </w:r>
      <w:r w:rsidRPr="00C11BBA">
        <w:rPr>
          <w:lang w:val="en-AU"/>
        </w:rPr>
        <w:t xml:space="preserve"> and EC</w:t>
      </w:r>
      <w:r w:rsidRPr="00C11BBA">
        <w:rPr>
          <w:vertAlign w:val="subscript"/>
          <w:lang w:val="en-AU"/>
        </w:rPr>
        <w:t>20</w:t>
      </w:r>
      <w:r w:rsidRPr="00C11BBA">
        <w:rPr>
          <w:lang w:val="en-AU"/>
        </w:rPr>
        <w:t xml:space="preserve"> values. These initial consensus values were developed and applied to determine PSII-HEq </w:t>
      </w:r>
      <w:r>
        <w:rPr>
          <w:lang w:val="en-AU"/>
        </w:rPr>
        <w:t>since</w:t>
      </w:r>
      <w:r w:rsidRPr="00C11BBA">
        <w:rPr>
          <w:lang w:val="en-AU"/>
        </w:rPr>
        <w:t xml:space="preserve"> the baseline reporting year 2008-09 and have not been updated for the sake of consistency</w:t>
      </w:r>
      <w:r>
        <w:rPr>
          <w:lang w:val="en-AU"/>
        </w:rPr>
        <w:t>. H</w:t>
      </w:r>
      <w:r w:rsidRPr="00C11BBA">
        <w:rPr>
          <w:lang w:val="en-AU"/>
        </w:rPr>
        <w:t xml:space="preserve">owever it should be acknowledged that </w:t>
      </w:r>
      <w:r>
        <w:rPr>
          <w:lang w:val="en-AU"/>
        </w:rPr>
        <w:t xml:space="preserve">as more </w:t>
      </w:r>
      <w:r w:rsidRPr="00C11BBA">
        <w:rPr>
          <w:lang w:val="en-AU"/>
        </w:rPr>
        <w:t>data continue</w:t>
      </w:r>
      <w:r>
        <w:rPr>
          <w:lang w:val="en-AU"/>
        </w:rPr>
        <w:t>s</w:t>
      </w:r>
      <w:r w:rsidRPr="00C11BBA">
        <w:rPr>
          <w:lang w:val="en-AU"/>
        </w:rPr>
        <w:t xml:space="preserve"> to be published </w:t>
      </w:r>
      <w:r>
        <w:rPr>
          <w:noProof/>
          <w:lang w:val="en-AU"/>
        </w:rPr>
        <w:t>(Magnusson et al., 2010)</w:t>
      </w:r>
      <w:r>
        <w:rPr>
          <w:lang w:val="en-AU"/>
        </w:rPr>
        <w:t>,</w:t>
      </w:r>
      <w:r w:rsidRPr="00C11BBA">
        <w:rPr>
          <w:lang w:val="en-AU"/>
        </w:rPr>
        <w:t xml:space="preserve"> it is likely that these values would benefit from review and updating in the future</w:t>
      </w:r>
      <w:r>
        <w:rPr>
          <w:lang w:val="en-AU"/>
        </w:rPr>
        <w:t xml:space="preserve"> to include not only more data for these chemicals but also additional PSII herbicides that are detected in the Reef lagoon</w:t>
      </w:r>
      <w:r w:rsidRPr="00C11BBA">
        <w:rPr>
          <w:lang w:val="en-AU"/>
        </w:rPr>
        <w:t>.</w:t>
      </w:r>
    </w:p>
    <w:p w14:paraId="655FB969" w14:textId="77777777" w:rsidR="0059608E" w:rsidRPr="001D1EBC" w:rsidRDefault="001D1EBC" w:rsidP="001D1EBC">
      <w:pPr>
        <w:ind w:firstLine="357"/>
        <w:jc w:val="left"/>
        <w:rPr>
          <w:b/>
          <w:bCs/>
          <w:sz w:val="18"/>
          <w:szCs w:val="18"/>
          <w:lang w:val="en-AU"/>
        </w:rPr>
      </w:pPr>
      <w:r>
        <w:rPr>
          <w:lang w:val="en-AU"/>
        </w:rPr>
        <w:br w:type="page"/>
      </w:r>
    </w:p>
    <w:p w14:paraId="2458EB48" w14:textId="77777777" w:rsidR="001D1EBC" w:rsidRDefault="001D1EBC" w:rsidP="001D1EBC">
      <w:pPr>
        <w:pStyle w:val="Caption"/>
        <w:keepNext/>
      </w:pPr>
      <w:bookmarkStart w:id="727" w:name="_Toc462652077"/>
      <w:r>
        <w:lastRenderedPageBreak/>
        <w:t xml:space="preserve">Table A </w:t>
      </w:r>
      <w:r>
        <w:fldChar w:fldCharType="begin"/>
      </w:r>
      <w:r>
        <w:instrText xml:space="preserve"> SEQ Table_A \* ARABIC </w:instrText>
      </w:r>
      <w:r>
        <w:fldChar w:fldCharType="separate"/>
      </w:r>
      <w:r w:rsidR="00E51A34">
        <w:rPr>
          <w:noProof/>
        </w:rPr>
        <w:t>10</w:t>
      </w:r>
      <w:r>
        <w:fldChar w:fldCharType="end"/>
      </w:r>
      <w:r>
        <w:t xml:space="preserve"> </w:t>
      </w:r>
      <w:r>
        <w:rPr>
          <w:lang w:val="en-AU"/>
        </w:rPr>
        <w:t>R</w:t>
      </w:r>
      <w:r w:rsidRPr="00C11BBA">
        <w:rPr>
          <w:lang w:val="en-AU"/>
        </w:rPr>
        <w:t>elative potency factors</w:t>
      </w:r>
      <w:r>
        <w:rPr>
          <w:lang w:val="en-AU"/>
        </w:rPr>
        <w:t xml:space="preserve"> (RPF) </w:t>
      </w:r>
      <w:r w:rsidRPr="00C11BBA">
        <w:rPr>
          <w:lang w:val="en-AU"/>
        </w:rPr>
        <w:t xml:space="preserve">for </w:t>
      </w:r>
      <w:r>
        <w:rPr>
          <w:lang w:val="en-AU"/>
        </w:rPr>
        <w:t>PSII herbicides and selected transformation</w:t>
      </w:r>
      <w:r w:rsidRPr="00C11BBA">
        <w:rPr>
          <w:lang w:val="en-AU"/>
        </w:rPr>
        <w:t xml:space="preserve"> products</w:t>
      </w:r>
      <w:bookmarkEnd w:id="727"/>
    </w:p>
    <w:tbl>
      <w:tblPr>
        <w:tblStyle w:val="MediumShading2-Accent5"/>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Description w:val="Table A 10 Relative potency factors (RPF) for PSII herbicides and selected transformation products"/>
      </w:tblPr>
      <w:tblGrid>
        <w:gridCol w:w="1668"/>
        <w:gridCol w:w="1417"/>
        <w:gridCol w:w="1313"/>
        <w:gridCol w:w="105"/>
        <w:gridCol w:w="1134"/>
        <w:gridCol w:w="1417"/>
        <w:gridCol w:w="1317"/>
        <w:gridCol w:w="1107"/>
        <w:gridCol w:w="1205"/>
      </w:tblGrid>
      <w:tr w:rsidR="0059608E" w:rsidRPr="00FC5EFF" w14:paraId="13860D47" w14:textId="77777777" w:rsidTr="006130D4">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100" w:firstRow="0" w:lastRow="0" w:firstColumn="1" w:lastColumn="0" w:oddVBand="0" w:evenVBand="0" w:oddHBand="0" w:evenHBand="0" w:firstRowFirstColumn="1" w:firstRowLastColumn="0" w:lastRowFirstColumn="0" w:lastRowLastColumn="0"/>
            <w:tcW w:w="1668" w:type="dxa"/>
            <w:vMerge w:val="restart"/>
            <w:tcBorders>
              <w:top w:val="single" w:sz="4" w:space="0" w:color="auto"/>
              <w:left w:val="single" w:sz="4" w:space="0" w:color="auto"/>
              <w:bottom w:val="nil"/>
              <w:right w:val="single" w:sz="4" w:space="0" w:color="auto"/>
            </w:tcBorders>
            <w:shd w:val="clear" w:color="auto" w:fill="FFFFFF" w:themeFill="background1"/>
            <w:vAlign w:val="center"/>
          </w:tcPr>
          <w:p w14:paraId="0246DF7C" w14:textId="77777777" w:rsidR="0059608E" w:rsidRPr="00CE5168" w:rsidRDefault="0059608E" w:rsidP="006130D4">
            <w:pPr>
              <w:spacing w:line="276" w:lineRule="auto"/>
              <w:jc w:val="center"/>
              <w:rPr>
                <w:rFonts w:cs="Arial"/>
                <w:color w:val="auto"/>
                <w:lang w:val="en-AU"/>
              </w:rPr>
            </w:pPr>
            <w:r w:rsidRPr="00CE5168">
              <w:rPr>
                <w:rFonts w:cs="Arial"/>
                <w:color w:val="auto"/>
                <w:lang w:val="en-AU"/>
              </w:rPr>
              <w:t>PSII</w:t>
            </w:r>
          </w:p>
          <w:p w14:paraId="73F83F9B" w14:textId="77777777" w:rsidR="0059608E" w:rsidRPr="00CE5168" w:rsidRDefault="0059608E" w:rsidP="006130D4">
            <w:pPr>
              <w:spacing w:line="276" w:lineRule="auto"/>
              <w:jc w:val="center"/>
              <w:rPr>
                <w:rFonts w:cs="Arial"/>
                <w:color w:val="auto"/>
                <w:lang w:val="en-AU"/>
              </w:rPr>
            </w:pPr>
            <w:r w:rsidRPr="00CE5168">
              <w:rPr>
                <w:rFonts w:cs="Arial"/>
                <w:color w:val="auto"/>
                <w:lang w:val="en-AU"/>
              </w:rPr>
              <w:t>Herbicides</w:t>
            </w:r>
          </w:p>
        </w:tc>
        <w:tc>
          <w:tcPr>
            <w:tcW w:w="273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AD19EB"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auto"/>
                <w:lang w:val="en-AU"/>
              </w:rPr>
            </w:pPr>
            <w:r w:rsidRPr="00CE5168">
              <w:rPr>
                <w:rFonts w:cs="Arial"/>
                <w:color w:val="auto"/>
                <w:lang w:val="en-AU"/>
              </w:rPr>
              <w:t>Relative potency (range)</w:t>
            </w:r>
          </w:p>
        </w:tc>
        <w:tc>
          <w:tcPr>
            <w:tcW w:w="6285"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81979"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auto"/>
                <w:lang w:val="en-AU"/>
              </w:rPr>
            </w:pPr>
            <w:r w:rsidRPr="00CE5168">
              <w:rPr>
                <w:rFonts w:cs="Arial"/>
                <w:color w:val="auto"/>
                <w:lang w:val="en-AU"/>
              </w:rPr>
              <w:t>Relative potency (mean based on various EC values)</w:t>
            </w:r>
          </w:p>
        </w:tc>
      </w:tr>
      <w:tr w:rsidR="0059608E" w:rsidRPr="00FC5EFF" w14:paraId="7E391357" w14:textId="77777777" w:rsidTr="006130D4">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100" w:firstRow="0" w:lastRow="0" w:firstColumn="1" w:lastColumn="0" w:oddVBand="0" w:evenVBand="0" w:oddHBand="0" w:evenHBand="0" w:firstRowFirstColumn="1" w:firstRowLastColumn="0" w:lastRowFirstColumn="0" w:lastRowLastColumn="0"/>
            <w:tcW w:w="1668" w:type="dxa"/>
            <w:vMerge/>
            <w:tcBorders>
              <w:top w:val="nil"/>
              <w:left w:val="single" w:sz="4" w:space="0" w:color="auto"/>
              <w:bottom w:val="single" w:sz="4" w:space="0" w:color="auto"/>
              <w:right w:val="single" w:sz="4" w:space="0" w:color="auto"/>
            </w:tcBorders>
            <w:shd w:val="clear" w:color="auto" w:fill="FFFFFF" w:themeFill="background1"/>
            <w:vAlign w:val="center"/>
          </w:tcPr>
          <w:p w14:paraId="18B819DD" w14:textId="77777777" w:rsidR="0059608E" w:rsidRPr="00CE5168" w:rsidRDefault="0059608E" w:rsidP="006130D4">
            <w:pPr>
              <w:spacing w:line="276" w:lineRule="auto"/>
              <w:jc w:val="center"/>
              <w:rPr>
                <w:rFonts w:cs="Arial"/>
                <w:color w:val="auto"/>
                <w:lang w:val="en-AU"/>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C4E82F"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 xml:space="preserve">Zooxanthellae (Corals) </w:t>
            </w:r>
            <w:r w:rsidRPr="00CE5168">
              <w:rPr>
                <w:rFonts w:cs="Arial"/>
                <w:b w:val="0"/>
                <w:color w:val="auto"/>
                <w:sz w:val="18"/>
                <w:vertAlign w:val="superscript"/>
                <w:lang w:val="en-AU"/>
              </w:rPr>
              <w:t>a</w:t>
            </w:r>
          </w:p>
        </w:tc>
        <w:tc>
          <w:tcPr>
            <w:tcW w:w="14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0C360E"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015CB9">
              <w:rPr>
                <w:rFonts w:cs="Arial"/>
                <w:b w:val="0"/>
                <w:color w:val="auto"/>
                <w:sz w:val="18"/>
                <w:lang w:val="en-AU"/>
              </w:rPr>
              <w:t>Phaeodactylum tricornutum</w:t>
            </w:r>
            <w:r w:rsidRPr="00CE5168">
              <w:rPr>
                <w:rFonts w:cs="Arial"/>
                <w:b w:val="0"/>
                <w:color w:val="auto"/>
                <w:sz w:val="18"/>
                <w:vertAlign w:val="superscript"/>
                <w:lang w:val="en-AU"/>
              </w:rPr>
              <w:t>bcd</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828EE6"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015CB9">
              <w:rPr>
                <w:rFonts w:cs="Arial"/>
                <w:b w:val="0"/>
                <w:color w:val="auto"/>
                <w:sz w:val="18"/>
                <w:lang w:val="en-AU"/>
              </w:rPr>
              <w:t xml:space="preserve">Chlorella </w:t>
            </w:r>
            <w:r w:rsidRPr="00CE5168">
              <w:rPr>
                <w:rFonts w:cs="Arial"/>
                <w:b w:val="0"/>
                <w:color w:val="auto"/>
                <w:sz w:val="18"/>
                <w:lang w:val="en-AU"/>
              </w:rPr>
              <w:t>vulgaris</w:t>
            </w:r>
            <w:r w:rsidRPr="00CE5168">
              <w:rPr>
                <w:rFonts w:cs="Arial"/>
                <w:b w:val="0"/>
                <w:color w:val="auto"/>
                <w:sz w:val="18"/>
                <w:vertAlign w:val="superscript"/>
                <w:lang w:val="en-AU"/>
              </w:rPr>
              <w:t>bde</w:t>
            </w:r>
          </w:p>
          <w:p w14:paraId="50B10943"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BD24E9"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Zooxanthellae (Corals) </w:t>
            </w:r>
            <w:r w:rsidRPr="00CE5168">
              <w:rPr>
                <w:rFonts w:cs="Arial"/>
                <w:b w:val="0"/>
                <w:color w:val="auto"/>
                <w:sz w:val="18"/>
                <w:vertAlign w:val="superscript"/>
                <w:lang w:val="en-AU"/>
              </w:rPr>
              <w:t>a</w:t>
            </w: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3DC2C2"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4C7FE4">
              <w:rPr>
                <w:rFonts w:cs="Arial"/>
                <w:b w:val="0"/>
                <w:color w:val="auto"/>
                <w:sz w:val="18"/>
                <w:lang w:val="en-AU"/>
              </w:rPr>
              <w:t>Phaeodactylum tricornutum</w:t>
            </w:r>
            <w:r w:rsidRPr="004C7FE4">
              <w:rPr>
                <w:rFonts w:cs="Arial"/>
                <w:b w:val="0"/>
                <w:color w:val="auto"/>
                <w:sz w:val="18"/>
                <w:vertAlign w:val="superscript"/>
                <w:lang w:val="en-AU"/>
              </w:rPr>
              <w:t>bcd</w:t>
            </w:r>
          </w:p>
        </w:tc>
        <w:tc>
          <w:tcPr>
            <w:tcW w:w="11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654439"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015CB9">
              <w:rPr>
                <w:rFonts w:cs="Arial"/>
                <w:b w:val="0"/>
                <w:color w:val="auto"/>
                <w:sz w:val="18"/>
                <w:lang w:val="en-AU"/>
              </w:rPr>
              <w:t xml:space="preserve">Chlorella </w:t>
            </w:r>
            <w:r w:rsidRPr="00CE5168">
              <w:rPr>
                <w:rFonts w:cs="Arial"/>
                <w:b w:val="0"/>
                <w:color w:val="auto"/>
                <w:sz w:val="18"/>
                <w:lang w:val="en-AU"/>
              </w:rPr>
              <w:t>vulgaris</w:t>
            </w:r>
            <w:r w:rsidRPr="00CE5168">
              <w:rPr>
                <w:rFonts w:cs="Arial"/>
                <w:b w:val="0"/>
                <w:color w:val="auto"/>
                <w:sz w:val="18"/>
                <w:vertAlign w:val="superscript"/>
                <w:lang w:val="en-AU"/>
              </w:rPr>
              <w:t>bde</w:t>
            </w:r>
          </w:p>
          <w:p w14:paraId="78F71DF0"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p>
        </w:tc>
        <w:tc>
          <w:tcPr>
            <w:tcW w:w="12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47B38"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Mean/</w:t>
            </w:r>
          </w:p>
          <w:p w14:paraId="4D37F713"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Preliminary consensus </w:t>
            </w:r>
            <w:r w:rsidRPr="00CE5168">
              <w:rPr>
                <w:rFonts w:cs="Arial"/>
                <w:b w:val="0"/>
                <w:color w:val="auto"/>
                <w:sz w:val="18"/>
                <w:vertAlign w:val="superscript"/>
                <w:lang w:val="en-AU"/>
              </w:rPr>
              <w:t>a</w:t>
            </w:r>
          </w:p>
          <w:p w14:paraId="770E64AC" w14:textId="77777777" w:rsidR="0059608E" w:rsidRPr="00CE5168" w:rsidRDefault="0059608E" w:rsidP="006130D4">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RPF</w:t>
            </w:r>
          </w:p>
        </w:tc>
      </w:tr>
      <w:tr w:rsidR="0059608E" w:rsidRPr="00FC5EFF" w14:paraId="35C5E8E6"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left w:val="single" w:sz="4" w:space="0" w:color="auto"/>
              <w:right w:val="single" w:sz="4" w:space="0" w:color="auto"/>
            </w:tcBorders>
            <w:shd w:val="clear" w:color="auto" w:fill="DDD9C3" w:themeFill="background2" w:themeFillShade="E6"/>
            <w:vAlign w:val="center"/>
          </w:tcPr>
          <w:p w14:paraId="6EA7F05B"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Diuron (reference)</w:t>
            </w:r>
          </w:p>
        </w:tc>
        <w:tc>
          <w:tcPr>
            <w:tcW w:w="1417" w:type="dxa"/>
            <w:tcBorders>
              <w:top w:val="single" w:sz="4" w:space="0" w:color="auto"/>
              <w:left w:val="single" w:sz="4" w:space="0" w:color="auto"/>
              <w:bottom w:val="nil"/>
            </w:tcBorders>
            <w:shd w:val="clear" w:color="auto" w:fill="DDD9C3" w:themeFill="background2" w:themeFillShade="E6"/>
            <w:vAlign w:val="center"/>
          </w:tcPr>
          <w:p w14:paraId="3BBCC7B9"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418" w:type="dxa"/>
            <w:gridSpan w:val="2"/>
            <w:tcBorders>
              <w:top w:val="single" w:sz="4" w:space="0" w:color="auto"/>
              <w:bottom w:val="nil"/>
            </w:tcBorders>
            <w:shd w:val="clear" w:color="auto" w:fill="DDD9C3" w:themeFill="background2" w:themeFillShade="E6"/>
            <w:vAlign w:val="center"/>
          </w:tcPr>
          <w:p w14:paraId="5446D700"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134" w:type="dxa"/>
            <w:tcBorders>
              <w:top w:val="single" w:sz="4" w:space="0" w:color="auto"/>
              <w:bottom w:val="nil"/>
            </w:tcBorders>
            <w:shd w:val="clear" w:color="auto" w:fill="DDD9C3" w:themeFill="background2" w:themeFillShade="E6"/>
            <w:vAlign w:val="center"/>
          </w:tcPr>
          <w:p w14:paraId="3CB31030"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417" w:type="dxa"/>
            <w:tcBorders>
              <w:top w:val="single" w:sz="4" w:space="0" w:color="auto"/>
              <w:bottom w:val="nil"/>
            </w:tcBorders>
            <w:shd w:val="clear" w:color="auto" w:fill="DDD9C3" w:themeFill="background2" w:themeFillShade="E6"/>
            <w:vAlign w:val="center"/>
          </w:tcPr>
          <w:p w14:paraId="3C80DE93"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317" w:type="dxa"/>
            <w:tcBorders>
              <w:top w:val="single" w:sz="4" w:space="0" w:color="auto"/>
              <w:bottom w:val="nil"/>
            </w:tcBorders>
            <w:shd w:val="clear" w:color="auto" w:fill="DDD9C3" w:themeFill="background2" w:themeFillShade="E6"/>
            <w:vAlign w:val="center"/>
          </w:tcPr>
          <w:p w14:paraId="36E77EC6"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107" w:type="dxa"/>
            <w:tcBorders>
              <w:top w:val="single" w:sz="4" w:space="0" w:color="auto"/>
              <w:bottom w:val="nil"/>
            </w:tcBorders>
            <w:shd w:val="clear" w:color="auto" w:fill="DDD9C3" w:themeFill="background2" w:themeFillShade="E6"/>
            <w:vAlign w:val="center"/>
          </w:tcPr>
          <w:p w14:paraId="69F755CF"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205" w:type="dxa"/>
            <w:tcBorders>
              <w:top w:val="single" w:sz="4" w:space="0" w:color="auto"/>
              <w:bottom w:val="nil"/>
            </w:tcBorders>
            <w:shd w:val="clear" w:color="auto" w:fill="DDD9C3" w:themeFill="background2" w:themeFillShade="E6"/>
            <w:vAlign w:val="center"/>
          </w:tcPr>
          <w:p w14:paraId="50A3C4E8"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r>
      <w:tr w:rsidR="0059608E" w:rsidRPr="00FC5EFF" w14:paraId="05B0FDB6" w14:textId="77777777" w:rsidTr="006130D4">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0484999F"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Ametryn</w:t>
            </w:r>
          </w:p>
        </w:tc>
        <w:tc>
          <w:tcPr>
            <w:tcW w:w="1417" w:type="dxa"/>
            <w:tcBorders>
              <w:top w:val="nil"/>
              <w:left w:val="single" w:sz="4" w:space="0" w:color="auto"/>
              <w:bottom w:val="nil"/>
            </w:tcBorders>
            <w:shd w:val="clear" w:color="auto" w:fill="DDD9C3" w:themeFill="background2" w:themeFillShade="E6"/>
            <w:vAlign w:val="center"/>
          </w:tcPr>
          <w:p w14:paraId="6E0628F9"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1.2-1.35</w:t>
            </w:r>
          </w:p>
        </w:tc>
        <w:tc>
          <w:tcPr>
            <w:tcW w:w="1418" w:type="dxa"/>
            <w:gridSpan w:val="2"/>
            <w:tcBorders>
              <w:top w:val="nil"/>
              <w:bottom w:val="nil"/>
            </w:tcBorders>
            <w:shd w:val="clear" w:color="auto" w:fill="DDD9C3" w:themeFill="background2" w:themeFillShade="E6"/>
            <w:vAlign w:val="center"/>
          </w:tcPr>
          <w:p w14:paraId="7D5ECBD8"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0.94</w:t>
            </w:r>
          </w:p>
        </w:tc>
        <w:tc>
          <w:tcPr>
            <w:tcW w:w="1134" w:type="dxa"/>
            <w:tcBorders>
              <w:top w:val="nil"/>
              <w:bottom w:val="nil"/>
            </w:tcBorders>
            <w:shd w:val="clear" w:color="auto" w:fill="DDD9C3" w:themeFill="background2" w:themeFillShade="E6"/>
            <w:vAlign w:val="center"/>
          </w:tcPr>
          <w:p w14:paraId="38BF132F"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0.9 -2.7</w:t>
            </w:r>
          </w:p>
        </w:tc>
        <w:tc>
          <w:tcPr>
            <w:tcW w:w="1417" w:type="dxa"/>
            <w:tcBorders>
              <w:top w:val="nil"/>
              <w:bottom w:val="nil"/>
            </w:tcBorders>
            <w:shd w:val="clear" w:color="auto" w:fill="DDD9C3" w:themeFill="background2" w:themeFillShade="E6"/>
            <w:vAlign w:val="center"/>
          </w:tcPr>
          <w:p w14:paraId="154FB357"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1.28</w:t>
            </w:r>
          </w:p>
        </w:tc>
        <w:tc>
          <w:tcPr>
            <w:tcW w:w="1317" w:type="dxa"/>
            <w:tcBorders>
              <w:top w:val="nil"/>
              <w:bottom w:val="nil"/>
            </w:tcBorders>
            <w:shd w:val="clear" w:color="auto" w:fill="DDD9C3" w:themeFill="background2" w:themeFillShade="E6"/>
            <w:vAlign w:val="center"/>
          </w:tcPr>
          <w:p w14:paraId="2D9FCC1A"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0.94</w:t>
            </w:r>
          </w:p>
        </w:tc>
        <w:tc>
          <w:tcPr>
            <w:tcW w:w="1107" w:type="dxa"/>
            <w:tcBorders>
              <w:top w:val="nil"/>
              <w:bottom w:val="nil"/>
            </w:tcBorders>
            <w:shd w:val="clear" w:color="auto" w:fill="DDD9C3" w:themeFill="background2" w:themeFillShade="E6"/>
            <w:vAlign w:val="center"/>
          </w:tcPr>
          <w:p w14:paraId="6665BD76"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1.71</w:t>
            </w:r>
          </w:p>
        </w:tc>
        <w:tc>
          <w:tcPr>
            <w:tcW w:w="1205" w:type="dxa"/>
            <w:tcBorders>
              <w:top w:val="nil"/>
              <w:bottom w:val="nil"/>
            </w:tcBorders>
            <w:shd w:val="clear" w:color="auto" w:fill="DDD9C3" w:themeFill="background2" w:themeFillShade="E6"/>
            <w:vAlign w:val="center"/>
          </w:tcPr>
          <w:p w14:paraId="682244A9"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1.31</w:t>
            </w:r>
          </w:p>
        </w:tc>
      </w:tr>
      <w:tr w:rsidR="0059608E" w:rsidRPr="00FC5EFF" w14:paraId="272713A8"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7201DB52"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Atrazine</w:t>
            </w:r>
          </w:p>
        </w:tc>
        <w:tc>
          <w:tcPr>
            <w:tcW w:w="1417" w:type="dxa"/>
            <w:tcBorders>
              <w:top w:val="nil"/>
              <w:left w:val="single" w:sz="4" w:space="0" w:color="auto"/>
              <w:bottom w:val="nil"/>
            </w:tcBorders>
            <w:shd w:val="clear" w:color="auto" w:fill="DDD9C3" w:themeFill="background2" w:themeFillShade="E6"/>
            <w:vAlign w:val="center"/>
          </w:tcPr>
          <w:p w14:paraId="4C47DF6F"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0.05-0.06</w:t>
            </w:r>
          </w:p>
        </w:tc>
        <w:tc>
          <w:tcPr>
            <w:tcW w:w="1418" w:type="dxa"/>
            <w:gridSpan w:val="2"/>
            <w:tcBorders>
              <w:top w:val="nil"/>
              <w:bottom w:val="nil"/>
            </w:tcBorders>
            <w:shd w:val="clear" w:color="auto" w:fill="DDD9C3" w:themeFill="background2" w:themeFillShade="E6"/>
            <w:vAlign w:val="center"/>
          </w:tcPr>
          <w:p w14:paraId="7C538EE5"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0.1-0.4</w:t>
            </w:r>
          </w:p>
        </w:tc>
        <w:tc>
          <w:tcPr>
            <w:tcW w:w="1134" w:type="dxa"/>
            <w:tcBorders>
              <w:top w:val="nil"/>
              <w:bottom w:val="nil"/>
            </w:tcBorders>
            <w:shd w:val="clear" w:color="auto" w:fill="DDD9C3" w:themeFill="background2" w:themeFillShade="E6"/>
            <w:vAlign w:val="center"/>
          </w:tcPr>
          <w:p w14:paraId="2C9DE4C6"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0.15 -0.3</w:t>
            </w:r>
          </w:p>
        </w:tc>
        <w:tc>
          <w:tcPr>
            <w:tcW w:w="1417" w:type="dxa"/>
            <w:tcBorders>
              <w:top w:val="nil"/>
              <w:bottom w:val="nil"/>
            </w:tcBorders>
            <w:shd w:val="clear" w:color="auto" w:fill="DDD9C3" w:themeFill="background2" w:themeFillShade="E6"/>
            <w:vAlign w:val="center"/>
          </w:tcPr>
          <w:p w14:paraId="405E43E4"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0.05</w:t>
            </w:r>
          </w:p>
        </w:tc>
        <w:tc>
          <w:tcPr>
            <w:tcW w:w="1317" w:type="dxa"/>
            <w:tcBorders>
              <w:top w:val="nil"/>
              <w:bottom w:val="nil"/>
            </w:tcBorders>
            <w:shd w:val="clear" w:color="auto" w:fill="DDD9C3" w:themeFill="background2" w:themeFillShade="E6"/>
            <w:vAlign w:val="center"/>
          </w:tcPr>
          <w:p w14:paraId="7B5F5200"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0.22</w:t>
            </w:r>
          </w:p>
        </w:tc>
        <w:tc>
          <w:tcPr>
            <w:tcW w:w="1107" w:type="dxa"/>
            <w:tcBorders>
              <w:top w:val="nil"/>
              <w:bottom w:val="nil"/>
            </w:tcBorders>
            <w:shd w:val="clear" w:color="auto" w:fill="DDD9C3" w:themeFill="background2" w:themeFillShade="E6"/>
            <w:vAlign w:val="center"/>
          </w:tcPr>
          <w:p w14:paraId="12D9B17B"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0.21</w:t>
            </w:r>
          </w:p>
        </w:tc>
        <w:tc>
          <w:tcPr>
            <w:tcW w:w="1205" w:type="dxa"/>
            <w:tcBorders>
              <w:top w:val="nil"/>
              <w:bottom w:val="nil"/>
            </w:tcBorders>
            <w:shd w:val="clear" w:color="auto" w:fill="DDD9C3" w:themeFill="background2" w:themeFillShade="E6"/>
            <w:vAlign w:val="center"/>
          </w:tcPr>
          <w:p w14:paraId="447A6951"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0.16</w:t>
            </w:r>
          </w:p>
        </w:tc>
      </w:tr>
      <w:tr w:rsidR="0059608E" w:rsidRPr="00FC5EFF" w14:paraId="0811AF2D" w14:textId="77777777" w:rsidTr="006130D4">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2129D599"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Desethyl-atrazine</w:t>
            </w:r>
          </w:p>
        </w:tc>
        <w:tc>
          <w:tcPr>
            <w:tcW w:w="1417" w:type="dxa"/>
            <w:tcBorders>
              <w:top w:val="nil"/>
              <w:left w:val="single" w:sz="4" w:space="0" w:color="auto"/>
              <w:bottom w:val="nil"/>
            </w:tcBorders>
            <w:shd w:val="clear" w:color="auto" w:fill="DDD9C3" w:themeFill="background2" w:themeFillShade="E6"/>
            <w:vAlign w:val="center"/>
          </w:tcPr>
          <w:p w14:paraId="5CF3FF95"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14:paraId="17A0EF64"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14:paraId="140C9743"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0.01-0.2</w:t>
            </w:r>
          </w:p>
        </w:tc>
        <w:tc>
          <w:tcPr>
            <w:tcW w:w="1417" w:type="dxa"/>
            <w:tcBorders>
              <w:top w:val="nil"/>
              <w:bottom w:val="nil"/>
            </w:tcBorders>
            <w:shd w:val="clear" w:color="auto" w:fill="DDD9C3" w:themeFill="background2" w:themeFillShade="E6"/>
            <w:vAlign w:val="center"/>
          </w:tcPr>
          <w:p w14:paraId="4213A734"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14:paraId="070242C5"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14:paraId="7CC840FA"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0.105</w:t>
            </w:r>
          </w:p>
        </w:tc>
        <w:tc>
          <w:tcPr>
            <w:tcW w:w="1205" w:type="dxa"/>
            <w:tcBorders>
              <w:top w:val="nil"/>
              <w:bottom w:val="nil"/>
            </w:tcBorders>
            <w:shd w:val="clear" w:color="auto" w:fill="DDD9C3" w:themeFill="background2" w:themeFillShade="E6"/>
            <w:vAlign w:val="center"/>
          </w:tcPr>
          <w:p w14:paraId="2971A69D"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0.11</w:t>
            </w:r>
          </w:p>
        </w:tc>
      </w:tr>
      <w:tr w:rsidR="0059608E" w:rsidRPr="00FC5EFF" w14:paraId="4045C152"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297A1888"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Desisopropyl- atrazine</w:t>
            </w:r>
          </w:p>
        </w:tc>
        <w:tc>
          <w:tcPr>
            <w:tcW w:w="1417" w:type="dxa"/>
            <w:tcBorders>
              <w:top w:val="nil"/>
              <w:left w:val="single" w:sz="4" w:space="0" w:color="auto"/>
              <w:bottom w:val="nil"/>
            </w:tcBorders>
            <w:shd w:val="clear" w:color="auto" w:fill="DDD9C3" w:themeFill="background2" w:themeFillShade="E6"/>
            <w:vAlign w:val="center"/>
          </w:tcPr>
          <w:p w14:paraId="4C0BE250"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14:paraId="7EF5E6C8"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14:paraId="3AA3910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0.003</w:t>
            </w:r>
          </w:p>
        </w:tc>
        <w:tc>
          <w:tcPr>
            <w:tcW w:w="1417" w:type="dxa"/>
            <w:tcBorders>
              <w:top w:val="nil"/>
              <w:bottom w:val="nil"/>
            </w:tcBorders>
            <w:shd w:val="clear" w:color="auto" w:fill="DDD9C3" w:themeFill="background2" w:themeFillShade="E6"/>
            <w:vAlign w:val="center"/>
          </w:tcPr>
          <w:p w14:paraId="30006615"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14:paraId="1A58FC9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14:paraId="62DFC35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0.003</w:t>
            </w:r>
          </w:p>
        </w:tc>
        <w:tc>
          <w:tcPr>
            <w:tcW w:w="1205" w:type="dxa"/>
            <w:tcBorders>
              <w:top w:val="nil"/>
              <w:bottom w:val="nil"/>
            </w:tcBorders>
            <w:shd w:val="clear" w:color="auto" w:fill="DDD9C3" w:themeFill="background2" w:themeFillShade="E6"/>
            <w:vAlign w:val="center"/>
          </w:tcPr>
          <w:p w14:paraId="3D56A6B2"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0.003</w:t>
            </w:r>
          </w:p>
        </w:tc>
      </w:tr>
      <w:tr w:rsidR="0059608E" w:rsidRPr="00FC5EFF" w14:paraId="5AC14041" w14:textId="77777777" w:rsidTr="006130D4">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4F164BA4"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Flumeturon</w:t>
            </w:r>
          </w:p>
        </w:tc>
        <w:tc>
          <w:tcPr>
            <w:tcW w:w="1417" w:type="dxa"/>
            <w:tcBorders>
              <w:top w:val="nil"/>
              <w:left w:val="single" w:sz="4" w:space="0" w:color="auto"/>
              <w:bottom w:val="nil"/>
            </w:tcBorders>
            <w:shd w:val="clear" w:color="auto" w:fill="DDD9C3" w:themeFill="background2" w:themeFillShade="E6"/>
            <w:vAlign w:val="center"/>
          </w:tcPr>
          <w:p w14:paraId="2560BF27"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14:paraId="0B91F637"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14:paraId="799F548C"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0.04</w:t>
            </w:r>
          </w:p>
        </w:tc>
        <w:tc>
          <w:tcPr>
            <w:tcW w:w="1417" w:type="dxa"/>
            <w:tcBorders>
              <w:top w:val="nil"/>
              <w:bottom w:val="nil"/>
            </w:tcBorders>
            <w:shd w:val="clear" w:color="auto" w:fill="DDD9C3" w:themeFill="background2" w:themeFillShade="E6"/>
            <w:vAlign w:val="center"/>
          </w:tcPr>
          <w:p w14:paraId="707B8461"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14:paraId="4D927174"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14:paraId="06173E7E"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0.04</w:t>
            </w:r>
          </w:p>
        </w:tc>
        <w:tc>
          <w:tcPr>
            <w:tcW w:w="1205" w:type="dxa"/>
            <w:tcBorders>
              <w:top w:val="nil"/>
              <w:bottom w:val="nil"/>
            </w:tcBorders>
            <w:shd w:val="clear" w:color="auto" w:fill="DDD9C3" w:themeFill="background2" w:themeFillShade="E6"/>
            <w:vAlign w:val="center"/>
          </w:tcPr>
          <w:p w14:paraId="44C528F6"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0.04</w:t>
            </w:r>
          </w:p>
        </w:tc>
      </w:tr>
      <w:tr w:rsidR="0059608E" w:rsidRPr="00FC5EFF" w14:paraId="2EDA5E06"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42CAE41E"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Hexazinone</w:t>
            </w:r>
          </w:p>
        </w:tc>
        <w:tc>
          <w:tcPr>
            <w:tcW w:w="1417" w:type="dxa"/>
            <w:tcBorders>
              <w:top w:val="nil"/>
              <w:left w:val="single" w:sz="4" w:space="0" w:color="auto"/>
              <w:bottom w:val="nil"/>
            </w:tcBorders>
            <w:shd w:val="clear" w:color="auto" w:fill="DDD9C3" w:themeFill="background2" w:themeFillShade="E6"/>
            <w:vAlign w:val="center"/>
          </w:tcPr>
          <w:p w14:paraId="7C9E18F4"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0.2-0.26</w:t>
            </w:r>
          </w:p>
        </w:tc>
        <w:tc>
          <w:tcPr>
            <w:tcW w:w="1418" w:type="dxa"/>
            <w:gridSpan w:val="2"/>
            <w:tcBorders>
              <w:top w:val="nil"/>
              <w:bottom w:val="nil"/>
            </w:tcBorders>
            <w:shd w:val="clear" w:color="auto" w:fill="DDD9C3" w:themeFill="background2" w:themeFillShade="E6"/>
            <w:vAlign w:val="center"/>
          </w:tcPr>
          <w:p w14:paraId="58304279"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0.27-0.82</w:t>
            </w:r>
          </w:p>
        </w:tc>
        <w:tc>
          <w:tcPr>
            <w:tcW w:w="1134" w:type="dxa"/>
            <w:tcBorders>
              <w:top w:val="nil"/>
              <w:bottom w:val="nil"/>
            </w:tcBorders>
            <w:shd w:val="clear" w:color="auto" w:fill="DDD9C3" w:themeFill="background2" w:themeFillShade="E6"/>
            <w:vAlign w:val="center"/>
          </w:tcPr>
          <w:p w14:paraId="4E730348"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0.17-0.95</w:t>
            </w:r>
          </w:p>
        </w:tc>
        <w:tc>
          <w:tcPr>
            <w:tcW w:w="1417" w:type="dxa"/>
            <w:tcBorders>
              <w:top w:val="nil"/>
              <w:bottom w:val="nil"/>
            </w:tcBorders>
            <w:shd w:val="clear" w:color="auto" w:fill="DDD9C3" w:themeFill="background2" w:themeFillShade="E6"/>
            <w:vAlign w:val="center"/>
          </w:tcPr>
          <w:p w14:paraId="2D51CD81"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0.23</w:t>
            </w:r>
          </w:p>
        </w:tc>
        <w:tc>
          <w:tcPr>
            <w:tcW w:w="1317" w:type="dxa"/>
            <w:tcBorders>
              <w:top w:val="nil"/>
              <w:bottom w:val="nil"/>
            </w:tcBorders>
            <w:shd w:val="clear" w:color="auto" w:fill="DDD9C3" w:themeFill="background2" w:themeFillShade="E6"/>
            <w:vAlign w:val="center"/>
          </w:tcPr>
          <w:p w14:paraId="36459A5E"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0.46</w:t>
            </w:r>
          </w:p>
        </w:tc>
        <w:tc>
          <w:tcPr>
            <w:tcW w:w="1107" w:type="dxa"/>
            <w:tcBorders>
              <w:top w:val="nil"/>
              <w:bottom w:val="nil"/>
            </w:tcBorders>
            <w:shd w:val="clear" w:color="auto" w:fill="DDD9C3" w:themeFill="background2" w:themeFillShade="E6"/>
            <w:vAlign w:val="center"/>
          </w:tcPr>
          <w:p w14:paraId="273FCD16"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0.44</w:t>
            </w:r>
          </w:p>
        </w:tc>
        <w:tc>
          <w:tcPr>
            <w:tcW w:w="1205" w:type="dxa"/>
            <w:tcBorders>
              <w:top w:val="nil"/>
              <w:bottom w:val="nil"/>
            </w:tcBorders>
            <w:shd w:val="clear" w:color="auto" w:fill="DDD9C3" w:themeFill="background2" w:themeFillShade="E6"/>
            <w:vAlign w:val="center"/>
          </w:tcPr>
          <w:p w14:paraId="55AB7CAA"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0.38</w:t>
            </w:r>
          </w:p>
        </w:tc>
      </w:tr>
      <w:tr w:rsidR="0059608E" w:rsidRPr="00FC5EFF" w14:paraId="25CD1467" w14:textId="77777777" w:rsidTr="006130D4">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0A55E4F9"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Prometryn</w:t>
            </w:r>
          </w:p>
        </w:tc>
        <w:tc>
          <w:tcPr>
            <w:tcW w:w="1417" w:type="dxa"/>
            <w:tcBorders>
              <w:top w:val="nil"/>
              <w:left w:val="single" w:sz="4" w:space="0" w:color="auto"/>
              <w:bottom w:val="nil"/>
            </w:tcBorders>
            <w:shd w:val="clear" w:color="auto" w:fill="DDD9C3" w:themeFill="background2" w:themeFillShade="E6"/>
            <w:vAlign w:val="center"/>
          </w:tcPr>
          <w:p w14:paraId="1C3DE14D"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14:paraId="0CF90D55"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14:paraId="49813EDC"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1-1.1</w:t>
            </w:r>
          </w:p>
        </w:tc>
        <w:tc>
          <w:tcPr>
            <w:tcW w:w="1417" w:type="dxa"/>
            <w:tcBorders>
              <w:top w:val="nil"/>
              <w:bottom w:val="nil"/>
            </w:tcBorders>
            <w:shd w:val="clear" w:color="auto" w:fill="DDD9C3" w:themeFill="background2" w:themeFillShade="E6"/>
            <w:vAlign w:val="center"/>
          </w:tcPr>
          <w:p w14:paraId="7E55549C"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14:paraId="2A9BEAF2"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14:paraId="3A910C92"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1.05</w:t>
            </w:r>
          </w:p>
        </w:tc>
        <w:tc>
          <w:tcPr>
            <w:tcW w:w="1205" w:type="dxa"/>
            <w:tcBorders>
              <w:top w:val="nil"/>
              <w:bottom w:val="nil"/>
            </w:tcBorders>
            <w:shd w:val="clear" w:color="auto" w:fill="DDD9C3" w:themeFill="background2" w:themeFillShade="E6"/>
            <w:vAlign w:val="center"/>
          </w:tcPr>
          <w:p w14:paraId="699C21E4"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1.05</w:t>
            </w:r>
          </w:p>
        </w:tc>
      </w:tr>
      <w:tr w:rsidR="0059608E" w:rsidRPr="00FC5EFF" w14:paraId="46745C06"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47946E76"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Simazine</w:t>
            </w:r>
          </w:p>
        </w:tc>
        <w:tc>
          <w:tcPr>
            <w:tcW w:w="1417" w:type="dxa"/>
            <w:tcBorders>
              <w:top w:val="nil"/>
              <w:left w:val="single" w:sz="4" w:space="0" w:color="auto"/>
              <w:bottom w:val="nil"/>
            </w:tcBorders>
            <w:shd w:val="clear" w:color="auto" w:fill="DDD9C3" w:themeFill="background2" w:themeFillShade="E6"/>
            <w:vAlign w:val="center"/>
          </w:tcPr>
          <w:p w14:paraId="245E83CE"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w:t>
            </w:r>
          </w:p>
        </w:tc>
        <w:tc>
          <w:tcPr>
            <w:tcW w:w="1418" w:type="dxa"/>
            <w:gridSpan w:val="2"/>
            <w:tcBorders>
              <w:top w:val="nil"/>
              <w:bottom w:val="nil"/>
            </w:tcBorders>
            <w:shd w:val="clear" w:color="auto" w:fill="DDD9C3" w:themeFill="background2" w:themeFillShade="E6"/>
            <w:vAlign w:val="center"/>
          </w:tcPr>
          <w:p w14:paraId="58F32EA1"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0.03-0.05</w:t>
            </w:r>
          </w:p>
        </w:tc>
        <w:tc>
          <w:tcPr>
            <w:tcW w:w="1134" w:type="dxa"/>
            <w:tcBorders>
              <w:top w:val="nil"/>
              <w:bottom w:val="nil"/>
            </w:tcBorders>
            <w:shd w:val="clear" w:color="auto" w:fill="DDD9C3" w:themeFill="background2" w:themeFillShade="E6"/>
            <w:vAlign w:val="center"/>
          </w:tcPr>
          <w:p w14:paraId="0450CA8E"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0.02-0.26</w:t>
            </w:r>
          </w:p>
        </w:tc>
        <w:tc>
          <w:tcPr>
            <w:tcW w:w="1417" w:type="dxa"/>
            <w:tcBorders>
              <w:top w:val="nil"/>
              <w:bottom w:val="nil"/>
            </w:tcBorders>
            <w:shd w:val="clear" w:color="auto" w:fill="DDD9C3" w:themeFill="background2" w:themeFillShade="E6"/>
            <w:vAlign w:val="center"/>
          </w:tcPr>
          <w:p w14:paraId="2A776AE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w:t>
            </w:r>
          </w:p>
        </w:tc>
        <w:tc>
          <w:tcPr>
            <w:tcW w:w="1317" w:type="dxa"/>
            <w:tcBorders>
              <w:top w:val="nil"/>
              <w:bottom w:val="nil"/>
            </w:tcBorders>
            <w:shd w:val="clear" w:color="auto" w:fill="DDD9C3" w:themeFill="background2" w:themeFillShade="E6"/>
            <w:vAlign w:val="center"/>
          </w:tcPr>
          <w:p w14:paraId="424DC88F"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0.04</w:t>
            </w:r>
          </w:p>
        </w:tc>
        <w:tc>
          <w:tcPr>
            <w:tcW w:w="1107" w:type="dxa"/>
            <w:tcBorders>
              <w:top w:val="nil"/>
              <w:bottom w:val="nil"/>
            </w:tcBorders>
            <w:shd w:val="clear" w:color="auto" w:fill="DDD9C3" w:themeFill="background2" w:themeFillShade="E6"/>
            <w:vAlign w:val="center"/>
          </w:tcPr>
          <w:p w14:paraId="3D13F436"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0.14</w:t>
            </w:r>
          </w:p>
        </w:tc>
        <w:tc>
          <w:tcPr>
            <w:tcW w:w="1205" w:type="dxa"/>
            <w:tcBorders>
              <w:top w:val="nil"/>
              <w:bottom w:val="nil"/>
            </w:tcBorders>
            <w:shd w:val="clear" w:color="auto" w:fill="DDD9C3" w:themeFill="background2" w:themeFillShade="E6"/>
            <w:vAlign w:val="center"/>
          </w:tcPr>
          <w:p w14:paraId="418C826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0.07</w:t>
            </w:r>
          </w:p>
        </w:tc>
      </w:tr>
      <w:tr w:rsidR="0059608E" w:rsidRPr="00FC5EFF" w14:paraId="05A46FB8" w14:textId="77777777" w:rsidTr="006130D4">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right w:val="single" w:sz="4" w:space="0" w:color="auto"/>
            </w:tcBorders>
            <w:shd w:val="clear" w:color="auto" w:fill="DDD9C3" w:themeFill="background2" w:themeFillShade="E6"/>
            <w:vAlign w:val="center"/>
          </w:tcPr>
          <w:p w14:paraId="78FB3681" w14:textId="77777777" w:rsidR="0059608E" w:rsidRPr="00F83212" w:rsidRDefault="0059608E" w:rsidP="006130D4">
            <w:pPr>
              <w:spacing w:line="276" w:lineRule="auto"/>
              <w:jc w:val="center"/>
              <w:rPr>
                <w:rFonts w:cs="Arial"/>
                <w:b w:val="0"/>
                <w:color w:val="auto"/>
                <w:lang w:val="en-AU"/>
              </w:rPr>
            </w:pPr>
            <w:r w:rsidRPr="00F83212">
              <w:rPr>
                <w:rFonts w:cs="Arial"/>
                <w:b w:val="0"/>
                <w:color w:val="auto"/>
                <w:lang w:val="en-AU"/>
              </w:rPr>
              <w:t>Tebuthiuron</w:t>
            </w:r>
          </w:p>
        </w:tc>
        <w:tc>
          <w:tcPr>
            <w:tcW w:w="1417" w:type="dxa"/>
            <w:tcBorders>
              <w:top w:val="nil"/>
              <w:left w:val="single" w:sz="4" w:space="0" w:color="auto"/>
              <w:bottom w:val="nil"/>
            </w:tcBorders>
            <w:shd w:val="clear" w:color="auto" w:fill="DDD9C3" w:themeFill="background2" w:themeFillShade="E6"/>
            <w:vAlign w:val="center"/>
          </w:tcPr>
          <w:p w14:paraId="5866FB62"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w:t>
            </w:r>
          </w:p>
        </w:tc>
        <w:tc>
          <w:tcPr>
            <w:tcW w:w="1418" w:type="dxa"/>
            <w:gridSpan w:val="2"/>
            <w:tcBorders>
              <w:top w:val="nil"/>
              <w:bottom w:val="nil"/>
            </w:tcBorders>
            <w:shd w:val="clear" w:color="auto" w:fill="DDD9C3" w:themeFill="background2" w:themeFillShade="E6"/>
            <w:vAlign w:val="center"/>
          </w:tcPr>
          <w:p w14:paraId="01C6B6A5"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0.07</w:t>
            </w:r>
          </w:p>
        </w:tc>
        <w:tc>
          <w:tcPr>
            <w:tcW w:w="1134" w:type="dxa"/>
            <w:tcBorders>
              <w:top w:val="nil"/>
              <w:bottom w:val="nil"/>
            </w:tcBorders>
            <w:shd w:val="clear" w:color="auto" w:fill="DDD9C3" w:themeFill="background2" w:themeFillShade="E6"/>
            <w:vAlign w:val="center"/>
          </w:tcPr>
          <w:p w14:paraId="3F599BD4"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0.11-0.2</w:t>
            </w:r>
          </w:p>
        </w:tc>
        <w:tc>
          <w:tcPr>
            <w:tcW w:w="1417" w:type="dxa"/>
            <w:tcBorders>
              <w:top w:val="nil"/>
              <w:bottom w:val="nil"/>
            </w:tcBorders>
            <w:shd w:val="clear" w:color="auto" w:fill="DDD9C3" w:themeFill="background2" w:themeFillShade="E6"/>
            <w:vAlign w:val="center"/>
          </w:tcPr>
          <w:p w14:paraId="6BBBDD38"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w:t>
            </w:r>
          </w:p>
        </w:tc>
        <w:tc>
          <w:tcPr>
            <w:tcW w:w="1317" w:type="dxa"/>
            <w:tcBorders>
              <w:top w:val="nil"/>
              <w:bottom w:val="nil"/>
            </w:tcBorders>
            <w:shd w:val="clear" w:color="auto" w:fill="DDD9C3" w:themeFill="background2" w:themeFillShade="E6"/>
            <w:vAlign w:val="center"/>
          </w:tcPr>
          <w:p w14:paraId="2122AFF2"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0.07</w:t>
            </w:r>
          </w:p>
        </w:tc>
        <w:tc>
          <w:tcPr>
            <w:tcW w:w="1107" w:type="dxa"/>
            <w:tcBorders>
              <w:top w:val="nil"/>
              <w:bottom w:val="nil"/>
            </w:tcBorders>
            <w:shd w:val="clear" w:color="auto" w:fill="DDD9C3" w:themeFill="background2" w:themeFillShade="E6"/>
            <w:vAlign w:val="center"/>
          </w:tcPr>
          <w:p w14:paraId="4AC4A178"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0.15</w:t>
            </w:r>
          </w:p>
        </w:tc>
        <w:tc>
          <w:tcPr>
            <w:tcW w:w="1205" w:type="dxa"/>
            <w:tcBorders>
              <w:top w:val="nil"/>
              <w:bottom w:val="nil"/>
            </w:tcBorders>
            <w:shd w:val="clear" w:color="auto" w:fill="DDD9C3" w:themeFill="background2" w:themeFillShade="E6"/>
            <w:vAlign w:val="center"/>
          </w:tcPr>
          <w:p w14:paraId="7473482A" w14:textId="77777777" w:rsidR="0059608E" w:rsidRPr="00FC5EFF" w:rsidRDefault="0059608E" w:rsidP="006130D4">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0.08</w:t>
            </w:r>
          </w:p>
        </w:tc>
      </w:tr>
      <w:tr w:rsidR="0059608E" w:rsidRPr="00FC5EFF" w14:paraId="7FF9BB52" w14:textId="77777777" w:rsidTr="006130D4">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left w:val="single" w:sz="4" w:space="0" w:color="auto"/>
              <w:bottom w:val="single" w:sz="4" w:space="0" w:color="auto"/>
              <w:right w:val="single" w:sz="4" w:space="0" w:color="auto"/>
            </w:tcBorders>
            <w:shd w:val="clear" w:color="auto" w:fill="FFFFFF" w:themeFill="background1"/>
            <w:vAlign w:val="center"/>
          </w:tcPr>
          <w:p w14:paraId="105E8E15" w14:textId="77777777" w:rsidR="0059608E" w:rsidRPr="00FC5EFF" w:rsidRDefault="0059608E" w:rsidP="006130D4">
            <w:pPr>
              <w:spacing w:line="276" w:lineRule="auto"/>
              <w:jc w:val="left"/>
              <w:rPr>
                <w:rFonts w:cs="Arial"/>
                <w:b w:val="0"/>
                <w:lang w:val="en-AU"/>
              </w:rPr>
            </w:pPr>
            <w:r w:rsidRPr="00FC5EFF">
              <w:rPr>
                <w:rFonts w:cs="Arial"/>
                <w:b w:val="0"/>
                <w:lang w:val="en-AU"/>
              </w:rPr>
              <w:t>Terbuthylazine</w:t>
            </w:r>
          </w:p>
        </w:tc>
        <w:tc>
          <w:tcPr>
            <w:tcW w:w="1417" w:type="dxa"/>
            <w:tcBorders>
              <w:top w:val="nil"/>
              <w:left w:val="single" w:sz="4" w:space="0" w:color="auto"/>
              <w:bottom w:val="single" w:sz="4" w:space="0" w:color="auto"/>
            </w:tcBorders>
            <w:shd w:val="clear" w:color="auto" w:fill="FFFFFF" w:themeFill="background1"/>
            <w:vAlign w:val="center"/>
          </w:tcPr>
          <w:p w14:paraId="167D83DD"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418" w:type="dxa"/>
            <w:gridSpan w:val="2"/>
            <w:tcBorders>
              <w:top w:val="nil"/>
              <w:bottom w:val="single" w:sz="4" w:space="0" w:color="auto"/>
            </w:tcBorders>
            <w:shd w:val="clear" w:color="auto" w:fill="FFFFFF" w:themeFill="background1"/>
            <w:vAlign w:val="center"/>
          </w:tcPr>
          <w:p w14:paraId="68386CA8"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34" w:type="dxa"/>
            <w:tcBorders>
              <w:top w:val="nil"/>
              <w:bottom w:val="single" w:sz="4" w:space="0" w:color="auto"/>
            </w:tcBorders>
            <w:shd w:val="clear" w:color="auto" w:fill="FFFFFF" w:themeFill="background1"/>
            <w:vAlign w:val="center"/>
          </w:tcPr>
          <w:p w14:paraId="57AD4BC9"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0.3</w:t>
            </w:r>
          </w:p>
        </w:tc>
        <w:tc>
          <w:tcPr>
            <w:tcW w:w="1417" w:type="dxa"/>
            <w:tcBorders>
              <w:top w:val="nil"/>
              <w:bottom w:val="single" w:sz="4" w:space="0" w:color="auto"/>
            </w:tcBorders>
            <w:shd w:val="clear" w:color="auto" w:fill="FFFFFF" w:themeFill="background1"/>
            <w:vAlign w:val="center"/>
          </w:tcPr>
          <w:p w14:paraId="2E41474C"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317" w:type="dxa"/>
            <w:tcBorders>
              <w:top w:val="nil"/>
              <w:bottom w:val="single" w:sz="4" w:space="0" w:color="auto"/>
            </w:tcBorders>
            <w:shd w:val="clear" w:color="auto" w:fill="FFFFFF" w:themeFill="background1"/>
            <w:vAlign w:val="center"/>
          </w:tcPr>
          <w:p w14:paraId="1958E9F5"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07" w:type="dxa"/>
            <w:tcBorders>
              <w:top w:val="nil"/>
              <w:bottom w:val="single" w:sz="4" w:space="0" w:color="auto"/>
            </w:tcBorders>
            <w:shd w:val="clear" w:color="auto" w:fill="FFFFFF" w:themeFill="background1"/>
            <w:vAlign w:val="center"/>
          </w:tcPr>
          <w:p w14:paraId="03140A17"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0.3</w:t>
            </w:r>
          </w:p>
        </w:tc>
        <w:tc>
          <w:tcPr>
            <w:tcW w:w="1205" w:type="dxa"/>
            <w:tcBorders>
              <w:top w:val="nil"/>
              <w:bottom w:val="single" w:sz="4" w:space="0" w:color="auto"/>
            </w:tcBorders>
            <w:shd w:val="clear" w:color="auto" w:fill="auto"/>
            <w:vAlign w:val="center"/>
          </w:tcPr>
          <w:p w14:paraId="32D3BCAB" w14:textId="77777777" w:rsidR="0059608E" w:rsidRPr="00FC5EFF" w:rsidRDefault="0059608E" w:rsidP="006130D4">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0.3</w:t>
            </w:r>
          </w:p>
        </w:tc>
      </w:tr>
    </w:tbl>
    <w:p w14:paraId="2A942968" w14:textId="77777777" w:rsidR="0059608E" w:rsidRDefault="0059608E" w:rsidP="006130D4">
      <w:pPr>
        <w:pStyle w:val="Footer"/>
        <w:spacing w:line="276" w:lineRule="auto"/>
        <w:rPr>
          <w:sz w:val="18"/>
          <w:szCs w:val="18"/>
          <w:lang w:val="en-AU"/>
        </w:rPr>
      </w:pPr>
      <w:r w:rsidRPr="00ED6396">
        <w:rPr>
          <w:sz w:val="18"/>
          <w:szCs w:val="18"/>
          <w:vertAlign w:val="superscript"/>
          <w:lang w:val="en-AU"/>
        </w:rPr>
        <w:t>a</w:t>
      </w:r>
      <w:r w:rsidR="00D74133" w:rsidRPr="00D74133">
        <w:rPr>
          <w:sz w:val="18"/>
          <w:szCs w:val="18"/>
          <w:lang w:val="en-AU"/>
        </w:rPr>
        <w:fldChar w:fldCharType="begin"/>
      </w:r>
      <w:r w:rsidR="00D74133" w:rsidRPr="00D74133">
        <w:rPr>
          <w:sz w:val="18"/>
          <w:szCs w:val="18"/>
          <w:lang w:val="en-AU"/>
        </w:rPr>
        <w:instrText xml:space="preserve"> ADDIN EN.CITE &lt;EndNote&gt;&lt;Cite&gt;&lt;Author&gt;Jones&lt;/Author&gt;&lt;Year&gt;2003&lt;/Year&gt;&lt;RecNum&gt;364&lt;/RecNum&gt;&lt;DisplayText&gt;(Jones and Kerswell, 2003)&lt;/DisplayText&gt;&lt;record&gt;&lt;rec-number&gt;364&lt;/rec-number&gt;&lt;foreign-keys&gt;&lt;key app="EN" db-id="0zzrztwe5p59skesdrqpsfeu2s0xt5zd5v9p" timestamp="1466654136"&gt;364&lt;/key&gt;&lt;/foreign-keys&gt;&lt;ref-type name="Journal Article"&gt;17&lt;/ref-type&gt;&lt;contributors&gt;&lt;authors&gt;&lt;author&gt;Jones, Ross J&lt;/author&gt;&lt;author&gt;Kerswell, Ailsa P&lt;/author&gt;&lt;/authors&gt;&lt;/contributors&gt;&lt;titles&gt;&lt;title&gt;Phytotoxicity of photosystem II (PSII) herbicides to coral&lt;/title&gt;&lt;secondary-title&gt;Marine Ecology Progress Series&lt;/secondary-title&gt;&lt;/titles&gt;&lt;periodical&gt;&lt;full-title&gt;Marine Ecology Progress Series&lt;/full-title&gt;&lt;/periodical&gt;&lt;pages&gt;149-159&lt;/pages&gt;&lt;volume&gt;261&lt;/volume&gt;&lt;dates&gt;&lt;year&gt;2003&lt;/year&gt;&lt;/dates&gt;&lt;isbn&gt;0171-8630&lt;/isbn&gt;&lt;urls&gt;&lt;/urls&gt;&lt;/record&gt;&lt;/Cite&gt;&lt;/EndNote&gt;</w:instrText>
      </w:r>
      <w:r w:rsidR="00D74133" w:rsidRPr="00D74133">
        <w:rPr>
          <w:sz w:val="18"/>
          <w:szCs w:val="18"/>
          <w:lang w:val="en-AU"/>
        </w:rPr>
        <w:fldChar w:fldCharType="separate"/>
      </w:r>
      <w:r w:rsidR="00D74133" w:rsidRPr="00D74133">
        <w:rPr>
          <w:noProof/>
          <w:sz w:val="18"/>
          <w:szCs w:val="18"/>
          <w:lang w:val="en-AU"/>
        </w:rPr>
        <w:t>(Jones and Kerswell, 2003)</w:t>
      </w:r>
      <w:r w:rsidR="00D74133" w:rsidRPr="00D74133">
        <w:rPr>
          <w:sz w:val="18"/>
          <w:szCs w:val="18"/>
          <w:lang w:val="en-AU"/>
        </w:rPr>
        <w:fldChar w:fldCharType="end"/>
      </w:r>
      <w:r w:rsidRPr="00ED6396">
        <w:rPr>
          <w:sz w:val="18"/>
          <w:szCs w:val="18"/>
          <w:lang w:val="en-AU"/>
        </w:rPr>
        <w:t>;</w:t>
      </w:r>
      <w:r w:rsidRPr="00ED6396">
        <w:rPr>
          <w:sz w:val="18"/>
          <w:szCs w:val="18"/>
          <w:vertAlign w:val="superscript"/>
          <w:lang w:val="en-AU"/>
        </w:rPr>
        <w:t>b</w:t>
      </w:r>
      <w:r w:rsidRPr="00ED6396">
        <w:rPr>
          <w:sz w:val="18"/>
          <w:szCs w:val="18"/>
          <w:lang w:val="en-AU"/>
        </w:rPr>
        <w:t xml:space="preserve"> </w:t>
      </w:r>
      <w:r w:rsidR="00D74133">
        <w:rPr>
          <w:sz w:val="18"/>
          <w:szCs w:val="18"/>
          <w:lang w:val="en-AU"/>
        </w:rPr>
        <w:fldChar w:fldCharType="begin"/>
      </w:r>
      <w:r w:rsidR="00D74133">
        <w:rPr>
          <w:sz w:val="18"/>
          <w:szCs w:val="18"/>
          <w:lang w:val="en-AU"/>
        </w:rPr>
        <w:instrText xml:space="preserve"> ADDIN EN.CITE &lt;EndNote&gt;&lt;Cite&gt;&lt;Author&gt;Muller&lt;/Author&gt;&lt;Year&gt;2008&lt;/Year&gt;&lt;RecNum&gt;363&lt;/RecNum&gt;&lt;DisplayText&gt;(Muller et al., 2008)&lt;/DisplayText&gt;&lt;record&gt;&lt;rec-number&gt;363&lt;/rec-number&gt;&lt;foreign-keys&gt;&lt;key app="EN" db-id="0zzrztwe5p59skesdrqpsfeu2s0xt5zd5v9p" timestamp="1466654070"&gt;363&lt;/key&gt;&lt;/foreign-keys&gt;&lt;ref-type name="Journal Article"&gt;17&lt;/ref-type&gt;&lt;contributors&gt;&lt;authors&gt;&lt;author&gt;Muller, Renee&lt;/author&gt;&lt;author&gt;Schreiber, Ulrich&lt;/author&gt;&lt;author&gt;Escher, Beate I&lt;/author&gt;&lt;author&gt;Quayle, Pamela&lt;/author&gt;&lt;author&gt;Nash, Susan M Bengtson&lt;/author&gt;&lt;author&gt;Mueller, Jochen F&lt;/author&gt;&lt;/authors&gt;&lt;/contributors&gt;&lt;titles&gt;&lt;title&gt;Rapid exposure assessment of PSII herbicides in surface water using a novel chlorophyll a fluorescence imaging assay&lt;/title&gt;&lt;secondary-title&gt;Science of the Total Environment&lt;/secondary-title&gt;&lt;/titles&gt;&lt;periodical&gt;&lt;full-title&gt;Science of the total environment&lt;/full-title&gt;&lt;/periodical&gt;&lt;pages&gt;51-59&lt;/pages&gt;&lt;volume&gt;401&lt;/volume&gt;&lt;number&gt;1&lt;/number&gt;&lt;dates&gt;&lt;year&gt;2008&lt;/year&gt;&lt;/dates&gt;&lt;isbn&gt;0048-9697&lt;/isbn&gt;&lt;urls&gt;&lt;/urls&gt;&lt;/record&gt;&lt;/Cite&gt;&lt;/EndNote&gt;</w:instrText>
      </w:r>
      <w:r w:rsidR="00D74133">
        <w:rPr>
          <w:sz w:val="18"/>
          <w:szCs w:val="18"/>
          <w:lang w:val="en-AU"/>
        </w:rPr>
        <w:fldChar w:fldCharType="separate"/>
      </w:r>
      <w:r w:rsidR="00D74133">
        <w:rPr>
          <w:noProof/>
          <w:sz w:val="18"/>
          <w:szCs w:val="18"/>
          <w:lang w:val="en-AU"/>
        </w:rPr>
        <w:t>(Muller et al., 2008)</w:t>
      </w:r>
      <w:r w:rsidR="00D74133">
        <w:rPr>
          <w:sz w:val="18"/>
          <w:szCs w:val="18"/>
          <w:lang w:val="en-AU"/>
        </w:rPr>
        <w:fldChar w:fldCharType="end"/>
      </w:r>
      <w:r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21595B">
        <w:rPr>
          <w:sz w:val="18"/>
          <w:szCs w:val="18"/>
          <w:lang w:val="en-AU"/>
        </w:rPr>
        <w:fldChar w:fldCharType="begin"/>
      </w:r>
      <w:r w:rsidR="0021595B">
        <w:rPr>
          <w:sz w:val="18"/>
          <w:szCs w:val="18"/>
          <w:lang w:val="en-AU"/>
        </w:rPr>
        <w:instrText xml:space="preserve"> ADDIN EN.CITE &lt;EndNote&gt;&lt;Cite&gt;&lt;Author&gt;Nash&lt;/Author&gt;&lt;Year&gt;2005&lt;/Year&gt;&lt;RecNum&gt;365&lt;/RecNum&gt;&lt;DisplayText&gt;(Nash et al., 2005)&lt;/DisplayText&gt;&lt;record&gt;&lt;rec-number&gt;365&lt;/rec-number&gt;&lt;foreign-keys&gt;&lt;key app="EN" db-id="0zzrztwe5p59skesdrqpsfeu2s0xt5zd5v9p" timestamp="1466654868"&gt;365&lt;/key&gt;&lt;/foreign-keys&gt;&lt;ref-type name="Journal Article"&gt;17&lt;/ref-type&gt;&lt;contributors&gt;&lt;authors&gt;&lt;author&gt;Nash, SM Bengtson&lt;/author&gt;&lt;author&gt;McMahon, Kathryn&lt;/author&gt;&lt;author&gt;Eaglesham, Geoff&lt;/author&gt;&lt;author&gt;Müller, JF&lt;/author&gt;&lt;/authors&gt;&lt;/contributors&gt;&lt;titles&gt;&lt;title&gt;Application of a novel phytotoxicity assay for the detection of herbicides in Hervey Bay and the Great Sandy Straits&lt;/title&gt;&lt;secondary-title&gt;Marine Pollution Bulletin&lt;/secondary-title&gt;&lt;/titles&gt;&lt;periodical&gt;&lt;full-title&gt;Marine pollution bulletin&lt;/full-title&gt;&lt;/periodical&gt;&lt;pages&gt;351-360&lt;/pages&gt;&lt;volume&gt;51&lt;/volume&gt;&lt;number&gt;1&lt;/number&gt;&lt;dates&gt;&lt;year&gt;2005&lt;/year&gt;&lt;/dates&gt;&lt;isbn&gt;0025-326X&lt;/isbn&gt;&lt;urls&gt;&lt;/urls&gt;&lt;/record&gt;&lt;/Cite&gt;&lt;/EndNote&gt;</w:instrText>
      </w:r>
      <w:r w:rsidR="0021595B">
        <w:rPr>
          <w:sz w:val="18"/>
          <w:szCs w:val="18"/>
          <w:lang w:val="en-AU"/>
        </w:rPr>
        <w:fldChar w:fldCharType="separate"/>
      </w:r>
      <w:r w:rsidR="0021595B">
        <w:rPr>
          <w:noProof/>
          <w:sz w:val="18"/>
          <w:szCs w:val="18"/>
          <w:lang w:val="en-AU"/>
        </w:rPr>
        <w:t>(Nash et al., 2005)</w:t>
      </w:r>
      <w:r w:rsidR="0021595B">
        <w:rPr>
          <w:sz w:val="18"/>
          <w:szCs w:val="18"/>
          <w:lang w:val="en-AU"/>
        </w:rPr>
        <w:fldChar w:fldCharType="end"/>
      </w:r>
      <w:r w:rsidRPr="00ED6396">
        <w:rPr>
          <w:sz w:val="18"/>
          <w:szCs w:val="18"/>
          <w:lang w:val="en-AU"/>
        </w:rPr>
        <w:t xml:space="preserve">; </w:t>
      </w:r>
      <w:r w:rsidRPr="00ED6396">
        <w:rPr>
          <w:sz w:val="18"/>
          <w:szCs w:val="18"/>
          <w:vertAlign w:val="superscript"/>
          <w:lang w:val="en-AU"/>
        </w:rPr>
        <w:t xml:space="preserve">d </w:t>
      </w:r>
      <w:r w:rsidR="0021595B">
        <w:rPr>
          <w:sz w:val="18"/>
          <w:szCs w:val="18"/>
          <w:vertAlign w:val="superscript"/>
          <w:lang w:val="en-AU"/>
        </w:rPr>
        <w:fldChar w:fldCharType="begin"/>
      </w:r>
      <w:r w:rsidR="0021595B">
        <w:rPr>
          <w:sz w:val="18"/>
          <w:szCs w:val="18"/>
          <w:vertAlign w:val="superscript"/>
          <w:lang w:val="en-AU"/>
        </w:rPr>
        <w:instrText xml:space="preserve"> ADDIN EN.CITE &lt;EndNote&gt;&lt;Cite&gt;&lt;Author&gt;Schmidt&lt;/Author&gt;&lt;Year&gt;2005&lt;/Year&gt;&lt;RecNum&gt;366&lt;/RecNum&gt;&lt;DisplayText&gt;(Schmidt, 2005)&lt;/DisplayText&gt;&lt;record&gt;&lt;rec-number&gt;366&lt;/rec-number&gt;&lt;foreign-keys&gt;&lt;key app="EN" db-id="0zzrztwe5p59skesdrqpsfeu2s0xt5zd5v9p" timestamp="1466654921"&gt;366&lt;/key&gt;&lt;/foreign-keys&gt;&lt;ref-type name="Journal Article"&gt;17&lt;/ref-type&gt;&lt;contributors&gt;&lt;authors&gt;&lt;author&gt;Schmidt, S&lt;/author&gt;&lt;/authors&gt;&lt;/contributors&gt;&lt;titles&gt;&lt;title&gt;Development and evaluation of the Maxi-Imaging-PAM algae assay using 96 well plates&lt;/title&gt;&lt;secondary-title&gt;The National Research Centre for Environmental Toxicology&lt;/secondary-title&gt;&lt;/titles&gt;&lt;periodical&gt;&lt;full-title&gt;The National Research Centre for Environmental Toxicology&lt;/full-title&gt;&lt;/periodical&gt;&lt;dates&gt;&lt;year&gt;2005&lt;/year&gt;&lt;/dates&gt;&lt;urls&gt;&lt;/urls&gt;&lt;/record&gt;&lt;/Cite&gt;&lt;/EndNote&gt;</w:instrText>
      </w:r>
      <w:r w:rsidR="0021595B">
        <w:rPr>
          <w:sz w:val="18"/>
          <w:szCs w:val="18"/>
          <w:vertAlign w:val="superscript"/>
          <w:lang w:val="en-AU"/>
        </w:rPr>
        <w:fldChar w:fldCharType="separate"/>
      </w:r>
      <w:r w:rsidR="0021595B" w:rsidRPr="0021595B">
        <w:rPr>
          <w:noProof/>
          <w:sz w:val="18"/>
          <w:szCs w:val="18"/>
          <w:lang w:val="en-AU"/>
        </w:rPr>
        <w:t>(Schmidt, 2005</w:t>
      </w:r>
      <w:r w:rsidR="0021595B">
        <w:rPr>
          <w:noProof/>
          <w:sz w:val="18"/>
          <w:szCs w:val="18"/>
          <w:vertAlign w:val="superscript"/>
          <w:lang w:val="en-AU"/>
        </w:rPr>
        <w:t>)</w:t>
      </w:r>
      <w:r w:rsidR="0021595B">
        <w:rPr>
          <w:sz w:val="18"/>
          <w:szCs w:val="18"/>
          <w:vertAlign w:val="superscript"/>
          <w:lang w:val="en-AU"/>
        </w:rPr>
        <w:fldChar w:fldCharType="end"/>
      </w:r>
      <w:r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Macova et al., unpublished data (Entox</w:t>
      </w:r>
      <w:r w:rsidRPr="00C11BBA">
        <w:rPr>
          <w:sz w:val="20"/>
          <w:szCs w:val="20"/>
          <w:lang w:val="en-AU"/>
        </w:rPr>
        <w:t>)</w:t>
      </w:r>
      <w:r>
        <w:rPr>
          <w:sz w:val="20"/>
          <w:szCs w:val="20"/>
          <w:lang w:val="en-AU"/>
        </w:rPr>
        <w:t xml:space="preserve">; </w:t>
      </w:r>
      <w:r w:rsidRPr="005B38C2">
        <w:rPr>
          <w:sz w:val="18"/>
          <w:szCs w:val="18"/>
          <w:vertAlign w:val="superscript"/>
          <w:lang w:val="en-AU"/>
        </w:rPr>
        <w:t>f</w:t>
      </w:r>
      <w:r w:rsidRPr="005B38C2">
        <w:rPr>
          <w:sz w:val="18"/>
          <w:szCs w:val="18"/>
          <w:lang w:val="en-AU"/>
        </w:rPr>
        <w:t>Based on a preliminary summary of available data when derived in 2009</w:t>
      </w:r>
      <w:r>
        <w:rPr>
          <w:sz w:val="18"/>
          <w:szCs w:val="18"/>
          <w:lang w:val="en-AU"/>
        </w:rPr>
        <w:t xml:space="preserve"> -</w:t>
      </w:r>
      <w:r w:rsidRPr="005B38C2">
        <w:rPr>
          <w:sz w:val="18"/>
          <w:szCs w:val="18"/>
          <w:lang w:val="en-AU"/>
        </w:rPr>
        <w:t xml:space="preserve"> it should be noted that bromacil (routinely analysed for since 2009-2010) and terbutryn (routinely analysed for from the end of 2010-2011) are also PSII herbicides and not currently incorporated into PSII-HEq estimates</w:t>
      </w:r>
      <w:r>
        <w:rPr>
          <w:sz w:val="18"/>
          <w:szCs w:val="18"/>
          <w:lang w:val="en-AU"/>
        </w:rPr>
        <w:t xml:space="preserve"> (no RPF). </w:t>
      </w:r>
    </w:p>
    <w:p w14:paraId="110554EC" w14:textId="77777777" w:rsidR="0059608E" w:rsidRDefault="0059608E" w:rsidP="006130D4">
      <w:pPr>
        <w:spacing w:line="276" w:lineRule="auto"/>
        <w:ind w:firstLine="357"/>
        <w:jc w:val="left"/>
        <w:rPr>
          <w:sz w:val="18"/>
          <w:szCs w:val="18"/>
          <w:lang w:val="en-AU"/>
        </w:rPr>
      </w:pPr>
    </w:p>
    <w:p w14:paraId="1497A8EB" w14:textId="77777777" w:rsidR="0059608E" w:rsidRDefault="0059608E" w:rsidP="006130D4">
      <w:pPr>
        <w:spacing w:line="360" w:lineRule="auto"/>
        <w:rPr>
          <w:lang w:val="en-AU" w:eastAsia="en-AU"/>
        </w:rPr>
      </w:pPr>
      <w:r w:rsidRPr="00C11BBA">
        <w:rPr>
          <w:lang w:val="en-AU" w:eastAsia="en-AU"/>
        </w:rPr>
        <w:t xml:space="preserve">This index uses published scientific evidence with respect to the effects of the reference PSII herbicide diuron </w:t>
      </w:r>
      <w:r>
        <w:rPr>
          <w:lang w:val="en-AU" w:eastAsia="en-AU"/>
        </w:rPr>
        <w:t>(</w:t>
      </w:r>
      <w:r w:rsidRPr="00C11BBA">
        <w:rPr>
          <w:lang w:val="en-AU" w:eastAsia="en-AU"/>
        </w:rPr>
        <w:t xml:space="preserve">summarized for each index category in </w:t>
      </w:r>
      <w:r>
        <w:rPr>
          <w:lang w:val="en-AU" w:eastAsia="en-AU"/>
        </w:rPr>
        <w:t>Appendix A, Table 19-20)</w:t>
      </w:r>
      <w:r w:rsidRPr="00C11BBA">
        <w:rPr>
          <w:lang w:val="en-AU" w:eastAsia="en-AU"/>
        </w:rPr>
        <w:t xml:space="preserve">. These index criteria have been slightly modified from those indicated in the baseline reporting year 2008-2009 </w:t>
      </w:r>
      <w:r>
        <w:rPr>
          <w:noProof/>
          <w:lang w:val="en-AU" w:eastAsia="en-AU"/>
        </w:rPr>
        <w:t>(Kennedy, Paxman, Dunn, O'Brien, &amp; Mueller, 2010)</w:t>
      </w:r>
      <w:r w:rsidRPr="00C11BBA">
        <w:rPr>
          <w:lang w:val="en-AU" w:eastAsia="en-AU"/>
        </w:rPr>
        <w:t>.</w:t>
      </w:r>
      <w:r>
        <w:rPr>
          <w:lang w:val="en-AU" w:eastAsia="en-AU"/>
        </w:rPr>
        <w:t xml:space="preserve"> Note that an increase in the concentrations of herbicides detected, which translates to an increase in PSII-HEq, can subsequently result in a decline in Index category (for e.g. Category 5 to Category 4). </w:t>
      </w:r>
    </w:p>
    <w:p w14:paraId="19380847" w14:textId="77777777" w:rsidR="0059608E" w:rsidRDefault="0059608E" w:rsidP="006130D4">
      <w:pPr>
        <w:spacing w:line="360" w:lineRule="auto"/>
        <w:rPr>
          <w:lang w:val="en-AU" w:eastAsia="en-AU"/>
        </w:rPr>
      </w:pPr>
    </w:p>
    <w:p w14:paraId="15A25B85" w14:textId="77777777" w:rsidR="001D1EBC" w:rsidRDefault="0059608E" w:rsidP="006130D4">
      <w:pPr>
        <w:spacing w:line="360" w:lineRule="auto"/>
      </w:pPr>
      <w:r>
        <w:rPr>
          <w:rFonts w:cs="Arial"/>
          <w:lang w:val="en-AU"/>
        </w:rPr>
        <w:t>The I</w:t>
      </w:r>
      <w:r w:rsidRPr="00C24A02">
        <w:rPr>
          <w:rFonts w:cs="Arial"/>
          <w:lang w:val="en-AU"/>
        </w:rPr>
        <w:t xml:space="preserve">ndex </w:t>
      </w:r>
      <w:r>
        <w:rPr>
          <w:rFonts w:cs="Arial"/>
          <w:lang w:val="en-AU"/>
        </w:rPr>
        <w:t>consists of five</w:t>
      </w:r>
      <w:r w:rsidRPr="00C24A02">
        <w:rPr>
          <w:rFonts w:cs="Arial"/>
          <w:lang w:val="en-AU"/>
        </w:rPr>
        <w:t xml:space="preserve"> </w:t>
      </w:r>
      <w:r w:rsidRPr="00C24A02">
        <w:t xml:space="preserve">Categories which range from </w:t>
      </w:r>
      <w:r>
        <w:t xml:space="preserve">Category </w:t>
      </w:r>
      <w:r w:rsidRPr="00C24A02">
        <w:t xml:space="preserve">1 (&gt; 900 </w:t>
      </w:r>
      <w:r>
        <w:rPr>
          <w:rFonts w:cs="Arial"/>
          <w:lang w:val="en-AU"/>
        </w:rPr>
        <w:t>ng L</w:t>
      </w:r>
      <w:r>
        <w:rPr>
          <w:rFonts w:cs="Arial"/>
          <w:vertAlign w:val="superscript"/>
          <w:lang w:val="en-AU"/>
        </w:rPr>
        <w:t>-1</w:t>
      </w:r>
      <w:r w:rsidRPr="00C24A02">
        <w:t>)</w:t>
      </w:r>
      <w:r>
        <w:t>,</w:t>
      </w:r>
      <w:r w:rsidRPr="00C24A02">
        <w:t xml:space="preserve"> </w:t>
      </w:r>
      <w:r>
        <w:t xml:space="preserve">which represents the highest risk of exposure (above the 99 % species protection trigger value derived for the reference PSII herbicide diuron </w:t>
      </w:r>
      <w:r w:rsidR="00A832D8">
        <w:fldChar w:fldCharType="begin"/>
      </w:r>
      <w:r w:rsidR="00A832D8">
        <w:instrText xml:space="preserve"> ADDIN EN.CITE &lt;EndNote&gt;&lt;Cite&gt;&lt;Author&gt;GBRMPA&lt;/Author&gt;&lt;Year&gt;2010&lt;/Year&gt;&lt;RecNum&gt;334&lt;/RecNum&gt;&lt;DisplayText&gt;(GBRMPA, 2010)&lt;/DisplayText&gt;&lt;record&gt;&lt;rec-number&gt;334&lt;/rec-number&gt;&lt;foreign-keys&gt;&lt;key app="EN" db-id="0zzrztwe5p59skesdrqpsfeu2s0xt5zd5v9p" timestamp="1466579009"&gt;334&lt;/key&gt;&lt;/foreign-keys&gt;&lt;ref-type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2010.&lt;/title&gt;&lt;/titles&gt;&lt;dates&gt;&lt;year&gt;2010&lt;/year&gt;&lt;/dates&gt;&lt;pub-location&gt;Great Barrier Reef Marine Park Authority, Townsville&lt;/pub-location&gt;&lt;urls&gt;&lt;/urls&gt;&lt;/record&gt;&lt;/Cite&gt;&lt;/EndNote&gt;</w:instrText>
      </w:r>
      <w:r w:rsidR="00A832D8">
        <w:fldChar w:fldCharType="separate"/>
      </w:r>
      <w:r w:rsidR="00A832D8">
        <w:rPr>
          <w:noProof/>
        </w:rPr>
        <w:t>(GBRMPA, 2010)</w:t>
      </w:r>
      <w:r w:rsidR="00A832D8">
        <w:fldChar w:fldCharType="end"/>
      </w:r>
      <w:r>
        <w:t xml:space="preserve">, </w:t>
      </w:r>
      <w:r w:rsidRPr="00C24A02">
        <w:t xml:space="preserve">to </w:t>
      </w:r>
      <w:r>
        <w:t xml:space="preserve">Category </w:t>
      </w:r>
      <w:r w:rsidRPr="00C24A02">
        <w:t xml:space="preserve">5 (≤10 </w:t>
      </w:r>
      <w:r>
        <w:rPr>
          <w:rFonts w:cs="Arial"/>
          <w:lang w:val="en-AU"/>
        </w:rPr>
        <w:t>ng L</w:t>
      </w:r>
      <w:r>
        <w:rPr>
          <w:rFonts w:cs="Arial"/>
          <w:vertAlign w:val="superscript"/>
          <w:lang w:val="en-AU"/>
        </w:rPr>
        <w:t>-1</w:t>
      </w:r>
      <w:r w:rsidRPr="00C24A02">
        <w:t>)</w:t>
      </w:r>
      <w:r>
        <w:t>,</w:t>
      </w:r>
      <w:r w:rsidRPr="00C24A02">
        <w:t xml:space="preserve"> </w:t>
      </w:r>
      <w:r>
        <w:t>which represents concentrations below which no published PSII inhibition effects have been observed.</w:t>
      </w:r>
    </w:p>
    <w:p w14:paraId="109DBAFC" w14:textId="77777777" w:rsidR="001D1EBC" w:rsidRDefault="001D1EBC" w:rsidP="001D1EBC">
      <w:r>
        <w:br w:type="page"/>
      </w:r>
    </w:p>
    <w:p w14:paraId="0E1B1BD5" w14:textId="77777777" w:rsidR="001D1EBC" w:rsidRDefault="001D1EBC" w:rsidP="0014321B">
      <w:pPr>
        <w:pStyle w:val="Caption"/>
        <w:keepNext/>
        <w:jc w:val="center"/>
      </w:pPr>
      <w:bookmarkStart w:id="728" w:name="_Toc462652078"/>
      <w:r>
        <w:lastRenderedPageBreak/>
        <w:t xml:space="preserve">Table A </w:t>
      </w:r>
      <w:r>
        <w:fldChar w:fldCharType="begin"/>
      </w:r>
      <w:r>
        <w:instrText xml:space="preserve"> SEQ Table_A \* ARABIC </w:instrText>
      </w:r>
      <w:r>
        <w:fldChar w:fldCharType="separate"/>
      </w:r>
      <w:r w:rsidR="00E51A34">
        <w:rPr>
          <w:noProof/>
        </w:rPr>
        <w:t>11</w:t>
      </w:r>
      <w:r>
        <w:fldChar w:fldCharType="end"/>
      </w:r>
      <w:r>
        <w:t xml:space="preserve"> </w:t>
      </w:r>
      <w:r w:rsidRPr="00301E8D">
        <w:t>PSII-Herbicide Equivalent Index developed as a</w:t>
      </w:r>
      <w:r>
        <w:t>n</w:t>
      </w:r>
      <w:r w:rsidRPr="00301E8D">
        <w:t xml:space="preserve"> indicator for reporting of PSII herbicides across the </w:t>
      </w:r>
      <w:r w:rsidR="0014321B">
        <w:t>MMP</w:t>
      </w:r>
      <w:bookmarkEnd w:id="728"/>
    </w:p>
    <w:tbl>
      <w:tblPr>
        <w:tblStyle w:val="Anita-ReportConsult"/>
        <w:tblW w:w="0" w:type="auto"/>
        <w:tblLook w:val="04A0" w:firstRow="1" w:lastRow="0" w:firstColumn="1" w:lastColumn="0" w:noHBand="0" w:noVBand="1"/>
        <w:tblDescription w:val="Table A 11 PSII-Herbicide Equivalent Index developed as an indicator for reporting of PSII herbicides across the "/>
      </w:tblPr>
      <w:tblGrid>
        <w:gridCol w:w="1242"/>
        <w:gridCol w:w="1985"/>
        <w:gridCol w:w="6742"/>
      </w:tblGrid>
      <w:tr w:rsidR="0059608E" w:rsidRPr="00C11BBA" w14:paraId="6B5B5113" w14:textId="77777777" w:rsidTr="006130D4">
        <w:trPr>
          <w:tblHeader/>
        </w:trPr>
        <w:tc>
          <w:tcPr>
            <w:tcW w:w="1242" w:type="dxa"/>
            <w:tcBorders>
              <w:top w:val="single" w:sz="2" w:space="0" w:color="auto"/>
              <w:bottom w:val="dotted" w:sz="4" w:space="0" w:color="C0C0C0"/>
            </w:tcBorders>
            <w:shd w:val="clear" w:color="auto" w:fill="F2F2F2" w:themeFill="background1" w:themeFillShade="F2"/>
            <w:vAlign w:val="center"/>
          </w:tcPr>
          <w:p w14:paraId="41077C64" w14:textId="77777777" w:rsidR="0059608E" w:rsidRPr="001D15D2" w:rsidRDefault="0059608E" w:rsidP="006130D4">
            <w:pPr>
              <w:spacing w:line="276" w:lineRule="auto"/>
              <w:jc w:val="center"/>
              <w:rPr>
                <w:b/>
                <w:lang w:val="en-AU" w:eastAsia="en-AU"/>
              </w:rPr>
            </w:pPr>
            <w:r w:rsidRPr="001D15D2">
              <w:rPr>
                <w:b/>
                <w:lang w:val="en-AU" w:eastAsia="en-AU"/>
              </w:rPr>
              <w:t>Category</w:t>
            </w:r>
          </w:p>
        </w:tc>
        <w:tc>
          <w:tcPr>
            <w:tcW w:w="1985" w:type="dxa"/>
            <w:tcBorders>
              <w:top w:val="single" w:sz="2" w:space="0" w:color="auto"/>
              <w:bottom w:val="dotted" w:sz="4" w:space="0" w:color="C0C0C0"/>
            </w:tcBorders>
            <w:shd w:val="clear" w:color="auto" w:fill="F2F2F2" w:themeFill="background1" w:themeFillShade="F2"/>
            <w:vAlign w:val="center"/>
          </w:tcPr>
          <w:p w14:paraId="573BE324" w14:textId="77777777" w:rsidR="0059608E" w:rsidRPr="001D15D2" w:rsidRDefault="0059608E" w:rsidP="006130D4">
            <w:pPr>
              <w:spacing w:line="276" w:lineRule="auto"/>
              <w:jc w:val="center"/>
              <w:rPr>
                <w:b/>
                <w:lang w:val="en-AU" w:eastAsia="en-AU"/>
              </w:rPr>
            </w:pPr>
            <w:r w:rsidRPr="001D15D2">
              <w:rPr>
                <w:b/>
                <w:lang w:val="en-AU" w:eastAsia="en-AU"/>
              </w:rPr>
              <w:t>Concentration</w:t>
            </w:r>
          </w:p>
          <w:p w14:paraId="2F85BB9D" w14:textId="77777777" w:rsidR="0059608E" w:rsidRPr="001D15D2" w:rsidRDefault="0059608E" w:rsidP="006130D4">
            <w:pPr>
              <w:spacing w:line="276" w:lineRule="auto"/>
              <w:jc w:val="center"/>
              <w:rPr>
                <w:b/>
                <w:lang w:val="en-AU" w:eastAsia="en-AU"/>
              </w:rPr>
            </w:pPr>
            <w:r w:rsidRPr="001D15D2">
              <w:rPr>
                <w:b/>
                <w:lang w:val="en-AU" w:eastAsia="en-AU"/>
              </w:rPr>
              <w:t>(ng</w:t>
            </w:r>
            <w:r>
              <w:rPr>
                <w:b/>
                <w:lang w:val="en-AU" w:eastAsia="en-AU"/>
              </w:rPr>
              <w:t xml:space="preserve"> </w:t>
            </w:r>
            <w:r w:rsidRPr="001D15D2">
              <w:rPr>
                <w:b/>
                <w:lang w:val="en-AU" w:eastAsia="en-AU"/>
              </w:rPr>
              <w:t>L</w:t>
            </w:r>
            <w:r w:rsidRPr="001D15D2">
              <w:rPr>
                <w:b/>
                <w:vertAlign w:val="superscript"/>
                <w:lang w:val="en-AU" w:eastAsia="en-AU"/>
              </w:rPr>
              <w:t>-1</w:t>
            </w:r>
            <w:r w:rsidRPr="001D15D2">
              <w:rPr>
                <w:b/>
                <w:lang w:val="en-AU" w:eastAsia="en-AU"/>
              </w:rPr>
              <w:t>)</w:t>
            </w:r>
          </w:p>
        </w:tc>
        <w:tc>
          <w:tcPr>
            <w:tcW w:w="6742" w:type="dxa"/>
            <w:shd w:val="clear" w:color="auto" w:fill="F2F2F2" w:themeFill="background1" w:themeFillShade="F2"/>
            <w:vAlign w:val="center"/>
          </w:tcPr>
          <w:p w14:paraId="387B4037" w14:textId="77777777" w:rsidR="0059608E" w:rsidRPr="001D15D2" w:rsidRDefault="0059608E" w:rsidP="006130D4">
            <w:pPr>
              <w:spacing w:line="276" w:lineRule="auto"/>
              <w:jc w:val="center"/>
              <w:rPr>
                <w:b/>
                <w:lang w:val="en-AU" w:eastAsia="en-AU"/>
              </w:rPr>
            </w:pPr>
            <w:r w:rsidRPr="001D15D2">
              <w:rPr>
                <w:b/>
                <w:lang w:val="en-AU" w:eastAsia="en-AU"/>
              </w:rPr>
              <w:t>Description</w:t>
            </w:r>
          </w:p>
        </w:tc>
      </w:tr>
      <w:tr w:rsidR="0059608E" w:rsidRPr="00C11BBA" w14:paraId="44F0C815" w14:textId="77777777" w:rsidTr="006130D4">
        <w:trPr>
          <w:trHeight w:val="920"/>
        </w:trPr>
        <w:tc>
          <w:tcPr>
            <w:tcW w:w="1242" w:type="dxa"/>
            <w:tcBorders>
              <w:top w:val="dotted" w:sz="4" w:space="0" w:color="C0C0C0"/>
              <w:bottom w:val="dotted" w:sz="4" w:space="0" w:color="C0C0C0"/>
            </w:tcBorders>
            <w:shd w:val="clear" w:color="auto" w:fill="4F6228" w:themeFill="accent3" w:themeFillShade="80"/>
            <w:vAlign w:val="center"/>
          </w:tcPr>
          <w:p w14:paraId="2942309A" w14:textId="77777777" w:rsidR="0059608E" w:rsidRPr="0052535C" w:rsidRDefault="0059608E" w:rsidP="006130D4">
            <w:pPr>
              <w:spacing w:line="360" w:lineRule="auto"/>
              <w:jc w:val="center"/>
              <w:rPr>
                <w:b/>
                <w:lang w:val="en-AU" w:eastAsia="en-AU"/>
              </w:rPr>
            </w:pPr>
            <w:r w:rsidRPr="0052535C">
              <w:rPr>
                <w:b/>
                <w:lang w:val="en-AU" w:eastAsia="en-AU"/>
              </w:rPr>
              <w:t>5</w:t>
            </w:r>
          </w:p>
        </w:tc>
        <w:tc>
          <w:tcPr>
            <w:tcW w:w="1985" w:type="dxa"/>
            <w:tcBorders>
              <w:top w:val="dotted" w:sz="4" w:space="0" w:color="C0C0C0"/>
              <w:bottom w:val="dotted" w:sz="4" w:space="0" w:color="C0C0C0"/>
            </w:tcBorders>
            <w:shd w:val="clear" w:color="auto" w:fill="F2F2F2" w:themeFill="background1" w:themeFillShade="F2"/>
            <w:vAlign w:val="center"/>
          </w:tcPr>
          <w:p w14:paraId="6B4F5098" w14:textId="77777777" w:rsidR="0059608E" w:rsidRPr="0052535C" w:rsidRDefault="0059608E" w:rsidP="006130D4">
            <w:pPr>
              <w:spacing w:line="360" w:lineRule="auto"/>
              <w:jc w:val="center"/>
              <w:rPr>
                <w:b/>
                <w:lang w:val="en-AU" w:eastAsia="en-AU"/>
              </w:rPr>
            </w:pPr>
            <w:r w:rsidRPr="0052535C">
              <w:rPr>
                <w:b/>
                <w:lang w:val="en-AU" w:eastAsia="en-AU"/>
              </w:rPr>
              <w:t xml:space="preserve">PSII-HEq </w:t>
            </w:r>
            <w:r w:rsidRPr="0052535C">
              <w:rPr>
                <w:rFonts w:cstheme="minorHAnsi"/>
                <w:b/>
                <w:lang w:val="en-AU" w:eastAsia="en-AU"/>
              </w:rPr>
              <w:t>≤</w:t>
            </w:r>
            <w:r w:rsidRPr="0052535C">
              <w:rPr>
                <w:b/>
                <w:lang w:val="en-AU" w:eastAsia="en-AU"/>
              </w:rPr>
              <w:t xml:space="preserve"> 10</w:t>
            </w:r>
          </w:p>
        </w:tc>
        <w:tc>
          <w:tcPr>
            <w:tcW w:w="6742" w:type="dxa"/>
            <w:vAlign w:val="center"/>
          </w:tcPr>
          <w:p w14:paraId="5CD3D074" w14:textId="77777777" w:rsidR="0059608E" w:rsidRPr="0052535C" w:rsidRDefault="0059608E" w:rsidP="006130D4">
            <w:pPr>
              <w:spacing w:line="360" w:lineRule="auto"/>
              <w:jc w:val="left"/>
              <w:rPr>
                <w:lang w:val="en-AU" w:eastAsia="en-AU"/>
              </w:rPr>
            </w:pPr>
            <w:r w:rsidRPr="0052535C">
              <w:rPr>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59608E" w:rsidRPr="00C11BBA" w14:paraId="7731146D" w14:textId="77777777" w:rsidTr="006130D4">
        <w:trPr>
          <w:trHeight w:val="920"/>
        </w:trPr>
        <w:tc>
          <w:tcPr>
            <w:tcW w:w="1242" w:type="dxa"/>
            <w:tcBorders>
              <w:top w:val="dotted" w:sz="4" w:space="0" w:color="C0C0C0"/>
              <w:bottom w:val="dotted" w:sz="4" w:space="0" w:color="C0C0C0"/>
            </w:tcBorders>
            <w:shd w:val="clear" w:color="auto" w:fill="C2D69B" w:themeFill="accent3" w:themeFillTint="99"/>
            <w:vAlign w:val="center"/>
          </w:tcPr>
          <w:p w14:paraId="6438B494" w14:textId="77777777" w:rsidR="0059608E" w:rsidRPr="0052535C" w:rsidRDefault="0059608E" w:rsidP="006130D4">
            <w:pPr>
              <w:spacing w:line="360" w:lineRule="auto"/>
              <w:jc w:val="center"/>
              <w:rPr>
                <w:b/>
                <w:lang w:val="en-AU" w:eastAsia="en-AU"/>
              </w:rPr>
            </w:pPr>
            <w:r w:rsidRPr="0052535C">
              <w:rPr>
                <w:b/>
                <w:lang w:val="en-AU" w:eastAsia="en-AU"/>
              </w:rPr>
              <w:t>4</w:t>
            </w:r>
          </w:p>
        </w:tc>
        <w:tc>
          <w:tcPr>
            <w:tcW w:w="1985" w:type="dxa"/>
            <w:tcBorders>
              <w:top w:val="dotted" w:sz="4" w:space="0" w:color="C0C0C0"/>
              <w:bottom w:val="dotted" w:sz="4" w:space="0" w:color="C0C0C0"/>
            </w:tcBorders>
            <w:shd w:val="clear" w:color="auto" w:fill="F2F2F2" w:themeFill="background1" w:themeFillShade="F2"/>
            <w:vAlign w:val="center"/>
          </w:tcPr>
          <w:p w14:paraId="6E7481A2" w14:textId="77777777" w:rsidR="0059608E" w:rsidRPr="0052535C" w:rsidRDefault="0059608E" w:rsidP="006130D4">
            <w:pPr>
              <w:spacing w:line="360" w:lineRule="auto"/>
              <w:jc w:val="center"/>
              <w:rPr>
                <w:b/>
                <w:lang w:val="en-AU" w:eastAsia="en-AU"/>
              </w:rPr>
            </w:pPr>
            <w:r w:rsidRPr="0052535C">
              <w:rPr>
                <w:b/>
                <w:lang w:val="en-AU" w:eastAsia="en-AU"/>
              </w:rPr>
              <w:t xml:space="preserve">10 &lt; PSII-HEq </w:t>
            </w:r>
            <w:r w:rsidRPr="0052535C">
              <w:rPr>
                <w:rFonts w:cstheme="minorHAnsi"/>
                <w:b/>
                <w:lang w:val="en-AU" w:eastAsia="en-AU"/>
              </w:rPr>
              <w:t>≤</w:t>
            </w:r>
            <w:r w:rsidRPr="0052535C">
              <w:rPr>
                <w:b/>
                <w:lang w:val="en-AU" w:eastAsia="en-AU"/>
              </w:rPr>
              <w:t xml:space="preserve"> 50</w:t>
            </w:r>
          </w:p>
        </w:tc>
        <w:tc>
          <w:tcPr>
            <w:tcW w:w="6742" w:type="dxa"/>
            <w:vAlign w:val="center"/>
          </w:tcPr>
          <w:p w14:paraId="069E04F6" w14:textId="77777777" w:rsidR="0059608E" w:rsidRPr="0052535C" w:rsidRDefault="0059608E" w:rsidP="006130D4">
            <w:pPr>
              <w:spacing w:line="360" w:lineRule="auto"/>
              <w:jc w:val="left"/>
              <w:rPr>
                <w:lang w:val="en-AU" w:eastAsia="en-AU"/>
              </w:rPr>
            </w:pPr>
            <w:r w:rsidRPr="0052535C">
              <w:rPr>
                <w:lang w:val="en-AU"/>
              </w:rPr>
              <w:t>Published scientific observations of reduced photosynthesis for two diatoms.</w:t>
            </w:r>
          </w:p>
        </w:tc>
      </w:tr>
      <w:tr w:rsidR="0059608E" w:rsidRPr="00C11BBA" w14:paraId="2E87FB93" w14:textId="77777777" w:rsidTr="006130D4">
        <w:trPr>
          <w:trHeight w:val="920"/>
        </w:trPr>
        <w:tc>
          <w:tcPr>
            <w:tcW w:w="1242" w:type="dxa"/>
            <w:tcBorders>
              <w:top w:val="dotted" w:sz="4" w:space="0" w:color="C0C0C0"/>
              <w:bottom w:val="dotted" w:sz="4" w:space="0" w:color="C0C0C0"/>
            </w:tcBorders>
            <w:shd w:val="clear" w:color="auto" w:fill="FFFF00"/>
            <w:vAlign w:val="center"/>
          </w:tcPr>
          <w:p w14:paraId="30E9893E" w14:textId="77777777" w:rsidR="0059608E" w:rsidRPr="0052535C" w:rsidRDefault="0059608E" w:rsidP="006130D4">
            <w:pPr>
              <w:spacing w:line="360" w:lineRule="auto"/>
              <w:jc w:val="center"/>
              <w:rPr>
                <w:b/>
                <w:lang w:val="en-AU" w:eastAsia="en-AU"/>
              </w:rPr>
            </w:pPr>
            <w:r w:rsidRPr="0052535C">
              <w:rPr>
                <w:b/>
                <w:lang w:val="en-AU" w:eastAsia="en-AU"/>
              </w:rPr>
              <w:t>3</w:t>
            </w:r>
          </w:p>
        </w:tc>
        <w:tc>
          <w:tcPr>
            <w:tcW w:w="1985" w:type="dxa"/>
            <w:tcBorders>
              <w:top w:val="dotted" w:sz="4" w:space="0" w:color="C0C0C0"/>
              <w:bottom w:val="dotted" w:sz="4" w:space="0" w:color="C0C0C0"/>
            </w:tcBorders>
            <w:shd w:val="clear" w:color="auto" w:fill="F2F2F2" w:themeFill="background1" w:themeFillShade="F2"/>
            <w:vAlign w:val="center"/>
          </w:tcPr>
          <w:p w14:paraId="0A42DBE1" w14:textId="77777777" w:rsidR="0059608E" w:rsidRPr="0052535C" w:rsidRDefault="0059608E" w:rsidP="006130D4">
            <w:pPr>
              <w:spacing w:line="360" w:lineRule="auto"/>
              <w:jc w:val="center"/>
              <w:rPr>
                <w:b/>
                <w:lang w:val="en-AU" w:eastAsia="en-AU"/>
              </w:rPr>
            </w:pPr>
            <w:r w:rsidRPr="0052535C">
              <w:rPr>
                <w:b/>
                <w:lang w:val="en-AU" w:eastAsia="en-AU"/>
              </w:rPr>
              <w:t>50 &lt; PSII-HEq &lt; 250</w:t>
            </w:r>
          </w:p>
        </w:tc>
        <w:tc>
          <w:tcPr>
            <w:tcW w:w="6742" w:type="dxa"/>
            <w:vAlign w:val="center"/>
          </w:tcPr>
          <w:p w14:paraId="41F9FDBC" w14:textId="77777777" w:rsidR="0059608E" w:rsidRPr="0052535C" w:rsidRDefault="0059608E" w:rsidP="006130D4">
            <w:pPr>
              <w:spacing w:line="360" w:lineRule="auto"/>
              <w:jc w:val="left"/>
              <w:rPr>
                <w:lang w:val="en-AU" w:eastAsia="en-AU"/>
              </w:rPr>
            </w:pPr>
            <w:r w:rsidRPr="0052535C">
              <w:rPr>
                <w:lang w:val="en-AU"/>
              </w:rPr>
              <w:t>Published scientific observations of reduced photosynthesis for two seagrass species and three diatoms.</w:t>
            </w:r>
          </w:p>
        </w:tc>
      </w:tr>
      <w:tr w:rsidR="0059608E" w:rsidRPr="00C11BBA" w14:paraId="58B14686" w14:textId="77777777" w:rsidTr="006130D4">
        <w:trPr>
          <w:trHeight w:val="920"/>
        </w:trPr>
        <w:tc>
          <w:tcPr>
            <w:tcW w:w="1242" w:type="dxa"/>
            <w:tcBorders>
              <w:top w:val="dotted" w:sz="4" w:space="0" w:color="C0C0C0"/>
              <w:bottom w:val="dotted" w:sz="4" w:space="0" w:color="C0C0C0"/>
            </w:tcBorders>
            <w:shd w:val="clear" w:color="auto" w:fill="E36C0A" w:themeFill="accent6" w:themeFillShade="BF"/>
            <w:vAlign w:val="center"/>
          </w:tcPr>
          <w:p w14:paraId="31CB0DEB" w14:textId="77777777" w:rsidR="0059608E" w:rsidRPr="0052535C" w:rsidRDefault="0059608E" w:rsidP="006130D4">
            <w:pPr>
              <w:spacing w:line="360" w:lineRule="auto"/>
              <w:jc w:val="center"/>
              <w:rPr>
                <w:b/>
                <w:lang w:val="en-AU" w:eastAsia="en-AU"/>
              </w:rPr>
            </w:pPr>
            <w:r w:rsidRPr="0052535C">
              <w:rPr>
                <w:b/>
                <w:lang w:val="en-AU" w:eastAsia="en-AU"/>
              </w:rPr>
              <w:t>2</w:t>
            </w:r>
          </w:p>
        </w:tc>
        <w:tc>
          <w:tcPr>
            <w:tcW w:w="1985" w:type="dxa"/>
            <w:tcBorders>
              <w:top w:val="dotted" w:sz="4" w:space="0" w:color="C0C0C0"/>
              <w:bottom w:val="dotted" w:sz="4" w:space="0" w:color="C0C0C0"/>
            </w:tcBorders>
            <w:shd w:val="clear" w:color="auto" w:fill="F2F2F2" w:themeFill="background1" w:themeFillShade="F2"/>
            <w:vAlign w:val="center"/>
          </w:tcPr>
          <w:p w14:paraId="55E1D034" w14:textId="77777777" w:rsidR="0059608E" w:rsidRPr="0052535C" w:rsidRDefault="0059608E" w:rsidP="006130D4">
            <w:pPr>
              <w:spacing w:line="360" w:lineRule="auto"/>
              <w:jc w:val="center"/>
              <w:rPr>
                <w:b/>
                <w:lang w:val="en-AU" w:eastAsia="en-AU"/>
              </w:rPr>
            </w:pPr>
            <w:r w:rsidRPr="0052535C">
              <w:rPr>
                <w:b/>
                <w:lang w:val="en-AU" w:eastAsia="en-AU"/>
              </w:rPr>
              <w:t xml:space="preserve">250 </w:t>
            </w:r>
            <w:r w:rsidRPr="0052535C">
              <w:rPr>
                <w:rFonts w:cstheme="minorHAnsi"/>
                <w:b/>
                <w:lang w:val="en-AU" w:eastAsia="en-AU"/>
              </w:rPr>
              <w:t>≤</w:t>
            </w:r>
            <w:r w:rsidRPr="0052535C">
              <w:rPr>
                <w:b/>
                <w:lang w:val="en-AU" w:eastAsia="en-AU"/>
              </w:rPr>
              <w:t xml:space="preserve"> PSII-HEq </w:t>
            </w:r>
            <w:r w:rsidRPr="0052535C">
              <w:rPr>
                <w:rFonts w:cstheme="minorHAnsi"/>
                <w:b/>
                <w:lang w:val="en-AU" w:eastAsia="en-AU"/>
              </w:rPr>
              <w:t>≤</w:t>
            </w:r>
            <w:r w:rsidRPr="0052535C">
              <w:rPr>
                <w:b/>
                <w:lang w:val="en-AU" w:eastAsia="en-AU"/>
              </w:rPr>
              <w:t xml:space="preserve"> 900</w:t>
            </w:r>
          </w:p>
        </w:tc>
        <w:tc>
          <w:tcPr>
            <w:tcW w:w="6742" w:type="dxa"/>
            <w:vAlign w:val="center"/>
          </w:tcPr>
          <w:p w14:paraId="52FD40F1" w14:textId="77777777" w:rsidR="0059608E" w:rsidRPr="0052535C" w:rsidRDefault="0059608E" w:rsidP="006130D4">
            <w:pPr>
              <w:spacing w:line="360" w:lineRule="auto"/>
              <w:jc w:val="left"/>
              <w:rPr>
                <w:lang w:val="en-AU" w:eastAsia="en-AU"/>
              </w:rPr>
            </w:pPr>
            <w:r w:rsidRPr="0052535C">
              <w:rPr>
                <w:lang w:val="en-AU"/>
              </w:rPr>
              <w:t>Published scientific observations of reduced photosynthesis for three coral species.</w:t>
            </w:r>
          </w:p>
        </w:tc>
      </w:tr>
      <w:tr w:rsidR="0059608E" w:rsidRPr="00C11BBA" w14:paraId="0FB5B3E1" w14:textId="77777777" w:rsidTr="006130D4">
        <w:trPr>
          <w:trHeight w:val="920"/>
        </w:trPr>
        <w:tc>
          <w:tcPr>
            <w:tcW w:w="1242" w:type="dxa"/>
            <w:tcBorders>
              <w:top w:val="dotted" w:sz="4" w:space="0" w:color="C0C0C0"/>
              <w:bottom w:val="single" w:sz="2" w:space="0" w:color="auto"/>
            </w:tcBorders>
            <w:shd w:val="clear" w:color="auto" w:fill="C0504D" w:themeFill="accent2"/>
            <w:vAlign w:val="center"/>
          </w:tcPr>
          <w:p w14:paraId="23EB6EE1" w14:textId="77777777" w:rsidR="0059608E" w:rsidRPr="0052535C" w:rsidRDefault="0059608E" w:rsidP="006130D4">
            <w:pPr>
              <w:spacing w:line="360" w:lineRule="auto"/>
              <w:jc w:val="center"/>
              <w:rPr>
                <w:b/>
                <w:lang w:val="en-AU" w:eastAsia="en-AU"/>
              </w:rPr>
            </w:pPr>
            <w:r w:rsidRPr="0052535C">
              <w:rPr>
                <w:b/>
                <w:lang w:val="en-AU" w:eastAsia="en-AU"/>
              </w:rPr>
              <w:t>1</w:t>
            </w:r>
          </w:p>
        </w:tc>
        <w:tc>
          <w:tcPr>
            <w:tcW w:w="1985" w:type="dxa"/>
            <w:tcBorders>
              <w:top w:val="dotted" w:sz="4" w:space="0" w:color="C0C0C0"/>
              <w:bottom w:val="single" w:sz="2" w:space="0" w:color="auto"/>
            </w:tcBorders>
            <w:shd w:val="clear" w:color="auto" w:fill="F2F2F2" w:themeFill="background1" w:themeFillShade="F2"/>
            <w:vAlign w:val="center"/>
          </w:tcPr>
          <w:p w14:paraId="1A096C4E" w14:textId="77777777" w:rsidR="0059608E" w:rsidRPr="0052535C" w:rsidRDefault="0059608E" w:rsidP="006130D4">
            <w:pPr>
              <w:spacing w:line="360" w:lineRule="auto"/>
              <w:jc w:val="center"/>
              <w:rPr>
                <w:b/>
                <w:lang w:val="en-AU" w:eastAsia="en-AU"/>
              </w:rPr>
            </w:pPr>
            <w:r w:rsidRPr="0052535C">
              <w:rPr>
                <w:b/>
                <w:lang w:val="en-AU" w:eastAsia="en-AU"/>
              </w:rPr>
              <w:t>PSII-HEq &gt; 900</w:t>
            </w:r>
          </w:p>
        </w:tc>
        <w:tc>
          <w:tcPr>
            <w:tcW w:w="6742" w:type="dxa"/>
            <w:vAlign w:val="center"/>
          </w:tcPr>
          <w:p w14:paraId="768CB982" w14:textId="77777777" w:rsidR="0059608E" w:rsidRPr="0052535C" w:rsidRDefault="0059608E" w:rsidP="006130D4">
            <w:pPr>
              <w:spacing w:line="360" w:lineRule="auto"/>
              <w:jc w:val="left"/>
              <w:rPr>
                <w:lang w:val="en-AU" w:eastAsia="en-AU"/>
              </w:rPr>
            </w:pPr>
            <w:r w:rsidRPr="0052535C">
              <w:rPr>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14:paraId="48C277C2" w14:textId="77777777" w:rsidR="0059608E" w:rsidRPr="00C11BBA" w:rsidRDefault="0059608E" w:rsidP="006130D4">
      <w:pPr>
        <w:spacing w:line="276" w:lineRule="auto"/>
        <w:rPr>
          <w:lang w:val="en-AU"/>
        </w:rPr>
      </w:pPr>
    </w:p>
    <w:p w14:paraId="67793015" w14:textId="77777777" w:rsidR="0059608E" w:rsidRPr="00C11BBA" w:rsidRDefault="0059608E" w:rsidP="006130D4">
      <w:pPr>
        <w:spacing w:line="360" w:lineRule="auto"/>
        <w:rPr>
          <w:lang w:val="en-AU"/>
        </w:rPr>
      </w:pPr>
      <w:r w:rsidRPr="00C11BBA">
        <w:rPr>
          <w:lang w:val="en-AU"/>
        </w:rPr>
        <w:t xml:space="preserve">For categories </w:t>
      </w:r>
      <w:r>
        <w:rPr>
          <w:lang w:val="en-AU"/>
        </w:rPr>
        <w:t>2</w:t>
      </w:r>
      <w:r w:rsidRPr="00C11BBA">
        <w:rPr>
          <w:lang w:val="en-AU"/>
        </w:rPr>
        <w:t xml:space="preserve"> – </w:t>
      </w:r>
      <w:r>
        <w:rPr>
          <w:lang w:val="en-AU"/>
        </w:rPr>
        <w:t>4</w:t>
      </w:r>
      <w:r w:rsidRPr="00C11BBA">
        <w:rPr>
          <w:lang w:val="en-AU"/>
        </w:rPr>
        <w:t>:</w:t>
      </w:r>
    </w:p>
    <w:p w14:paraId="2F3670F8" w14:textId="77777777" w:rsidR="0059608E" w:rsidRDefault="0059608E" w:rsidP="0059608E">
      <w:pPr>
        <w:pStyle w:val="ListParagraph"/>
        <w:numPr>
          <w:ilvl w:val="0"/>
          <w:numId w:val="10"/>
        </w:numPr>
        <w:spacing w:line="360" w:lineRule="auto"/>
        <w:rPr>
          <w:lang w:val="en-AU"/>
        </w:rPr>
      </w:pPr>
      <w:r w:rsidRPr="00C11BBA">
        <w:rPr>
          <w:lang w:val="en-AU"/>
        </w:rPr>
        <w:t>The published scientific papers indicate that this reduction in photosynthesis is reversible when the organism is no longer exposed to the pesticide;</w:t>
      </w:r>
    </w:p>
    <w:p w14:paraId="56989DAE" w14:textId="77777777" w:rsidR="0059608E" w:rsidRPr="00C11BBA" w:rsidRDefault="0059608E" w:rsidP="006130D4">
      <w:pPr>
        <w:pStyle w:val="ListParagraph"/>
        <w:spacing w:line="360" w:lineRule="auto"/>
        <w:rPr>
          <w:lang w:val="en-AU"/>
        </w:rPr>
      </w:pPr>
    </w:p>
    <w:p w14:paraId="37E5EFE8" w14:textId="77777777" w:rsidR="0059608E" w:rsidRDefault="0059608E" w:rsidP="0059608E">
      <w:pPr>
        <w:pStyle w:val="ListParagraph"/>
        <w:numPr>
          <w:ilvl w:val="0"/>
          <w:numId w:val="9"/>
        </w:numPr>
        <w:spacing w:line="360" w:lineRule="auto"/>
        <w:contextualSpacing w:val="0"/>
        <w:jc w:val="left"/>
        <w:rPr>
          <w:lang w:val="en-AU"/>
        </w:rPr>
      </w:pPr>
      <w:r w:rsidRPr="00C11BBA">
        <w:rPr>
          <w:lang w:val="en-AU"/>
        </w:rPr>
        <w:t>Detecting a pesticide at these concentrations does not necessarily mean that there will be an ecological effect on the plants and animals present;</w:t>
      </w:r>
    </w:p>
    <w:p w14:paraId="0B316D01" w14:textId="77777777" w:rsidR="0059608E" w:rsidRPr="00C11BBA" w:rsidRDefault="0059608E" w:rsidP="006130D4">
      <w:pPr>
        <w:pStyle w:val="ListParagraph"/>
        <w:spacing w:line="360" w:lineRule="auto"/>
        <w:contextualSpacing w:val="0"/>
        <w:jc w:val="left"/>
        <w:rPr>
          <w:lang w:val="en-AU"/>
        </w:rPr>
      </w:pPr>
    </w:p>
    <w:p w14:paraId="022F6B0D" w14:textId="77777777" w:rsidR="0059608E" w:rsidRPr="00792023" w:rsidRDefault="0059608E" w:rsidP="0059608E">
      <w:pPr>
        <w:pStyle w:val="ListParagraph"/>
        <w:numPr>
          <w:ilvl w:val="0"/>
          <w:numId w:val="9"/>
        </w:numPr>
        <w:spacing w:line="360" w:lineRule="auto"/>
        <w:contextualSpacing w:val="0"/>
        <w:jc w:val="left"/>
        <w:rPr>
          <w:lang w:val="en-AU"/>
        </w:rPr>
      </w:pPr>
      <w:r w:rsidRPr="00C11BBA">
        <w:rPr>
          <w:lang w:val="en-AU"/>
        </w:rPr>
        <w:t xml:space="preserve">These categories have been included as they indicate an additional level of stress that plants and animals may be exposed to in the Marine Park. In combination with a range of other stressors (e.g. sediment, temperature, salinity, pH, storm damage, and elevated nutrient concentrations) the ability of these plant and animal species to recover from impacts may be reduced. </w:t>
      </w:r>
    </w:p>
    <w:p w14:paraId="702A8139" w14:textId="77777777" w:rsidR="0059608E" w:rsidRDefault="0059608E" w:rsidP="006130D4">
      <w:pPr>
        <w:pStyle w:val="Caption"/>
        <w:keepNext/>
      </w:pPr>
    </w:p>
    <w:p w14:paraId="29AC6E0F" w14:textId="77777777" w:rsidR="0059608E" w:rsidRDefault="0059608E" w:rsidP="006130D4">
      <w:pPr>
        <w:pStyle w:val="Caption"/>
        <w:keepNext/>
      </w:pPr>
    </w:p>
    <w:p w14:paraId="5706F3B7" w14:textId="77777777" w:rsidR="0059608E" w:rsidRPr="00DF58A8" w:rsidRDefault="0059608E" w:rsidP="006130D4">
      <w:pPr>
        <w:tabs>
          <w:tab w:val="left" w:pos="6190"/>
        </w:tabs>
        <w:rPr>
          <w:lang w:val="en-AU" w:eastAsia="en-AU"/>
        </w:rPr>
      </w:pPr>
    </w:p>
    <w:p w14:paraId="40C08B26" w14:textId="77777777" w:rsidR="007E759B" w:rsidRDefault="007E759B" w:rsidP="006130D4">
      <w:pPr>
        <w:rPr>
          <w:lang w:val="en-AU" w:eastAsia="en-AU"/>
        </w:rPr>
        <w:sectPr w:rsidR="007E759B" w:rsidSect="006130D4">
          <w:pgSz w:w="11907" w:h="16840" w:code="9"/>
          <w:pgMar w:top="720" w:right="720" w:bottom="720" w:left="720" w:header="709" w:footer="709" w:gutter="0"/>
          <w:cols w:space="708"/>
          <w:docGrid w:linePitch="360"/>
        </w:sectPr>
      </w:pPr>
    </w:p>
    <w:p w14:paraId="35A6F836" w14:textId="77777777" w:rsidR="0059608E" w:rsidRPr="00DF58A8" w:rsidRDefault="0059608E" w:rsidP="006130D4">
      <w:pPr>
        <w:rPr>
          <w:lang w:val="en-AU" w:eastAsia="en-AU"/>
        </w:rPr>
        <w:sectPr w:rsidR="0059608E" w:rsidRPr="00DF58A8" w:rsidSect="007E759B">
          <w:type w:val="continuous"/>
          <w:pgSz w:w="11907" w:h="16840" w:code="9"/>
          <w:pgMar w:top="720" w:right="720" w:bottom="720" w:left="720" w:header="709" w:footer="709" w:gutter="0"/>
          <w:cols w:space="708"/>
          <w:docGrid w:linePitch="360"/>
        </w:sectPr>
      </w:pPr>
    </w:p>
    <w:p w14:paraId="618D0D6D" w14:textId="77777777" w:rsidR="0059608E" w:rsidRPr="00B81693" w:rsidRDefault="0059608E" w:rsidP="0066689E">
      <w:pPr>
        <w:pStyle w:val="Heading1"/>
      </w:pPr>
      <w:bookmarkStart w:id="729" w:name="_Toc461457788"/>
      <w:bookmarkStart w:id="730" w:name="_Toc462651969"/>
      <w:r>
        <w:lastRenderedPageBreak/>
        <w:t>APPENDIX C</w:t>
      </w:r>
      <w:r w:rsidRPr="00B81693">
        <w:t xml:space="preserve"> - freshwater discharge (ML)</w:t>
      </w:r>
      <w:r>
        <w:t>, plume colour class</w:t>
      </w:r>
      <w:r w:rsidRPr="00B81693">
        <w:t xml:space="preserve"> </w:t>
      </w:r>
      <w:r>
        <w:t>and weekly rainfall in Reef catchments</w:t>
      </w:r>
      <w:bookmarkEnd w:id="729"/>
      <w:bookmarkEnd w:id="730"/>
    </w:p>
    <w:p w14:paraId="7B48F851" w14:textId="77777777" w:rsidR="0014321B" w:rsidRDefault="0014321B" w:rsidP="0014321B">
      <w:pPr>
        <w:pStyle w:val="Caption"/>
        <w:keepNext/>
        <w:jc w:val="center"/>
      </w:pPr>
      <w:bookmarkStart w:id="731" w:name="_Toc462652079"/>
      <w:r>
        <w:t xml:space="preserve">Table A </w:t>
      </w:r>
      <w:r>
        <w:fldChar w:fldCharType="begin"/>
      </w:r>
      <w:r>
        <w:instrText xml:space="preserve"> SEQ Table_A \* ARABIC </w:instrText>
      </w:r>
      <w:r>
        <w:fldChar w:fldCharType="separate"/>
      </w:r>
      <w:r w:rsidR="00E51A34">
        <w:rPr>
          <w:noProof/>
        </w:rPr>
        <w:t>12</w:t>
      </w:r>
      <w:r>
        <w:fldChar w:fldCharType="end"/>
      </w:r>
      <w:r>
        <w:t xml:space="preserve"> Annual freshwater discharge of</w:t>
      </w:r>
      <w:r w:rsidRPr="006648E2">
        <w:t xml:space="preserve"> rivers influencing </w:t>
      </w:r>
      <w:r>
        <w:t>fixed</w:t>
      </w:r>
      <w:r w:rsidRPr="006648E2">
        <w:t xml:space="preserve"> monitoring sites</w:t>
      </w:r>
      <w:r>
        <w:t xml:space="preserve"> (ML) and long-term median discharge</w:t>
      </w:r>
      <w:bookmarkEnd w:id="731"/>
    </w:p>
    <w:p w14:paraId="396B46F1" w14:textId="77777777" w:rsidR="0059608E" w:rsidRPr="000377ED" w:rsidRDefault="00183D48" w:rsidP="006130D4">
      <w:pPr>
        <w:jc w:val="center"/>
      </w:pPr>
      <w:r w:rsidRPr="00183D48">
        <w:rPr>
          <w:noProof/>
          <w:lang w:val="en-AU" w:eastAsia="en-AU" w:bidi="ar-SA"/>
        </w:rPr>
        <w:drawing>
          <wp:inline distT="0" distB="0" distL="0" distR="0" wp14:anchorId="526A7FCB" wp14:editId="5AB57087">
            <wp:extent cx="10640291" cy="6453616"/>
            <wp:effectExtent l="0" t="0" r="8890" b="4445"/>
            <wp:docPr id="40" name="Picture 40" descr="Table A 12 Annual freshwater discharge of rivers influencing fixed monitoring sites (ML) and long-term median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0654517" cy="6462245"/>
                    </a:xfrm>
                    <a:prstGeom prst="rect">
                      <a:avLst/>
                    </a:prstGeom>
                    <a:noFill/>
                    <a:ln>
                      <a:noFill/>
                    </a:ln>
                  </pic:spPr>
                </pic:pic>
              </a:graphicData>
            </a:graphic>
          </wp:inline>
        </w:drawing>
      </w:r>
    </w:p>
    <w:p w14:paraId="638D6DC8" w14:textId="77777777" w:rsidR="0059608E" w:rsidRPr="00D14900" w:rsidRDefault="0059608E" w:rsidP="006130D4">
      <w:pPr>
        <w:jc w:val="left"/>
        <w:rPr>
          <w:rFonts w:cs="Arial"/>
          <w:sz w:val="16"/>
          <w:szCs w:val="18"/>
          <w:lang w:val="en-AU" w:eastAsia="en-AU"/>
        </w:rPr>
      </w:pPr>
      <w:r w:rsidRPr="00D14900">
        <w:rPr>
          <w:rFonts w:cs="Arial"/>
          <w:sz w:val="16"/>
          <w:szCs w:val="18"/>
          <w:lang w:val="en-AU" w:eastAsia="en-AU"/>
        </w:rPr>
        <w:t>Table provided by Schaffelke, B. Shaded cells highlight years for which river flow exceeded the median annual flow as estimated from available long-term time series  for each river (LT median; from earliest available records to September 2000): yellow= 1.5 to 2-times LT median, orange= 2 to</w:t>
      </w:r>
      <w:r w:rsidRPr="00E26B05">
        <w:rPr>
          <w:rFonts w:asciiTheme="minorHAnsi" w:hAnsiTheme="minorHAnsi" w:cstheme="minorHAnsi"/>
          <w:sz w:val="16"/>
          <w:szCs w:val="18"/>
          <w:lang w:val="en-AU" w:eastAsia="en-AU"/>
        </w:rPr>
        <w:t xml:space="preserve"> </w:t>
      </w:r>
      <w:r w:rsidRPr="00D14900">
        <w:rPr>
          <w:rFonts w:cs="Arial"/>
          <w:sz w:val="16"/>
          <w:szCs w:val="18"/>
          <w:lang w:val="en-AU" w:eastAsia="en-AU"/>
        </w:rPr>
        <w:t xml:space="preserve">3-times LT median, red= &gt;3-times LT median. Discharge data were supplied by the Queensland Department of Natural Resources and Mines (gauging station codes given after river names). Missing values represent years for which &gt;15% of daily flow estimates were not available. </w:t>
      </w:r>
      <w:r w:rsidRPr="00D14900">
        <w:rPr>
          <w:rFonts w:eastAsia="Times New Roman" w:cs="Arial"/>
          <w:color w:val="000000"/>
          <w:sz w:val="16"/>
          <w:szCs w:val="18"/>
          <w:lang w:val="en-AU" w:eastAsia="en-AU" w:bidi="ar-SA"/>
        </w:rPr>
        <w:t xml:space="preserve">Daily discharge for Euramo site (Tully River) from July, 2011 to November, 2012 and from October, 2014 to August, 2015 were estimated from Gorge station (Tully River) using: Euramo Disch = Gorge Disch * 3.5941; Daily discharge for Pioneer river now includes Miriani station, allowing flow record since 1977-11-09. Dumbleton and Miriani stations are corelated by the following equation: Dumbleton Disch = Miriani Disch * 1.4276; All data from the Ross gauge station, which ceased in 2007-08-01 with no substitute in the same river, was replaced by Bohle gauge station; Boyne gauge station was ceased in 2012-06-30 with no substitute in the vicinities of the closed station; Endevour gauge station was ceased in 2015-05-10  with no substitute in the vicinities of the closed station Proserpine gauge station was ceased in 2014-06-03  with no substitute in the vicinities of the closed station; Long-term median was calculated from water year 1970-1971 to 1999-2000. The full dataset does not exist for the Normanby gauging station; </w:t>
      </w:r>
    </w:p>
    <w:p w14:paraId="43B97084" w14:textId="77777777" w:rsidR="0014321B" w:rsidRDefault="0014321B" w:rsidP="0014321B">
      <w:pPr>
        <w:pStyle w:val="Caption"/>
        <w:keepNext/>
      </w:pPr>
      <w:bookmarkStart w:id="732" w:name="_Toc462652080"/>
      <w:r>
        <w:lastRenderedPageBreak/>
        <w:t xml:space="preserve">Table A </w:t>
      </w:r>
      <w:r>
        <w:fldChar w:fldCharType="begin"/>
      </w:r>
      <w:r>
        <w:instrText xml:space="preserve"> SEQ Table_A \* ARABIC </w:instrText>
      </w:r>
      <w:r>
        <w:fldChar w:fldCharType="separate"/>
      </w:r>
      <w:r w:rsidR="00E51A34">
        <w:rPr>
          <w:noProof/>
        </w:rPr>
        <w:t>13</w:t>
      </w:r>
      <w:r>
        <w:fldChar w:fldCharType="end"/>
      </w:r>
      <w:r>
        <w:t xml:space="preserve"> Weekly flood plume colour class (1 – 6) for fixed site passive sampler locations during the 2014-2015 wet season (beginning 1 December 2014)</w:t>
      </w:r>
      <w:bookmarkEnd w:id="732"/>
    </w:p>
    <w:p w14:paraId="3C1E5025" w14:textId="77777777" w:rsidR="0059608E" w:rsidRDefault="0059608E" w:rsidP="006130D4">
      <w:pPr>
        <w:jc w:val="left"/>
        <w:rPr>
          <w:sz w:val="18"/>
          <w:lang w:val="en-AU" w:eastAsia="en-AU"/>
        </w:rPr>
      </w:pPr>
      <w:r w:rsidRPr="00B0432D">
        <w:rPr>
          <w:noProof/>
          <w:lang w:val="en-AU" w:eastAsia="en-AU" w:bidi="ar-SA"/>
        </w:rPr>
        <w:drawing>
          <wp:inline distT="0" distB="0" distL="0" distR="0" wp14:anchorId="7DAAC674" wp14:editId="1B8C410F">
            <wp:extent cx="11925942" cy="2838203"/>
            <wp:effectExtent l="0" t="0" r="0" b="635"/>
            <wp:docPr id="28" name="Picture 28" descr="Table A 13 Weekly flood plume colour class (1 – 6) for fixed site passive sampler locations during the 2014-2015 wet season (beginning 1 December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1932785" cy="2839832"/>
                    </a:xfrm>
                    <a:prstGeom prst="rect">
                      <a:avLst/>
                    </a:prstGeom>
                    <a:noFill/>
                    <a:ln>
                      <a:noFill/>
                    </a:ln>
                  </pic:spPr>
                </pic:pic>
              </a:graphicData>
            </a:graphic>
          </wp:inline>
        </w:drawing>
      </w:r>
    </w:p>
    <w:p w14:paraId="71F56D43" w14:textId="77777777" w:rsidR="00716921" w:rsidRDefault="0059608E" w:rsidP="00716921">
      <w:pPr>
        <w:jc w:val="left"/>
        <w:rPr>
          <w:sz w:val="18"/>
          <w:lang w:val="en-AU" w:eastAsia="en-AU"/>
        </w:rPr>
      </w:pPr>
      <w:r>
        <w:rPr>
          <w:sz w:val="18"/>
          <w:lang w:val="en-AU" w:eastAsia="en-AU"/>
        </w:rPr>
        <w:t xml:space="preserve">A value of 7 indicates </w:t>
      </w:r>
      <w:r w:rsidR="00A832D8">
        <w:rPr>
          <w:sz w:val="18"/>
          <w:lang w:val="en-AU" w:eastAsia="en-AU"/>
        </w:rPr>
        <w:t xml:space="preserve">no data available (e.g. due to cloud cover or the pixel was </w:t>
      </w:r>
      <w:r>
        <w:rPr>
          <w:sz w:val="18"/>
          <w:lang w:val="en-AU" w:eastAsia="en-AU"/>
        </w:rPr>
        <w:t>beyond the plume area</w:t>
      </w:r>
      <w:r w:rsidR="00A832D8">
        <w:rPr>
          <w:sz w:val="18"/>
          <w:lang w:val="en-AU" w:eastAsia="en-AU"/>
        </w:rPr>
        <w:t>)</w:t>
      </w:r>
      <w:r>
        <w:rPr>
          <w:sz w:val="18"/>
          <w:lang w:val="en-AU" w:eastAsia="en-AU"/>
        </w:rPr>
        <w:t>.</w:t>
      </w:r>
      <w:r w:rsidR="00933132" w:rsidRPr="00933132">
        <w:t xml:space="preserve"> </w:t>
      </w:r>
      <w:r w:rsidR="00933132" w:rsidRPr="00106CE5">
        <w:rPr>
          <w:sz w:val="18"/>
        </w:rPr>
        <w:t>W</w:t>
      </w:r>
      <w:r w:rsidR="00933132">
        <w:rPr>
          <w:sz w:val="18"/>
          <w:lang w:val="en-AU" w:eastAsia="en-AU"/>
        </w:rPr>
        <w:t>eekly data</w:t>
      </w:r>
      <w:r w:rsidR="00933132" w:rsidRPr="00933132">
        <w:rPr>
          <w:sz w:val="18"/>
          <w:lang w:val="en-AU" w:eastAsia="en-AU"/>
        </w:rPr>
        <w:t xml:space="preserve"> comprises the minimum colour class at each pixel recorded for the week</w:t>
      </w:r>
      <w:r w:rsidR="00933132">
        <w:rPr>
          <w:sz w:val="18"/>
          <w:lang w:val="en-AU" w:eastAsia="en-AU"/>
        </w:rPr>
        <w:t>.</w:t>
      </w:r>
      <w:r w:rsidR="00716921">
        <w:rPr>
          <w:sz w:val="18"/>
          <w:lang w:val="en-AU" w:eastAsia="en-AU"/>
        </w:rPr>
        <w:t xml:space="preserve"> Dark blue colour class (6) = tertiary plume water; light blue (colour class 5) = secondary plume water; Green, yellow, orange and red (colour classes 4 to 1 respectively) = primary plume water. </w:t>
      </w:r>
    </w:p>
    <w:p w14:paraId="6F6D8AAA" w14:textId="77777777" w:rsidR="007E759B" w:rsidRDefault="007E759B" w:rsidP="006130D4">
      <w:pPr>
        <w:jc w:val="left"/>
        <w:rPr>
          <w:sz w:val="18"/>
          <w:lang w:val="en-AU" w:eastAsia="en-AU"/>
        </w:rPr>
        <w:sectPr w:rsidR="007E759B" w:rsidSect="007E759B">
          <w:pgSz w:w="20412" w:h="14969" w:orient="landscape" w:code="9"/>
          <w:pgMar w:top="720" w:right="720" w:bottom="720" w:left="720" w:header="709" w:footer="709" w:gutter="0"/>
          <w:cols w:space="708"/>
          <w:docGrid w:linePitch="360"/>
        </w:sectPr>
      </w:pPr>
    </w:p>
    <w:p w14:paraId="586D882E" w14:textId="77777777" w:rsidR="00716921" w:rsidRDefault="0059608E" w:rsidP="00716921">
      <w:pPr>
        <w:keepNext/>
      </w:pPr>
      <w:r>
        <w:rPr>
          <w:noProof/>
          <w:lang w:val="en-AU" w:eastAsia="en-AU" w:bidi="ar-SA"/>
        </w:rPr>
        <w:lastRenderedPageBreak/>
        <w:drawing>
          <wp:inline distT="0" distB="0" distL="0" distR="0" wp14:anchorId="6EA8AC18" wp14:editId="57DF1824">
            <wp:extent cx="9751948" cy="5363571"/>
            <wp:effectExtent l="19050" t="19050" r="20955" b="27940"/>
            <wp:docPr id="22" name="Picture 22" descr="Figure A 1 Rainfall decile ranges for the dry season between May 2014- Oct 2014 (left) and wet season between Nov 2014 – 30 April 2015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19259" t="20353" r="3829" b="13642"/>
                    <a:stretch/>
                  </pic:blipFill>
                  <pic:spPr bwMode="auto">
                    <a:xfrm>
                      <a:off x="0" y="0"/>
                      <a:ext cx="9780078" cy="537904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D0E2041" w14:textId="77777777" w:rsidR="0059608E" w:rsidRDefault="00716921" w:rsidP="00716921">
      <w:pPr>
        <w:pStyle w:val="Caption"/>
        <w:jc w:val="center"/>
      </w:pPr>
      <w:bookmarkStart w:id="733" w:name="_Toc462651976"/>
      <w:r>
        <w:t xml:space="preserve">Figure A </w:t>
      </w:r>
      <w:r>
        <w:fldChar w:fldCharType="begin"/>
      </w:r>
      <w:r>
        <w:instrText xml:space="preserve"> SEQ Figure_A \* ARABIC </w:instrText>
      </w:r>
      <w:r>
        <w:fldChar w:fldCharType="separate"/>
      </w:r>
      <w:r w:rsidR="00E51A34">
        <w:rPr>
          <w:noProof/>
        </w:rPr>
        <w:t>1</w:t>
      </w:r>
      <w:r>
        <w:fldChar w:fldCharType="end"/>
      </w:r>
      <w:r>
        <w:t xml:space="preserve"> </w:t>
      </w:r>
      <w:r w:rsidRPr="00716921">
        <w:t>Rainfall decile ranges for the dry season between May 2014- Oct 2014 (left) and wet season between Nov 2014 – 30 April 2015 (right).</w:t>
      </w:r>
      <w:bookmarkEnd w:id="733"/>
    </w:p>
    <w:p w14:paraId="21F84BC3" w14:textId="77777777" w:rsidR="0059608E" w:rsidRPr="0060509F" w:rsidRDefault="0059608E" w:rsidP="006130D4">
      <w:pPr>
        <w:pStyle w:val="Caption"/>
        <w:jc w:val="center"/>
        <w:rPr>
          <w:b w:val="0"/>
          <w:lang w:val="en-AU" w:eastAsia="en-AU"/>
        </w:rPr>
      </w:pPr>
      <w:r w:rsidRPr="0060509F">
        <w:rPr>
          <w:b w:val="0"/>
          <w:lang w:val="en-AU" w:eastAsia="en-AU"/>
        </w:rPr>
        <w:t>Figure provided by Bureau of Meteorology</w:t>
      </w:r>
    </w:p>
    <w:p w14:paraId="4D7F2BEA" w14:textId="77777777" w:rsidR="0059608E" w:rsidRDefault="0059608E" w:rsidP="006130D4">
      <w:pPr>
        <w:rPr>
          <w:sz w:val="18"/>
          <w:lang w:val="en-AU" w:eastAsia="en-AU"/>
        </w:rPr>
      </w:pPr>
    </w:p>
    <w:p w14:paraId="22C49311" w14:textId="77777777" w:rsidR="00EC21B7" w:rsidRDefault="0059608E" w:rsidP="00EC21B7">
      <w:pPr>
        <w:keepNext/>
        <w:jc w:val="center"/>
      </w:pPr>
      <w:r>
        <w:rPr>
          <w:noProof/>
          <w:lang w:val="en-AU" w:eastAsia="en-AU" w:bidi="ar-SA"/>
        </w:rPr>
        <w:lastRenderedPageBreak/>
        <w:drawing>
          <wp:inline distT="0" distB="0" distL="0" distR="0" wp14:anchorId="24AE0DFF" wp14:editId="445BBF36">
            <wp:extent cx="5899215" cy="5759356"/>
            <wp:effectExtent l="19050" t="19050" r="25400" b="13335"/>
            <wp:docPr id="23" name="Picture 23" descr="Figure A 2 One year inter-annual rainfall difference between the previous monitoring year (2013-14) and the current monitoring year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28417" cy="5787866"/>
                    </a:xfrm>
                    <a:prstGeom prst="rect">
                      <a:avLst/>
                    </a:prstGeom>
                    <a:noFill/>
                    <a:ln>
                      <a:solidFill>
                        <a:schemeClr val="tx1"/>
                      </a:solidFill>
                    </a:ln>
                  </pic:spPr>
                </pic:pic>
              </a:graphicData>
            </a:graphic>
          </wp:inline>
        </w:drawing>
      </w:r>
    </w:p>
    <w:p w14:paraId="6A4AAB98" w14:textId="77777777" w:rsidR="0059608E" w:rsidRDefault="00EC21B7" w:rsidP="00EC21B7">
      <w:pPr>
        <w:pStyle w:val="Caption"/>
        <w:jc w:val="center"/>
      </w:pPr>
      <w:bookmarkStart w:id="734" w:name="_Toc462651977"/>
      <w:r>
        <w:t xml:space="preserve">Figure A </w:t>
      </w:r>
      <w:r>
        <w:fldChar w:fldCharType="begin"/>
      </w:r>
      <w:r>
        <w:instrText xml:space="preserve"> SEQ Figure_A \* ARABIC </w:instrText>
      </w:r>
      <w:r>
        <w:fldChar w:fldCharType="separate"/>
      </w:r>
      <w:r w:rsidR="00E51A34">
        <w:rPr>
          <w:noProof/>
        </w:rPr>
        <w:t>2</w:t>
      </w:r>
      <w:r>
        <w:fldChar w:fldCharType="end"/>
      </w:r>
      <w:r>
        <w:t xml:space="preserve"> One year inter-annual rainfall difference between the previous monitoring year (2013-14) and the current monitoring year (2014-15).</w:t>
      </w:r>
      <w:bookmarkEnd w:id="734"/>
    </w:p>
    <w:p w14:paraId="4DA5DDCE" w14:textId="77777777" w:rsidR="0059608E" w:rsidRPr="0060509F" w:rsidRDefault="0059608E" w:rsidP="006130D4">
      <w:pPr>
        <w:pStyle w:val="Caption"/>
        <w:jc w:val="center"/>
        <w:rPr>
          <w:b w:val="0"/>
          <w:lang w:val="en-AU" w:eastAsia="en-AU"/>
        </w:rPr>
      </w:pPr>
      <w:r w:rsidRPr="0060509F">
        <w:rPr>
          <w:b w:val="0"/>
          <w:lang w:val="en-AU" w:eastAsia="en-AU"/>
        </w:rPr>
        <w:t>Figure provided by Bureau of Meteorology</w:t>
      </w:r>
    </w:p>
    <w:p w14:paraId="6F3AFDC7" w14:textId="77777777" w:rsidR="0059608E" w:rsidRPr="00A82DD7" w:rsidRDefault="0059608E" w:rsidP="006130D4">
      <w:pPr>
        <w:rPr>
          <w:lang w:val="en-AU" w:eastAsia="en-AU"/>
        </w:rPr>
        <w:sectPr w:rsidR="0059608E" w:rsidRPr="00A82DD7" w:rsidSect="007E759B">
          <w:pgSz w:w="16840" w:h="11907" w:orient="landscape" w:code="9"/>
          <w:pgMar w:top="720" w:right="720" w:bottom="720" w:left="720" w:header="709" w:footer="709" w:gutter="0"/>
          <w:cols w:space="708"/>
          <w:docGrid w:linePitch="360"/>
        </w:sectPr>
      </w:pPr>
    </w:p>
    <w:p w14:paraId="4526A23F" w14:textId="77777777" w:rsidR="0059608E" w:rsidRDefault="0059608E" w:rsidP="0066689E">
      <w:pPr>
        <w:pStyle w:val="Heading1"/>
      </w:pPr>
      <w:bookmarkStart w:id="735" w:name="_Ref335637596"/>
      <w:bookmarkStart w:id="736" w:name="_Toc461457789"/>
      <w:bookmarkStart w:id="737" w:name="_Toc462651970"/>
      <w:r>
        <w:lastRenderedPageBreak/>
        <w:t>APPENDIX D – Fixed monitoring – Individual site results</w:t>
      </w:r>
      <w:bookmarkEnd w:id="735"/>
      <w:bookmarkEnd w:id="736"/>
      <w:bookmarkEnd w:id="737"/>
    </w:p>
    <w:p w14:paraId="762B148A" w14:textId="77777777" w:rsidR="00BC136A" w:rsidRDefault="00BC136A" w:rsidP="00BC136A">
      <w:pPr>
        <w:pStyle w:val="Caption"/>
        <w:keepNext/>
        <w:jc w:val="both"/>
      </w:pPr>
      <w:bookmarkStart w:id="738" w:name="_Toc462652081"/>
      <w:r>
        <w:t xml:space="preserve">Table A </w:t>
      </w:r>
      <w:r>
        <w:fldChar w:fldCharType="begin"/>
      </w:r>
      <w:r>
        <w:instrText xml:space="preserve"> SEQ Table_A \* ARABIC </w:instrText>
      </w:r>
      <w:r>
        <w:fldChar w:fldCharType="separate"/>
      </w:r>
      <w:r w:rsidR="00E51A34">
        <w:rPr>
          <w:noProof/>
        </w:rPr>
        <w:t>14</w:t>
      </w:r>
      <w:r>
        <w:fldChar w:fldCharType="end"/>
      </w:r>
      <w:r>
        <w:t xml:space="preserve"> Low Isles, Wet Tropics region – Concentration in water (ng L</w:t>
      </w:r>
      <w:r w:rsidRPr="00291A03">
        <w:rPr>
          <w:vertAlign w:val="superscript"/>
        </w:rPr>
        <w:t>-1</w:t>
      </w:r>
      <w:r>
        <w:t>)</w:t>
      </w:r>
      <w:bookmarkEnd w:id="738"/>
    </w:p>
    <w:p w14:paraId="6DBFE12D" w14:textId="77777777" w:rsidR="0059608E" w:rsidRDefault="00E9614A" w:rsidP="006130D4">
      <w:pPr>
        <w:rPr>
          <w:lang w:val="en-AU" w:eastAsia="en-AU"/>
        </w:rPr>
      </w:pPr>
      <w:r w:rsidRPr="00E9614A">
        <w:rPr>
          <w:noProof/>
          <w:lang w:val="en-AU" w:eastAsia="en-AU" w:bidi="ar-SA"/>
        </w:rPr>
        <w:drawing>
          <wp:inline distT="0" distB="0" distL="0" distR="0" wp14:anchorId="0EC350B7" wp14:editId="75FC24A4">
            <wp:extent cx="14197397" cy="5540991"/>
            <wp:effectExtent l="0" t="0" r="0" b="3175"/>
            <wp:docPr id="70" name="Picture 70" descr="Table A 14 Low Isles, Wet Tropics region – Concentration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4197450" cy="5541012"/>
                    </a:xfrm>
                    <a:prstGeom prst="rect">
                      <a:avLst/>
                    </a:prstGeom>
                    <a:noFill/>
                    <a:ln>
                      <a:noFill/>
                    </a:ln>
                  </pic:spPr>
                </pic:pic>
              </a:graphicData>
            </a:graphic>
          </wp:inline>
        </w:drawing>
      </w:r>
    </w:p>
    <w:p w14:paraId="752E5CAD"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w:t>
      </w:r>
      <w:r w:rsidR="00333736">
        <w:rPr>
          <w:sz w:val="18"/>
          <w:szCs w:val="18"/>
          <w:lang w:val="en-AU" w:eastAsia="en-AU"/>
        </w:rPr>
        <w:t>ine was assumed. Water estimat</w:t>
      </w:r>
      <w:r w:rsidRPr="0031241A">
        <w:rPr>
          <w:sz w:val="18"/>
          <w:szCs w:val="18"/>
          <w:lang w:val="en-AU" w:eastAsia="en-AU"/>
        </w:rPr>
        <w:t>ions are approximate</w:t>
      </w:r>
      <w:r>
        <w:rPr>
          <w:sz w:val="18"/>
          <w:szCs w:val="18"/>
          <w:lang w:val="en-AU" w:eastAsia="en-AU"/>
        </w:rPr>
        <w:t>; Results are rounded to two significant figures; **Concentration is average of duplicate samplers</w:t>
      </w:r>
    </w:p>
    <w:p w14:paraId="0EA65741" w14:textId="77777777" w:rsidR="0059608E" w:rsidRPr="004351DE" w:rsidRDefault="0059608E" w:rsidP="006130D4">
      <w:pPr>
        <w:rPr>
          <w:i/>
          <w:sz w:val="18"/>
          <w:szCs w:val="18"/>
          <w:lang w:val="en-AU" w:eastAsia="en-AU"/>
        </w:rPr>
      </w:pPr>
    </w:p>
    <w:p w14:paraId="1E6E1C93" w14:textId="77777777" w:rsidR="0059608E" w:rsidRPr="00333736" w:rsidRDefault="0059608E" w:rsidP="00333736">
      <w:pPr>
        <w:ind w:firstLine="357"/>
        <w:jc w:val="left"/>
        <w:rPr>
          <w:sz w:val="18"/>
          <w:szCs w:val="18"/>
          <w:lang w:val="en-AU" w:eastAsia="en-AU"/>
        </w:rPr>
      </w:pPr>
      <w:r>
        <w:rPr>
          <w:sz w:val="18"/>
          <w:szCs w:val="18"/>
          <w:lang w:val="en-AU" w:eastAsia="en-AU"/>
        </w:rPr>
        <w:br w:type="page"/>
      </w:r>
    </w:p>
    <w:p w14:paraId="014B0394" w14:textId="77777777" w:rsidR="00333736" w:rsidRDefault="00333736" w:rsidP="00333736">
      <w:pPr>
        <w:pStyle w:val="Caption"/>
        <w:keepNext/>
      </w:pPr>
      <w:bookmarkStart w:id="739" w:name="_Toc462652082"/>
      <w:r>
        <w:lastRenderedPageBreak/>
        <w:t xml:space="preserve">Table A </w:t>
      </w:r>
      <w:r>
        <w:fldChar w:fldCharType="begin"/>
      </w:r>
      <w:r>
        <w:instrText xml:space="preserve"> SEQ Table_A \* ARABIC </w:instrText>
      </w:r>
      <w:r>
        <w:fldChar w:fldCharType="separate"/>
      </w:r>
      <w:r w:rsidR="00E51A34">
        <w:rPr>
          <w:noProof/>
        </w:rPr>
        <w:t>15</w:t>
      </w:r>
      <w:r>
        <w:fldChar w:fldCharType="end"/>
      </w:r>
      <w:r>
        <w:t xml:space="preserve"> Green Island, Wet Tropics region – Concentration in water (ng L</w:t>
      </w:r>
      <w:r w:rsidRPr="00AC427D">
        <w:rPr>
          <w:vertAlign w:val="superscript"/>
        </w:rPr>
        <w:t>-1</w:t>
      </w:r>
      <w:r>
        <w:t>)</w:t>
      </w:r>
      <w:bookmarkEnd w:id="739"/>
    </w:p>
    <w:p w14:paraId="35D505E1" w14:textId="77777777" w:rsidR="0059608E" w:rsidRDefault="00E9614A" w:rsidP="006130D4">
      <w:pPr>
        <w:jc w:val="center"/>
        <w:rPr>
          <w:lang w:val="en-AU" w:eastAsia="en-AU"/>
        </w:rPr>
      </w:pPr>
      <w:r w:rsidRPr="00E9614A">
        <w:rPr>
          <w:noProof/>
          <w:lang w:val="en-AU" w:eastAsia="en-AU" w:bidi="ar-SA"/>
        </w:rPr>
        <w:drawing>
          <wp:inline distT="0" distB="0" distL="0" distR="0" wp14:anchorId="65168F34" wp14:editId="2D809FD3">
            <wp:extent cx="14002385" cy="5022215"/>
            <wp:effectExtent l="0" t="0" r="0" b="6985"/>
            <wp:docPr id="76" name="Picture 76" descr="Table A 15 Green Island, Wet Tropics region – Concentration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4002385" cy="5022215"/>
                    </a:xfrm>
                    <a:prstGeom prst="rect">
                      <a:avLst/>
                    </a:prstGeom>
                    <a:noFill/>
                    <a:ln>
                      <a:noFill/>
                    </a:ln>
                  </pic:spPr>
                </pic:pic>
              </a:graphicData>
            </a:graphic>
          </wp:inline>
        </w:drawing>
      </w:r>
    </w:p>
    <w:p w14:paraId="484F5CA9"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w:t>
      </w:r>
      <w:r w:rsidR="00333736">
        <w:rPr>
          <w:sz w:val="18"/>
          <w:szCs w:val="18"/>
          <w:lang w:val="en-AU" w:eastAsia="en-AU"/>
        </w:rPr>
        <w:t>zine was assumed. Water estima</w:t>
      </w:r>
      <w:r w:rsidRPr="0031241A">
        <w:rPr>
          <w:sz w:val="18"/>
          <w:szCs w:val="18"/>
          <w:lang w:val="en-AU" w:eastAsia="en-AU"/>
        </w:rPr>
        <w:t>tions are approximate</w:t>
      </w:r>
      <w:r>
        <w:rPr>
          <w:sz w:val="18"/>
          <w:szCs w:val="18"/>
          <w:lang w:val="en-AU" w:eastAsia="en-AU"/>
        </w:rPr>
        <w:t>; Results are rounded to two significant figures</w:t>
      </w:r>
    </w:p>
    <w:p w14:paraId="27A28F1F" w14:textId="77777777" w:rsidR="0059608E" w:rsidRDefault="0059608E" w:rsidP="006130D4">
      <w:pPr>
        <w:rPr>
          <w:sz w:val="18"/>
          <w:szCs w:val="18"/>
          <w:lang w:val="en-AU" w:eastAsia="en-AU"/>
        </w:rPr>
      </w:pPr>
    </w:p>
    <w:p w14:paraId="225955EE" w14:textId="77777777" w:rsidR="00BC70B2" w:rsidRDefault="00BC70B2" w:rsidP="00BC70B2">
      <w:pPr>
        <w:pStyle w:val="Caption"/>
        <w:keepNext/>
      </w:pPr>
      <w:bookmarkStart w:id="740" w:name="_Toc462652083"/>
      <w:r>
        <w:lastRenderedPageBreak/>
        <w:t xml:space="preserve">Table A </w:t>
      </w:r>
      <w:r>
        <w:fldChar w:fldCharType="begin"/>
      </w:r>
      <w:r>
        <w:instrText xml:space="preserve"> SEQ Table_A \* ARABIC </w:instrText>
      </w:r>
      <w:r>
        <w:fldChar w:fldCharType="separate"/>
      </w:r>
      <w:r w:rsidR="00E51A34">
        <w:rPr>
          <w:noProof/>
        </w:rPr>
        <w:t>16</w:t>
      </w:r>
      <w:r>
        <w:fldChar w:fldCharType="end"/>
      </w:r>
      <w:r>
        <w:t xml:space="preserve"> Fitzroy Island, Wet Tropics region – Concentration in water (ng L</w:t>
      </w:r>
      <w:r>
        <w:rPr>
          <w:vertAlign w:val="superscript"/>
        </w:rPr>
        <w:t>-1</w:t>
      </w:r>
      <w:r>
        <w:t>)</w:t>
      </w:r>
      <w:bookmarkEnd w:id="740"/>
    </w:p>
    <w:p w14:paraId="584251BE" w14:textId="77777777" w:rsidR="0059608E" w:rsidRDefault="00A95A14" w:rsidP="006130D4">
      <w:pPr>
        <w:pStyle w:val="Caption"/>
      </w:pPr>
      <w:r w:rsidRPr="00A95A14">
        <w:rPr>
          <w:noProof/>
          <w:lang w:val="en-AU" w:eastAsia="en-AU" w:bidi="ar-SA"/>
        </w:rPr>
        <w:drawing>
          <wp:inline distT="0" distB="0" distL="0" distR="0" wp14:anchorId="3A8024A4" wp14:editId="610A69E3">
            <wp:extent cx="13934440" cy="4490085"/>
            <wp:effectExtent l="0" t="0" r="0" b="5715"/>
            <wp:docPr id="80" name="Picture 80" descr="Table A 16 Fitzroy Island, Wet Tropics region – Concentration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3934440" cy="4490085"/>
                    </a:xfrm>
                    <a:prstGeom prst="rect">
                      <a:avLst/>
                    </a:prstGeom>
                    <a:noFill/>
                    <a:ln>
                      <a:noFill/>
                    </a:ln>
                  </pic:spPr>
                </pic:pic>
              </a:graphicData>
            </a:graphic>
          </wp:inline>
        </w:drawing>
      </w:r>
    </w:p>
    <w:p w14:paraId="0346CE67"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4E68F9DE" w14:textId="77777777" w:rsidR="0059608E" w:rsidRDefault="0059608E" w:rsidP="006130D4">
      <w:pPr>
        <w:pStyle w:val="Caption"/>
      </w:pPr>
    </w:p>
    <w:p w14:paraId="2C469930" w14:textId="77777777" w:rsidR="0059608E" w:rsidRPr="00BC70B2" w:rsidRDefault="0059608E" w:rsidP="00BC70B2">
      <w:pPr>
        <w:ind w:firstLine="357"/>
        <w:jc w:val="left"/>
        <w:rPr>
          <w:b/>
          <w:bCs/>
          <w:sz w:val="18"/>
          <w:szCs w:val="18"/>
        </w:rPr>
      </w:pPr>
      <w:r>
        <w:br w:type="page"/>
      </w:r>
    </w:p>
    <w:p w14:paraId="2B6F8142" w14:textId="77777777" w:rsidR="00BC70B2" w:rsidRDefault="00BC70B2" w:rsidP="00BC70B2">
      <w:pPr>
        <w:pStyle w:val="Caption"/>
        <w:keepNext/>
        <w:jc w:val="both"/>
      </w:pPr>
      <w:bookmarkStart w:id="741" w:name="_Toc462652084"/>
      <w:r>
        <w:lastRenderedPageBreak/>
        <w:t xml:space="preserve">Table A </w:t>
      </w:r>
      <w:r>
        <w:fldChar w:fldCharType="begin"/>
      </w:r>
      <w:r>
        <w:instrText xml:space="preserve"> SEQ Table_A \* ARABIC </w:instrText>
      </w:r>
      <w:r>
        <w:fldChar w:fldCharType="separate"/>
      </w:r>
      <w:r w:rsidR="00E51A34">
        <w:rPr>
          <w:noProof/>
        </w:rPr>
        <w:t>17</w:t>
      </w:r>
      <w:r>
        <w:fldChar w:fldCharType="end"/>
      </w:r>
      <w:r>
        <w:t xml:space="preserve"> Dunk Island, Wet Tropics region – Concentrations in water (ng L</w:t>
      </w:r>
      <w:r w:rsidRPr="00047549">
        <w:rPr>
          <w:vertAlign w:val="superscript"/>
        </w:rPr>
        <w:t>-1</w:t>
      </w:r>
      <w:r>
        <w:t>)</w:t>
      </w:r>
      <w:bookmarkEnd w:id="741"/>
    </w:p>
    <w:p w14:paraId="6FBE8B01" w14:textId="77777777" w:rsidR="00A95A14" w:rsidRPr="00A95A14" w:rsidRDefault="00A95A14" w:rsidP="00A95A14">
      <w:pPr>
        <w:rPr>
          <w:lang w:val="en-AU" w:eastAsia="en-AU" w:bidi="ar-SA"/>
        </w:rPr>
      </w:pPr>
      <w:r w:rsidRPr="00A95A14">
        <w:rPr>
          <w:noProof/>
          <w:lang w:val="en-AU" w:eastAsia="en-AU" w:bidi="ar-SA"/>
        </w:rPr>
        <w:drawing>
          <wp:inline distT="0" distB="0" distL="0" distR="0" wp14:anchorId="678D2026" wp14:editId="2C174738">
            <wp:extent cx="14229595" cy="4858603"/>
            <wp:effectExtent l="0" t="0" r="1270" b="0"/>
            <wp:docPr id="81" name="Picture 81" descr="Table A 17 Dunk Island, Wet Tropics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4229692" cy="4858636"/>
                    </a:xfrm>
                    <a:prstGeom prst="rect">
                      <a:avLst/>
                    </a:prstGeom>
                    <a:noFill/>
                    <a:ln>
                      <a:noFill/>
                    </a:ln>
                  </pic:spPr>
                </pic:pic>
              </a:graphicData>
            </a:graphic>
          </wp:inline>
        </w:drawing>
      </w:r>
    </w:p>
    <w:p w14:paraId="7BE790E2"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w:t>
      </w:r>
    </w:p>
    <w:p w14:paraId="7DAE211D" w14:textId="77777777" w:rsidR="0059608E" w:rsidRDefault="0059608E" w:rsidP="006130D4">
      <w:pPr>
        <w:pStyle w:val="Caption"/>
      </w:pPr>
    </w:p>
    <w:p w14:paraId="1C394ED9" w14:textId="77777777" w:rsidR="0059608E" w:rsidRDefault="0059608E" w:rsidP="006130D4">
      <w:pPr>
        <w:pStyle w:val="Caption"/>
      </w:pPr>
    </w:p>
    <w:p w14:paraId="5D92914E" w14:textId="77777777" w:rsidR="0059608E" w:rsidRDefault="0059608E" w:rsidP="006130D4">
      <w:pPr>
        <w:pStyle w:val="Caption"/>
      </w:pPr>
      <w:r>
        <w:br w:type="page"/>
      </w:r>
    </w:p>
    <w:p w14:paraId="5ADD3932" w14:textId="77777777" w:rsidR="00BC70B2" w:rsidRDefault="00BC70B2" w:rsidP="00BC70B2">
      <w:pPr>
        <w:pStyle w:val="Caption"/>
        <w:keepNext/>
      </w:pPr>
      <w:bookmarkStart w:id="742" w:name="_Toc462652085"/>
      <w:r>
        <w:lastRenderedPageBreak/>
        <w:t xml:space="preserve">Table A </w:t>
      </w:r>
      <w:r>
        <w:fldChar w:fldCharType="begin"/>
      </w:r>
      <w:r>
        <w:instrText xml:space="preserve"> SEQ Table_A \* ARABIC </w:instrText>
      </w:r>
      <w:r>
        <w:fldChar w:fldCharType="separate"/>
      </w:r>
      <w:r w:rsidR="00E51A34">
        <w:rPr>
          <w:noProof/>
        </w:rPr>
        <w:t>18</w:t>
      </w:r>
      <w:r>
        <w:fldChar w:fldCharType="end"/>
      </w:r>
      <w:r>
        <w:t xml:space="preserve"> Normanby Island, Wet Tropics region – Concentrations in water (ng L</w:t>
      </w:r>
      <w:r w:rsidRPr="00243279">
        <w:rPr>
          <w:vertAlign w:val="superscript"/>
        </w:rPr>
        <w:t>-1</w:t>
      </w:r>
      <w:r>
        <w:t>)</w:t>
      </w:r>
      <w:bookmarkEnd w:id="742"/>
    </w:p>
    <w:p w14:paraId="73E82786" w14:textId="77777777" w:rsidR="0059608E" w:rsidRDefault="00A95A14" w:rsidP="006130D4">
      <w:pPr>
        <w:pStyle w:val="Caption"/>
      </w:pPr>
      <w:r w:rsidRPr="00A95A14">
        <w:rPr>
          <w:noProof/>
          <w:lang w:val="en-AU" w:eastAsia="en-AU" w:bidi="ar-SA"/>
        </w:rPr>
        <w:drawing>
          <wp:inline distT="0" distB="0" distL="0" distR="0" wp14:anchorId="1413FB06" wp14:editId="5D91DA30">
            <wp:extent cx="14098270" cy="5213350"/>
            <wp:effectExtent l="0" t="0" r="0" b="6350"/>
            <wp:docPr id="85" name="Picture 85" descr="Table A 18 Normanby Island, Wet Tropics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4098270" cy="5213350"/>
                    </a:xfrm>
                    <a:prstGeom prst="rect">
                      <a:avLst/>
                    </a:prstGeom>
                    <a:noFill/>
                    <a:ln>
                      <a:noFill/>
                    </a:ln>
                  </pic:spPr>
                </pic:pic>
              </a:graphicData>
            </a:graphic>
          </wp:inline>
        </w:drawing>
      </w:r>
    </w:p>
    <w:p w14:paraId="2C414341"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w:t>
      </w:r>
    </w:p>
    <w:p w14:paraId="5EBDECF4" w14:textId="77777777" w:rsidR="0059608E" w:rsidRDefault="0059608E">
      <w:pPr>
        <w:ind w:firstLine="357"/>
        <w:jc w:val="left"/>
        <w:rPr>
          <w:sz w:val="18"/>
          <w:szCs w:val="18"/>
          <w:lang w:val="en-AU" w:eastAsia="en-AU"/>
        </w:rPr>
      </w:pPr>
      <w:r>
        <w:rPr>
          <w:sz w:val="18"/>
          <w:szCs w:val="18"/>
          <w:lang w:val="en-AU" w:eastAsia="en-AU"/>
        </w:rPr>
        <w:br w:type="page"/>
      </w:r>
    </w:p>
    <w:p w14:paraId="37382C66" w14:textId="77777777" w:rsidR="00A472EE" w:rsidRDefault="00A472EE" w:rsidP="00A472EE">
      <w:pPr>
        <w:pStyle w:val="Caption"/>
        <w:keepNext/>
      </w:pPr>
      <w:bookmarkStart w:id="743" w:name="_Toc462652086"/>
      <w:r>
        <w:lastRenderedPageBreak/>
        <w:t xml:space="preserve">Table A </w:t>
      </w:r>
      <w:r>
        <w:fldChar w:fldCharType="begin"/>
      </w:r>
      <w:r>
        <w:instrText xml:space="preserve"> SEQ Table_A \* ARABIC </w:instrText>
      </w:r>
      <w:r>
        <w:fldChar w:fldCharType="separate"/>
      </w:r>
      <w:r w:rsidR="00E51A34">
        <w:rPr>
          <w:noProof/>
        </w:rPr>
        <w:t>19</w:t>
      </w:r>
      <w:r>
        <w:fldChar w:fldCharType="end"/>
      </w:r>
      <w:r>
        <w:t xml:space="preserve"> Lucinda, Wet Tropics region – Concentrations in water (ng L</w:t>
      </w:r>
      <w:r w:rsidRPr="00243279">
        <w:rPr>
          <w:vertAlign w:val="superscript"/>
        </w:rPr>
        <w:t>-1</w:t>
      </w:r>
      <w:r>
        <w:t>)</w:t>
      </w:r>
      <w:bookmarkEnd w:id="743"/>
    </w:p>
    <w:p w14:paraId="010C2425" w14:textId="77777777" w:rsidR="0059608E" w:rsidRDefault="00A95A14" w:rsidP="006130D4">
      <w:pPr>
        <w:pStyle w:val="Caption"/>
      </w:pPr>
      <w:r w:rsidRPr="00A95A14">
        <w:rPr>
          <w:noProof/>
          <w:lang w:val="en-AU" w:eastAsia="en-AU" w:bidi="ar-SA"/>
        </w:rPr>
        <w:drawing>
          <wp:inline distT="0" distB="0" distL="0" distR="0" wp14:anchorId="3F6C4871" wp14:editId="3823EB32">
            <wp:extent cx="14221572" cy="5240741"/>
            <wp:effectExtent l="0" t="0" r="8890" b="0"/>
            <wp:docPr id="91" name="Picture 91" descr="Table A 19 Lucinda, Wet Tropics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4221897" cy="5240861"/>
                    </a:xfrm>
                    <a:prstGeom prst="rect">
                      <a:avLst/>
                    </a:prstGeom>
                    <a:noFill/>
                    <a:ln>
                      <a:noFill/>
                    </a:ln>
                  </pic:spPr>
                </pic:pic>
              </a:graphicData>
            </a:graphic>
          </wp:inline>
        </w:drawing>
      </w:r>
    </w:p>
    <w:p w14:paraId="49D33FCF" w14:textId="77777777" w:rsidR="0059608E" w:rsidRDefault="0059608E" w:rsidP="006130D4">
      <w:pPr>
        <w:rPr>
          <w:sz w:val="18"/>
          <w:szCs w:val="18"/>
        </w:rPr>
        <w:sectPr w:rsidR="0059608E" w:rsidSect="006130D4">
          <w:pgSz w:w="23814" w:h="16839" w:orient="landscape" w:code="8"/>
          <w:pgMar w:top="567" w:right="720" w:bottom="720" w:left="720" w:header="709" w:footer="709" w:gutter="0"/>
          <w:cols w:space="708"/>
          <w:docGrid w:linePitch="360"/>
        </w:sect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r w:rsidRPr="006873D4">
        <w:rPr>
          <w:sz w:val="18"/>
          <w:szCs w:val="18"/>
          <w:lang w:val="en-AU" w:eastAsia="en-AU"/>
        </w:rPr>
        <w:t>;</w:t>
      </w:r>
      <w:r w:rsidRPr="006873D4">
        <w:rPr>
          <w:sz w:val="18"/>
          <w:szCs w:val="18"/>
        </w:rPr>
        <w:t>? = MCPA was detected at relatively elevated concentration in one replicate only and has not been reported.</w:t>
      </w:r>
    </w:p>
    <w:p w14:paraId="4843D406" w14:textId="77777777" w:rsidR="00322C1E" w:rsidRDefault="0059608E" w:rsidP="00322C1E">
      <w:pPr>
        <w:keepNext/>
        <w:jc w:val="center"/>
      </w:pPr>
      <w:r>
        <w:rPr>
          <w:noProof/>
          <w:lang w:val="en-AU" w:eastAsia="en-AU" w:bidi="ar-SA"/>
        </w:rPr>
        <w:lastRenderedPageBreak/>
        <w:drawing>
          <wp:inline distT="0" distB="0" distL="0" distR="0" wp14:anchorId="5502B654" wp14:editId="64199432">
            <wp:extent cx="8494295" cy="13004573"/>
            <wp:effectExtent l="19050" t="19050" r="21590" b="26035"/>
            <wp:docPr id="69" name="Picture 69" descr="Figure A 3 Timing and location of grab (top) and passive (bottom) samples collected on the Russell-Mulgrave River transect, Wet Tropics, between 2013-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517746" cy="13040477"/>
                    </a:xfrm>
                    <a:prstGeom prst="rect">
                      <a:avLst/>
                    </a:prstGeom>
                    <a:noFill/>
                    <a:ln>
                      <a:solidFill>
                        <a:schemeClr val="tx1"/>
                      </a:solidFill>
                    </a:ln>
                  </pic:spPr>
                </pic:pic>
              </a:graphicData>
            </a:graphic>
          </wp:inline>
        </w:drawing>
      </w:r>
    </w:p>
    <w:p w14:paraId="6D29B7BA" w14:textId="77777777" w:rsidR="0059608E" w:rsidRPr="00973917" w:rsidRDefault="00322C1E" w:rsidP="00322C1E">
      <w:pPr>
        <w:pStyle w:val="Caption"/>
        <w:jc w:val="center"/>
        <w:rPr>
          <w:b w:val="0"/>
        </w:rPr>
      </w:pPr>
      <w:bookmarkStart w:id="744" w:name="_Toc462651978"/>
      <w:r>
        <w:t xml:space="preserve">Figure A </w:t>
      </w:r>
      <w:r>
        <w:fldChar w:fldCharType="begin"/>
      </w:r>
      <w:r>
        <w:instrText xml:space="preserve"> SEQ Figure_A \* ARABIC </w:instrText>
      </w:r>
      <w:r>
        <w:fldChar w:fldCharType="separate"/>
      </w:r>
      <w:r w:rsidR="00E51A34">
        <w:rPr>
          <w:noProof/>
        </w:rPr>
        <w:t>3</w:t>
      </w:r>
      <w:r>
        <w:fldChar w:fldCharType="end"/>
      </w:r>
      <w:r>
        <w:t xml:space="preserve"> </w:t>
      </w:r>
      <w:r w:rsidRPr="004739CE">
        <w:t xml:space="preserve">Timing and location of grab </w:t>
      </w:r>
      <w:r>
        <w:t xml:space="preserve">(top) and passive (bottom) </w:t>
      </w:r>
      <w:r w:rsidRPr="004739CE">
        <w:t xml:space="preserve">samples </w:t>
      </w:r>
      <w:r>
        <w:t>collected</w:t>
      </w:r>
      <w:r w:rsidRPr="004739CE">
        <w:t xml:space="preserve"> on </w:t>
      </w:r>
      <w:r>
        <w:t xml:space="preserve">the </w:t>
      </w:r>
      <w:r w:rsidRPr="004739CE">
        <w:t xml:space="preserve">Russell-Mulgrave River transect, Wet Tropics, </w:t>
      </w:r>
      <w:r>
        <w:t xml:space="preserve">between </w:t>
      </w:r>
      <w:r w:rsidRPr="004739CE">
        <w:t>201</w:t>
      </w:r>
      <w:r>
        <w:t>3</w:t>
      </w:r>
      <w:r w:rsidRPr="004739CE">
        <w:t>-201</w:t>
      </w:r>
      <w:r>
        <w:t>5</w:t>
      </w:r>
      <w:bookmarkEnd w:id="744"/>
    </w:p>
    <w:p w14:paraId="747A5AB2" w14:textId="77777777" w:rsidR="0059608E" w:rsidRDefault="0059608E">
      <w:pPr>
        <w:ind w:firstLine="357"/>
        <w:jc w:val="left"/>
        <w:rPr>
          <w:b/>
          <w:bCs/>
          <w:sz w:val="18"/>
          <w:szCs w:val="18"/>
        </w:rPr>
      </w:pPr>
      <w:r>
        <w:br w:type="page"/>
      </w:r>
    </w:p>
    <w:p w14:paraId="14F64FE2" w14:textId="77777777" w:rsidR="00322C1E" w:rsidRDefault="00C31EEA" w:rsidP="00322C1E">
      <w:pPr>
        <w:pStyle w:val="Caption"/>
        <w:keepNext/>
        <w:jc w:val="center"/>
      </w:pPr>
      <w:r>
        <w:object w:dxaOrig="9977" w:dyaOrig="14678" w14:anchorId="445740A5">
          <v:shape id="_x0000_i1027" type="#_x0000_t75" alt="Figure A 4 Timing and location of grab (top) and passive (bottom) samples collected on the Tully River transect, Wet Tropics, between 2010-2015 " style="width:706.5pt;height:1038pt" o:ole="">
            <v:imagedata r:id="rId68" o:title=""/>
          </v:shape>
          <o:OLEObject Type="Embed" ProgID="Prism6.Document" ShapeID="_x0000_i1027" DrawAspect="Content" ObjectID="_1536570140" r:id="rId69"/>
        </w:object>
      </w:r>
    </w:p>
    <w:p w14:paraId="48635643" w14:textId="77777777" w:rsidR="0059608E" w:rsidRDefault="00322C1E" w:rsidP="00322C1E">
      <w:pPr>
        <w:pStyle w:val="Caption"/>
        <w:jc w:val="center"/>
        <w:sectPr w:rsidR="0059608E" w:rsidSect="006130D4">
          <w:pgSz w:w="16839" w:h="23814" w:code="8"/>
          <w:pgMar w:top="720" w:right="567" w:bottom="720" w:left="720" w:header="709" w:footer="709" w:gutter="0"/>
          <w:cols w:space="708"/>
          <w:docGrid w:linePitch="360"/>
        </w:sectPr>
      </w:pPr>
      <w:bookmarkStart w:id="745" w:name="_Toc462651979"/>
      <w:r>
        <w:t xml:space="preserve">Figure A </w:t>
      </w:r>
      <w:r>
        <w:fldChar w:fldCharType="begin"/>
      </w:r>
      <w:r>
        <w:instrText xml:space="preserve"> SEQ Figure_A \* ARABIC </w:instrText>
      </w:r>
      <w:r>
        <w:fldChar w:fldCharType="separate"/>
      </w:r>
      <w:r w:rsidR="00E51A34">
        <w:rPr>
          <w:noProof/>
        </w:rPr>
        <w:t>4</w:t>
      </w:r>
      <w:r>
        <w:fldChar w:fldCharType="end"/>
      </w:r>
      <w:r>
        <w:t xml:space="preserve"> </w:t>
      </w:r>
      <w:r w:rsidRPr="004739CE">
        <w:t xml:space="preserve">Timing and location of grab </w:t>
      </w:r>
      <w:r>
        <w:t xml:space="preserve">(top) and passive (bottom) </w:t>
      </w:r>
      <w:r w:rsidRPr="004739CE">
        <w:t xml:space="preserve">samples </w:t>
      </w:r>
      <w:r>
        <w:t>collected</w:t>
      </w:r>
      <w:r w:rsidRPr="004739CE">
        <w:t xml:space="preserve"> on </w:t>
      </w:r>
      <w:r>
        <w:t xml:space="preserve">the </w:t>
      </w:r>
      <w:r w:rsidR="001F6E6F">
        <w:t>Tully</w:t>
      </w:r>
      <w:r w:rsidRPr="004739CE">
        <w:t xml:space="preserve"> River transect, Wet Tropics, </w:t>
      </w:r>
      <w:r>
        <w:t xml:space="preserve">between </w:t>
      </w:r>
      <w:r w:rsidRPr="004739CE">
        <w:t>201</w:t>
      </w:r>
      <w:r w:rsidR="001F6E6F">
        <w:t>0</w:t>
      </w:r>
      <w:r w:rsidRPr="004739CE">
        <w:t>-201</w:t>
      </w:r>
      <w:r>
        <w:t>5</w:t>
      </w:r>
      <w:bookmarkEnd w:id="745"/>
    </w:p>
    <w:p w14:paraId="25F114EB" w14:textId="77777777" w:rsidR="001F6E6F" w:rsidRDefault="001F6E6F" w:rsidP="001F6E6F">
      <w:pPr>
        <w:pStyle w:val="Caption"/>
        <w:keepNext/>
        <w:jc w:val="both"/>
      </w:pPr>
      <w:bookmarkStart w:id="746" w:name="_Toc462652087"/>
      <w:r>
        <w:lastRenderedPageBreak/>
        <w:t xml:space="preserve">Table A </w:t>
      </w:r>
      <w:r>
        <w:fldChar w:fldCharType="begin"/>
      </w:r>
      <w:r>
        <w:instrText xml:space="preserve"> SEQ Table_A \* ARABIC </w:instrText>
      </w:r>
      <w:r>
        <w:fldChar w:fldCharType="separate"/>
      </w:r>
      <w:r w:rsidR="00E51A34">
        <w:rPr>
          <w:noProof/>
        </w:rPr>
        <w:t>20</w:t>
      </w:r>
      <w:r>
        <w:fldChar w:fldCharType="end"/>
      </w:r>
      <w:r>
        <w:t xml:space="preserve"> </w:t>
      </w:r>
      <w:r w:rsidRPr="001F6E6F">
        <w:t>Orpheus Island, Burdekin region – Concentrations in water (ng L-1)</w:t>
      </w:r>
      <w:bookmarkEnd w:id="746"/>
    </w:p>
    <w:p w14:paraId="2CBC4746" w14:textId="77777777" w:rsidR="0059608E" w:rsidRDefault="00A95A14" w:rsidP="006130D4">
      <w:pPr>
        <w:rPr>
          <w:lang w:val="en-AU" w:eastAsia="en-AU"/>
        </w:rPr>
      </w:pPr>
      <w:r w:rsidRPr="00A95A14">
        <w:rPr>
          <w:noProof/>
          <w:lang w:val="en-AU" w:eastAsia="en-AU" w:bidi="ar-SA"/>
        </w:rPr>
        <w:drawing>
          <wp:inline distT="0" distB="0" distL="0" distR="0" wp14:anchorId="6257C4CB" wp14:editId="5C258B31">
            <wp:extent cx="14221604" cy="5486400"/>
            <wp:effectExtent l="0" t="0" r="8890" b="0"/>
            <wp:docPr id="92" name="Picture 92" descr="Table A 20 Orpheus Island, Burdekin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4221983" cy="5486546"/>
                    </a:xfrm>
                    <a:prstGeom prst="rect">
                      <a:avLst/>
                    </a:prstGeom>
                    <a:noFill/>
                    <a:ln>
                      <a:noFill/>
                    </a:ln>
                  </pic:spPr>
                </pic:pic>
              </a:graphicData>
            </a:graphic>
          </wp:inline>
        </w:drawing>
      </w:r>
    </w:p>
    <w:p w14:paraId="4E072258"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w:t>
      </w:r>
    </w:p>
    <w:p w14:paraId="02BD629D" w14:textId="77777777" w:rsidR="0059608E" w:rsidRDefault="0059608E" w:rsidP="006130D4">
      <w:pPr>
        <w:rPr>
          <w:sz w:val="16"/>
          <w:szCs w:val="18"/>
          <w:lang w:val="en-AU" w:eastAsia="en-AU"/>
        </w:rPr>
      </w:pPr>
    </w:p>
    <w:p w14:paraId="367CCFF1" w14:textId="77777777" w:rsidR="0059608E" w:rsidRDefault="0059608E" w:rsidP="006130D4">
      <w:pPr>
        <w:pStyle w:val="Caption"/>
      </w:pPr>
      <w:r>
        <w:br w:type="page"/>
      </w:r>
    </w:p>
    <w:p w14:paraId="6D421F27" w14:textId="77777777" w:rsidR="001F6E6F" w:rsidRDefault="001F6E6F" w:rsidP="001F6E6F">
      <w:pPr>
        <w:pStyle w:val="Caption"/>
        <w:keepNext/>
        <w:jc w:val="both"/>
      </w:pPr>
      <w:bookmarkStart w:id="747" w:name="_Toc462652088"/>
      <w:r>
        <w:lastRenderedPageBreak/>
        <w:t xml:space="preserve">Table A </w:t>
      </w:r>
      <w:r>
        <w:fldChar w:fldCharType="begin"/>
      </w:r>
      <w:r>
        <w:instrText xml:space="preserve"> SEQ Table_A \* ARABIC </w:instrText>
      </w:r>
      <w:r>
        <w:fldChar w:fldCharType="separate"/>
      </w:r>
      <w:r w:rsidR="00E51A34">
        <w:rPr>
          <w:noProof/>
        </w:rPr>
        <w:t>21</w:t>
      </w:r>
      <w:r>
        <w:fldChar w:fldCharType="end"/>
      </w:r>
      <w:r w:rsidR="003F2CEF">
        <w:t xml:space="preserve"> Cape Cleveland, Burdekin Region – Concentrations in water (ng L</w:t>
      </w:r>
      <w:r w:rsidR="003F2CEF" w:rsidRPr="00886D52">
        <w:rPr>
          <w:vertAlign w:val="superscript"/>
        </w:rPr>
        <w:t>-1</w:t>
      </w:r>
      <w:r w:rsidR="003F2CEF">
        <w:t>)</w:t>
      </w:r>
      <w:bookmarkEnd w:id="747"/>
    </w:p>
    <w:p w14:paraId="1CB1FA68" w14:textId="77777777" w:rsidR="0059608E" w:rsidRPr="00742C15" w:rsidRDefault="00F04044" w:rsidP="006130D4">
      <w:pPr>
        <w:rPr>
          <w:lang w:val="en-AU" w:eastAsia="en-AU"/>
        </w:rPr>
      </w:pPr>
      <w:r w:rsidRPr="00F04044">
        <w:rPr>
          <w:noProof/>
          <w:lang w:val="en-AU" w:eastAsia="en-AU" w:bidi="ar-SA"/>
        </w:rPr>
        <w:drawing>
          <wp:inline distT="0" distB="0" distL="0" distR="0" wp14:anchorId="2759C2C6" wp14:editId="3991F5F4">
            <wp:extent cx="14207490" cy="4614044"/>
            <wp:effectExtent l="0" t="0" r="3810" b="0"/>
            <wp:docPr id="135" name="Picture 135" descr="Table A 21 Cape Cleveland, Burdekin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4207490" cy="4614044"/>
                    </a:xfrm>
                    <a:prstGeom prst="rect">
                      <a:avLst/>
                    </a:prstGeom>
                    <a:noFill/>
                    <a:ln>
                      <a:noFill/>
                    </a:ln>
                  </pic:spPr>
                </pic:pic>
              </a:graphicData>
            </a:graphic>
          </wp:inline>
        </w:drawing>
      </w:r>
    </w:p>
    <w:p w14:paraId="72E01629"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19BF0D72" w14:textId="77777777" w:rsidR="0059608E" w:rsidRDefault="0059608E" w:rsidP="006130D4">
      <w:pPr>
        <w:jc w:val="left"/>
        <w:rPr>
          <w:sz w:val="18"/>
          <w:szCs w:val="18"/>
          <w:lang w:val="en-AU" w:eastAsia="en-AU"/>
        </w:rPr>
      </w:pPr>
    </w:p>
    <w:p w14:paraId="51738D47" w14:textId="77777777" w:rsidR="0059608E" w:rsidRDefault="0059608E">
      <w:pPr>
        <w:ind w:firstLine="357"/>
        <w:jc w:val="left"/>
        <w:rPr>
          <w:sz w:val="18"/>
          <w:szCs w:val="18"/>
          <w:lang w:val="en-AU" w:eastAsia="en-AU"/>
        </w:rPr>
      </w:pPr>
      <w:r>
        <w:rPr>
          <w:sz w:val="18"/>
          <w:szCs w:val="18"/>
          <w:lang w:val="en-AU" w:eastAsia="en-AU"/>
        </w:rPr>
        <w:br w:type="page"/>
      </w:r>
    </w:p>
    <w:p w14:paraId="58FFC5D7" w14:textId="77777777" w:rsidR="003F2CEF" w:rsidRDefault="003F2CEF" w:rsidP="003F2CEF">
      <w:pPr>
        <w:pStyle w:val="Caption"/>
        <w:keepNext/>
        <w:jc w:val="both"/>
      </w:pPr>
      <w:bookmarkStart w:id="748" w:name="_Toc462652089"/>
      <w:r>
        <w:lastRenderedPageBreak/>
        <w:t xml:space="preserve">Table A </w:t>
      </w:r>
      <w:r>
        <w:fldChar w:fldCharType="begin"/>
      </w:r>
      <w:r>
        <w:instrText xml:space="preserve"> SEQ Table_A \* ARABIC </w:instrText>
      </w:r>
      <w:r>
        <w:fldChar w:fldCharType="separate"/>
      </w:r>
      <w:r w:rsidR="00E51A34">
        <w:rPr>
          <w:noProof/>
        </w:rPr>
        <w:t>22</w:t>
      </w:r>
      <w:r>
        <w:fldChar w:fldCharType="end"/>
      </w:r>
      <w:r>
        <w:t xml:space="preserve"> Barratta Creek, Burde</w:t>
      </w:r>
      <w:r w:rsidR="00C31EEA">
        <w:t>k</w:t>
      </w:r>
      <w:r>
        <w:t>in Region – Concentrations in water (ng L</w:t>
      </w:r>
      <w:r>
        <w:rPr>
          <w:vertAlign w:val="superscript"/>
        </w:rPr>
        <w:t>-1</w:t>
      </w:r>
      <w:r>
        <w:t>)</w:t>
      </w:r>
      <w:bookmarkEnd w:id="748"/>
    </w:p>
    <w:p w14:paraId="6755BC45" w14:textId="77777777" w:rsidR="00466E31" w:rsidRDefault="00A95A14" w:rsidP="006130D4">
      <w:pPr>
        <w:rPr>
          <w:noProof/>
          <w:lang w:val="en-AU" w:eastAsia="en-AU" w:bidi="ar-SA"/>
        </w:rPr>
      </w:pPr>
      <w:r w:rsidRPr="00A95A14">
        <w:rPr>
          <w:noProof/>
          <w:lang w:val="en-AU" w:eastAsia="en-AU" w:bidi="ar-SA"/>
        </w:rPr>
        <w:drawing>
          <wp:inline distT="0" distB="0" distL="0" distR="0" wp14:anchorId="2F956B2E" wp14:editId="123D9FE0">
            <wp:extent cx="14125575" cy="5049520"/>
            <wp:effectExtent l="0" t="0" r="9525" b="0"/>
            <wp:docPr id="134" name="Picture 134" descr="Table A 22 Barratta Creek, Burdekin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125575" cy="5049520"/>
                    </a:xfrm>
                    <a:prstGeom prst="rect">
                      <a:avLst/>
                    </a:prstGeom>
                    <a:noFill/>
                    <a:ln>
                      <a:noFill/>
                    </a:ln>
                  </pic:spPr>
                </pic:pic>
              </a:graphicData>
            </a:graphic>
          </wp:inline>
        </w:drawing>
      </w:r>
    </w:p>
    <w:p w14:paraId="5F2483DF" w14:textId="77777777" w:rsidR="0059608E" w:rsidRDefault="0059608E" w:rsidP="006130D4">
      <w:pPr>
        <w:rPr>
          <w:sz w:val="18"/>
          <w:szCs w:val="18"/>
          <w:lang w:val="en-AU" w:eastAsia="en-AU"/>
        </w:rPr>
      </w:pPr>
      <w:r w:rsidRPr="001559B4">
        <w:rPr>
          <w:sz w:val="18"/>
          <w:szCs w:val="18"/>
          <w:lang w:val="en-AU" w:eastAsia="en-AU"/>
        </w:rPr>
        <w:t xml:space="preserve"> </w:t>
      </w:r>
      <w:bookmarkStart w:id="749" w:name="OLE_LINK8"/>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bookmarkEnd w:id="749"/>
    </w:p>
    <w:p w14:paraId="16E3F5EE" w14:textId="77777777" w:rsidR="0059608E" w:rsidRDefault="0059608E">
      <w:pPr>
        <w:ind w:firstLine="357"/>
        <w:jc w:val="left"/>
        <w:rPr>
          <w:sz w:val="18"/>
          <w:szCs w:val="18"/>
          <w:lang w:val="en-AU" w:eastAsia="en-AU"/>
        </w:rPr>
      </w:pPr>
    </w:p>
    <w:p w14:paraId="425E5EDD" w14:textId="77777777" w:rsidR="003F2CEF" w:rsidRDefault="003F2CEF" w:rsidP="003F2CEF">
      <w:pPr>
        <w:pStyle w:val="Caption"/>
        <w:keepNext/>
      </w:pPr>
      <w:bookmarkStart w:id="750" w:name="_Toc462652090"/>
      <w:r>
        <w:lastRenderedPageBreak/>
        <w:t xml:space="preserve">Table A </w:t>
      </w:r>
      <w:r>
        <w:fldChar w:fldCharType="begin"/>
      </w:r>
      <w:r>
        <w:instrText xml:space="preserve"> SEQ Table_A \* ARABIC </w:instrText>
      </w:r>
      <w:r>
        <w:fldChar w:fldCharType="separate"/>
      </w:r>
      <w:r w:rsidR="00E51A34">
        <w:rPr>
          <w:noProof/>
        </w:rPr>
        <w:t>23</w:t>
      </w:r>
      <w:r>
        <w:fldChar w:fldCharType="end"/>
      </w:r>
      <w:r>
        <w:t xml:space="preserve"> Barratta Creek case study, Burdekin region – Water concentrations (ng L</w:t>
      </w:r>
      <w:r>
        <w:rPr>
          <w:vertAlign w:val="superscript"/>
        </w:rPr>
        <w:t>-1</w:t>
      </w:r>
      <w:r>
        <w:t>)</w:t>
      </w:r>
      <w:bookmarkEnd w:id="750"/>
    </w:p>
    <w:p w14:paraId="396A0EFD" w14:textId="77777777" w:rsidR="0059608E" w:rsidRDefault="00F04044" w:rsidP="00466E31">
      <w:pPr>
        <w:jc w:val="left"/>
        <w:rPr>
          <w:sz w:val="18"/>
          <w:szCs w:val="18"/>
          <w:lang w:val="en-AU" w:eastAsia="en-AU"/>
        </w:rPr>
      </w:pPr>
      <w:r w:rsidRPr="00F04044">
        <w:rPr>
          <w:noProof/>
          <w:lang w:val="en-AU" w:eastAsia="en-AU" w:bidi="ar-SA"/>
        </w:rPr>
        <w:drawing>
          <wp:inline distT="0" distB="0" distL="0" distR="0" wp14:anchorId="612B17E2" wp14:editId="4D402C31">
            <wp:extent cx="14207490" cy="4867503"/>
            <wp:effectExtent l="0" t="0" r="3810" b="9525"/>
            <wp:docPr id="136" name="Picture 136" descr="Table A 23 Barratta Creek case study, Burdekin region – Water concentrations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4207490" cy="4867503"/>
                    </a:xfrm>
                    <a:prstGeom prst="rect">
                      <a:avLst/>
                    </a:prstGeom>
                    <a:noFill/>
                    <a:ln>
                      <a:noFill/>
                    </a:ln>
                  </pic:spPr>
                </pic:pic>
              </a:graphicData>
            </a:graphic>
          </wp:inline>
        </w:drawing>
      </w:r>
    </w:p>
    <w:p w14:paraId="34CDDD6C" w14:textId="77777777" w:rsidR="0059608E" w:rsidRDefault="0059608E">
      <w:pPr>
        <w:ind w:firstLine="357"/>
        <w:jc w:val="left"/>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 xml:space="preserve">Shaded pesticides and herbicides indicate that no calibration data is available and the sampling rate of atrazine was assumed. </w:t>
      </w:r>
    </w:p>
    <w:p w14:paraId="58B44615" w14:textId="77777777" w:rsidR="0059608E" w:rsidRDefault="0059608E">
      <w:pPr>
        <w:ind w:firstLine="357"/>
        <w:jc w:val="left"/>
        <w:rPr>
          <w:sz w:val="18"/>
          <w:szCs w:val="18"/>
          <w:lang w:val="en-AU" w:eastAsia="en-AU"/>
        </w:rPr>
      </w:pPr>
      <w:r w:rsidRPr="0031241A">
        <w:rPr>
          <w:sz w:val="18"/>
          <w:szCs w:val="18"/>
          <w:lang w:val="en-AU" w:eastAsia="en-AU"/>
        </w:rPr>
        <w:t>Water estimations are approximate</w:t>
      </w:r>
      <w:r>
        <w:rPr>
          <w:sz w:val="18"/>
          <w:szCs w:val="18"/>
          <w:lang w:val="en-AU" w:eastAsia="en-AU"/>
        </w:rPr>
        <w:t>; Results are rounded to two significant figures; **Concentration is average of duplicate samplers</w:t>
      </w:r>
    </w:p>
    <w:p w14:paraId="16F18945" w14:textId="77777777" w:rsidR="0059608E" w:rsidRDefault="0059608E">
      <w:pPr>
        <w:ind w:firstLine="357"/>
        <w:jc w:val="left"/>
        <w:rPr>
          <w:sz w:val="18"/>
          <w:szCs w:val="18"/>
          <w:lang w:val="en-AU" w:eastAsia="en-AU"/>
        </w:rPr>
      </w:pPr>
    </w:p>
    <w:p w14:paraId="4B2BD649" w14:textId="77777777" w:rsidR="0059608E" w:rsidRDefault="0059608E">
      <w:pPr>
        <w:ind w:firstLine="357"/>
        <w:jc w:val="left"/>
        <w:rPr>
          <w:sz w:val="18"/>
          <w:szCs w:val="18"/>
          <w:lang w:val="en-AU" w:eastAsia="en-AU"/>
        </w:rPr>
      </w:pPr>
      <w:r>
        <w:rPr>
          <w:sz w:val="18"/>
          <w:szCs w:val="18"/>
          <w:lang w:val="en-AU" w:eastAsia="en-AU"/>
        </w:rPr>
        <w:br w:type="page"/>
      </w:r>
    </w:p>
    <w:p w14:paraId="6BC88D87" w14:textId="77777777" w:rsidR="008E1687" w:rsidRDefault="008E1687" w:rsidP="008E1687">
      <w:pPr>
        <w:pStyle w:val="Caption"/>
        <w:keepNext/>
        <w:jc w:val="both"/>
      </w:pPr>
      <w:bookmarkStart w:id="751" w:name="_Toc462652091"/>
      <w:r>
        <w:lastRenderedPageBreak/>
        <w:t xml:space="preserve">Table A </w:t>
      </w:r>
      <w:r>
        <w:fldChar w:fldCharType="begin"/>
      </w:r>
      <w:r>
        <w:instrText xml:space="preserve"> SEQ Table_A \* ARABIC </w:instrText>
      </w:r>
      <w:r>
        <w:fldChar w:fldCharType="separate"/>
      </w:r>
      <w:r w:rsidR="00E51A34">
        <w:rPr>
          <w:noProof/>
        </w:rPr>
        <w:t>24</w:t>
      </w:r>
      <w:r>
        <w:fldChar w:fldCharType="end"/>
      </w:r>
      <w:r>
        <w:t xml:space="preserve"> Outer Whitsunday, Mackay Whitsunday region – Concentrations in water (ng L</w:t>
      </w:r>
      <w:r w:rsidRPr="008024B1">
        <w:rPr>
          <w:vertAlign w:val="superscript"/>
        </w:rPr>
        <w:t>-1</w:t>
      </w:r>
      <w:r>
        <w:t>)</w:t>
      </w:r>
      <w:bookmarkEnd w:id="751"/>
    </w:p>
    <w:p w14:paraId="07EA5A2D" w14:textId="77777777" w:rsidR="0059608E" w:rsidRDefault="00F04044" w:rsidP="006130D4">
      <w:r w:rsidRPr="00F04044">
        <w:rPr>
          <w:noProof/>
          <w:lang w:val="en-AU" w:eastAsia="en-AU" w:bidi="ar-SA"/>
        </w:rPr>
        <w:drawing>
          <wp:inline distT="0" distB="0" distL="0" distR="0" wp14:anchorId="31EC2DA4" wp14:editId="4C9FBE40">
            <wp:extent cx="14221718" cy="3643953"/>
            <wp:effectExtent l="0" t="0" r="0" b="0"/>
            <wp:docPr id="137" name="Picture 137" descr="Table A 24 Outer Whitsunday, Mackay Whitsunda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4222465" cy="3644145"/>
                    </a:xfrm>
                    <a:prstGeom prst="rect">
                      <a:avLst/>
                    </a:prstGeom>
                    <a:noFill/>
                    <a:ln>
                      <a:noFill/>
                    </a:ln>
                  </pic:spPr>
                </pic:pic>
              </a:graphicData>
            </a:graphic>
          </wp:inline>
        </w:drawing>
      </w:r>
    </w:p>
    <w:p w14:paraId="449213A4" w14:textId="77777777" w:rsidR="0059608E" w:rsidRPr="008E1687" w:rsidRDefault="0059608E" w:rsidP="008E1687">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33084342" w14:textId="77777777" w:rsidR="008E1687" w:rsidRDefault="008E1687" w:rsidP="008E1687">
      <w:pPr>
        <w:pStyle w:val="Caption"/>
        <w:keepNext/>
      </w:pPr>
      <w:bookmarkStart w:id="752" w:name="_Toc462652092"/>
      <w:r>
        <w:t xml:space="preserve">Table A </w:t>
      </w:r>
      <w:r>
        <w:fldChar w:fldCharType="begin"/>
      </w:r>
      <w:r>
        <w:instrText xml:space="preserve"> SEQ Table_A \* ARABIC </w:instrText>
      </w:r>
      <w:r>
        <w:fldChar w:fldCharType="separate"/>
      </w:r>
      <w:r w:rsidR="00E51A34">
        <w:rPr>
          <w:noProof/>
        </w:rPr>
        <w:t>25</w:t>
      </w:r>
      <w:r>
        <w:fldChar w:fldCharType="end"/>
      </w:r>
      <w:r>
        <w:t xml:space="preserve"> Repulse Bay, Mackay Whitsunday region – Concentrations in water (ng L</w:t>
      </w:r>
      <w:r w:rsidRPr="008024B1">
        <w:rPr>
          <w:vertAlign w:val="superscript"/>
        </w:rPr>
        <w:t>-1</w:t>
      </w:r>
      <w:r>
        <w:t>)</w:t>
      </w:r>
      <w:bookmarkEnd w:id="752"/>
    </w:p>
    <w:p w14:paraId="5F091C28" w14:textId="77777777" w:rsidR="0059608E" w:rsidRDefault="00F04044" w:rsidP="006130D4">
      <w:pPr>
        <w:jc w:val="left"/>
        <w:rPr>
          <w:sz w:val="16"/>
          <w:szCs w:val="18"/>
          <w:vertAlign w:val="superscript"/>
          <w:lang w:val="en-AU" w:eastAsia="en-AU"/>
        </w:rPr>
      </w:pPr>
      <w:r w:rsidRPr="00F04044">
        <w:rPr>
          <w:noProof/>
          <w:lang w:val="en-AU" w:eastAsia="en-AU" w:bidi="ar-SA"/>
        </w:rPr>
        <w:drawing>
          <wp:inline distT="0" distB="0" distL="0" distR="0" wp14:anchorId="275276A4" wp14:editId="219E3FCE">
            <wp:extent cx="14138803" cy="5063320"/>
            <wp:effectExtent l="0" t="0" r="0" b="4445"/>
            <wp:docPr id="138" name="Picture 138" descr="Table A 25 Repulse Bay, Mackay Whitsunda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4138563" cy="5063234"/>
                    </a:xfrm>
                    <a:prstGeom prst="rect">
                      <a:avLst/>
                    </a:prstGeom>
                    <a:noFill/>
                    <a:ln>
                      <a:noFill/>
                    </a:ln>
                  </pic:spPr>
                </pic:pic>
              </a:graphicData>
            </a:graphic>
          </wp:inline>
        </w:drawing>
      </w:r>
    </w:p>
    <w:p w14:paraId="7B8A1AEC" w14:textId="77777777" w:rsidR="0059608E" w:rsidRDefault="0059608E" w:rsidP="006130D4">
      <w:pPr>
        <w:rPr>
          <w:sz w:val="18"/>
          <w:szCs w:val="18"/>
          <w:lang w:val="en-AU" w:eastAsia="en-AU"/>
        </w:rPr>
      </w:pPr>
      <w:r w:rsidRPr="00443B5A">
        <w:rPr>
          <w:sz w:val="18"/>
          <w:szCs w:val="18"/>
          <w:lang w:val="en-AU" w:eastAsia="en-AU"/>
        </w:rPr>
        <w:lastRenderedPageBreak/>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7C37BB41" w14:textId="77777777" w:rsidR="008E1687" w:rsidRDefault="008E1687" w:rsidP="008E1687">
      <w:pPr>
        <w:pStyle w:val="Caption"/>
        <w:keepNext/>
        <w:jc w:val="both"/>
      </w:pPr>
      <w:bookmarkStart w:id="753" w:name="_Toc462652093"/>
      <w:r>
        <w:t xml:space="preserve">Table A </w:t>
      </w:r>
      <w:r>
        <w:fldChar w:fldCharType="begin"/>
      </w:r>
      <w:r>
        <w:instrText xml:space="preserve"> SEQ Table_A \* ARABIC </w:instrText>
      </w:r>
      <w:r>
        <w:fldChar w:fldCharType="separate"/>
      </w:r>
      <w:r w:rsidR="00E51A34">
        <w:rPr>
          <w:noProof/>
        </w:rPr>
        <w:t>26</w:t>
      </w:r>
      <w:r>
        <w:fldChar w:fldCharType="end"/>
      </w:r>
      <w:r>
        <w:t xml:space="preserve"> Round/ Flat Top, Mackay Whitsunday region – Concentrations in water (ng L</w:t>
      </w:r>
      <w:r w:rsidRPr="008024B1">
        <w:rPr>
          <w:vertAlign w:val="superscript"/>
        </w:rPr>
        <w:t>-1</w:t>
      </w:r>
      <w:r>
        <w:t>)</w:t>
      </w:r>
      <w:bookmarkEnd w:id="753"/>
    </w:p>
    <w:p w14:paraId="01179FA2" w14:textId="77777777" w:rsidR="0059608E" w:rsidRDefault="00251429" w:rsidP="006130D4">
      <w:pPr>
        <w:rPr>
          <w:sz w:val="18"/>
          <w:szCs w:val="18"/>
          <w:lang w:val="en-AU" w:eastAsia="en-AU"/>
        </w:rPr>
      </w:pPr>
      <w:r w:rsidRPr="00251429">
        <w:rPr>
          <w:noProof/>
          <w:lang w:val="en-AU" w:eastAsia="en-AU" w:bidi="ar-SA"/>
        </w:rPr>
        <w:drawing>
          <wp:inline distT="0" distB="0" distL="0" distR="0" wp14:anchorId="4F028D96" wp14:editId="2FFEA5D6">
            <wp:extent cx="14056995" cy="4967605"/>
            <wp:effectExtent l="0" t="0" r="1905" b="4445"/>
            <wp:docPr id="139" name="Picture 139" descr="Table A 26 Round/ Flat Top, Mackay Whitsunda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4056995" cy="4967605"/>
                    </a:xfrm>
                    <a:prstGeom prst="rect">
                      <a:avLst/>
                    </a:prstGeom>
                    <a:noFill/>
                    <a:ln>
                      <a:noFill/>
                    </a:ln>
                  </pic:spPr>
                </pic:pic>
              </a:graphicData>
            </a:graphic>
          </wp:inline>
        </w:drawing>
      </w:r>
    </w:p>
    <w:p w14:paraId="0253B670"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w:t>
      </w:r>
      <w:r w:rsidR="00750276">
        <w:rPr>
          <w:sz w:val="18"/>
          <w:szCs w:val="18"/>
          <w:lang w:val="en-AU" w:eastAsia="en-AU"/>
        </w:rPr>
        <w:t>zine was assumed. Water estima</w:t>
      </w:r>
      <w:r w:rsidRPr="0031241A">
        <w:rPr>
          <w:sz w:val="18"/>
          <w:szCs w:val="18"/>
          <w:lang w:val="en-AU" w:eastAsia="en-AU"/>
        </w:rPr>
        <w:t>tions are approximate</w:t>
      </w:r>
      <w:r>
        <w:rPr>
          <w:sz w:val="18"/>
          <w:szCs w:val="18"/>
          <w:lang w:val="en-AU" w:eastAsia="en-AU"/>
        </w:rPr>
        <w:t>; Results are rounded to two significant figures; **Concentration is average of duplicate samplers</w:t>
      </w:r>
    </w:p>
    <w:p w14:paraId="608A9D16" w14:textId="77777777" w:rsidR="0059608E" w:rsidRPr="00B67279" w:rsidRDefault="0059608E" w:rsidP="006130D4">
      <w:pPr>
        <w:jc w:val="left"/>
        <w:rPr>
          <w:sz w:val="16"/>
          <w:szCs w:val="18"/>
          <w:lang w:val="en-AU" w:eastAsia="en-AU"/>
        </w:rPr>
      </w:pPr>
    </w:p>
    <w:p w14:paraId="40B93563" w14:textId="77777777" w:rsidR="00750276" w:rsidRDefault="00750276" w:rsidP="00750276">
      <w:pPr>
        <w:pStyle w:val="Caption"/>
        <w:keepNext/>
        <w:jc w:val="both"/>
      </w:pPr>
      <w:bookmarkStart w:id="754" w:name="_Toc462652094"/>
      <w:r>
        <w:lastRenderedPageBreak/>
        <w:t xml:space="preserve">Table A </w:t>
      </w:r>
      <w:r>
        <w:fldChar w:fldCharType="begin"/>
      </w:r>
      <w:r>
        <w:instrText xml:space="preserve"> SEQ Table_A \* ARABIC </w:instrText>
      </w:r>
      <w:r>
        <w:fldChar w:fldCharType="separate"/>
      </w:r>
      <w:r w:rsidR="00E51A34">
        <w:rPr>
          <w:noProof/>
        </w:rPr>
        <w:t>27</w:t>
      </w:r>
      <w:r>
        <w:fldChar w:fldCharType="end"/>
      </w:r>
      <w:r>
        <w:t xml:space="preserve"> Sarina Inlet, Mackay Whitsunday region – Concentrations in water (ng L</w:t>
      </w:r>
      <w:r w:rsidRPr="003E4FD4">
        <w:rPr>
          <w:vertAlign w:val="superscript"/>
        </w:rPr>
        <w:t>-1</w:t>
      </w:r>
      <w:r>
        <w:t>)</w:t>
      </w:r>
      <w:bookmarkEnd w:id="754"/>
    </w:p>
    <w:p w14:paraId="1C41E0C6" w14:textId="77777777" w:rsidR="0059608E" w:rsidRPr="003E4FD4" w:rsidRDefault="00251429" w:rsidP="006130D4">
      <w:r w:rsidRPr="00251429">
        <w:rPr>
          <w:noProof/>
          <w:lang w:val="en-AU" w:eastAsia="en-AU" w:bidi="ar-SA"/>
        </w:rPr>
        <w:drawing>
          <wp:inline distT="0" distB="0" distL="0" distR="0" wp14:anchorId="572CBD43" wp14:editId="6A6587DB">
            <wp:extent cx="14125575" cy="3807460"/>
            <wp:effectExtent l="0" t="0" r="9525" b="2540"/>
            <wp:docPr id="140" name="Picture 140" descr="Table A 27 Sarina Inlet, Mackay Whitsunda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4125575" cy="3807460"/>
                    </a:xfrm>
                    <a:prstGeom prst="rect">
                      <a:avLst/>
                    </a:prstGeom>
                    <a:noFill/>
                    <a:ln>
                      <a:noFill/>
                    </a:ln>
                  </pic:spPr>
                </pic:pic>
              </a:graphicData>
            </a:graphic>
          </wp:inline>
        </w:drawing>
      </w:r>
    </w:p>
    <w:p w14:paraId="2658BC2F"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35383004" w14:textId="77777777" w:rsidR="00750276" w:rsidRDefault="00750276" w:rsidP="00750276">
      <w:pPr>
        <w:pStyle w:val="Caption"/>
        <w:keepNext/>
        <w:jc w:val="both"/>
      </w:pPr>
      <w:bookmarkStart w:id="755" w:name="_Toc462652095"/>
      <w:r>
        <w:lastRenderedPageBreak/>
        <w:t xml:space="preserve">Table A </w:t>
      </w:r>
      <w:r>
        <w:fldChar w:fldCharType="begin"/>
      </w:r>
      <w:r>
        <w:instrText xml:space="preserve"> SEQ Table_A \* ARABIC </w:instrText>
      </w:r>
      <w:r>
        <w:fldChar w:fldCharType="separate"/>
      </w:r>
      <w:r w:rsidR="00E51A34">
        <w:rPr>
          <w:noProof/>
        </w:rPr>
        <w:t>28</w:t>
      </w:r>
      <w:r>
        <w:fldChar w:fldCharType="end"/>
      </w:r>
      <w:r>
        <w:t xml:space="preserve"> Sandy Creek, Mackay Whitsunday region – Concentrations in water (ng L</w:t>
      </w:r>
      <w:r w:rsidRPr="003E4FD4">
        <w:rPr>
          <w:vertAlign w:val="superscript"/>
        </w:rPr>
        <w:t>-1</w:t>
      </w:r>
      <w:r>
        <w:t>)</w:t>
      </w:r>
      <w:bookmarkEnd w:id="755"/>
    </w:p>
    <w:p w14:paraId="4796D43B" w14:textId="77777777" w:rsidR="0059608E" w:rsidRDefault="00251429" w:rsidP="006130D4">
      <w:pPr>
        <w:rPr>
          <w:sz w:val="16"/>
          <w:szCs w:val="18"/>
          <w:vertAlign w:val="superscript"/>
          <w:lang w:val="en-AU" w:eastAsia="en-AU"/>
        </w:rPr>
      </w:pPr>
      <w:r w:rsidRPr="00251429">
        <w:rPr>
          <w:noProof/>
          <w:lang w:val="en-AU" w:eastAsia="en-AU" w:bidi="ar-SA"/>
        </w:rPr>
        <w:drawing>
          <wp:inline distT="0" distB="0" distL="0" distR="0" wp14:anchorId="5419D890" wp14:editId="7E95FDC0">
            <wp:extent cx="13975080" cy="5418455"/>
            <wp:effectExtent l="0" t="0" r="7620" b="0"/>
            <wp:docPr id="141" name="Picture 141" descr="Table A 28 Sandy Creek, Mackay Whitsunda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3975080" cy="5418455"/>
                    </a:xfrm>
                    <a:prstGeom prst="rect">
                      <a:avLst/>
                    </a:prstGeom>
                    <a:noFill/>
                    <a:ln>
                      <a:noFill/>
                    </a:ln>
                  </pic:spPr>
                </pic:pic>
              </a:graphicData>
            </a:graphic>
          </wp:inline>
        </w:drawing>
      </w:r>
    </w:p>
    <w:p w14:paraId="0058BFEB"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r>
        <w:rPr>
          <w:sz w:val="16"/>
          <w:szCs w:val="18"/>
          <w:lang w:val="en-AU" w:eastAsia="en-AU"/>
        </w:rPr>
        <w:br w:type="page"/>
      </w:r>
    </w:p>
    <w:p w14:paraId="67C73DBC" w14:textId="77777777" w:rsidR="00750276" w:rsidRDefault="00750276" w:rsidP="00750276">
      <w:pPr>
        <w:pStyle w:val="Caption"/>
        <w:keepNext/>
        <w:jc w:val="both"/>
      </w:pPr>
      <w:bookmarkStart w:id="756" w:name="_Toc462652096"/>
      <w:r>
        <w:lastRenderedPageBreak/>
        <w:t xml:space="preserve">Table A </w:t>
      </w:r>
      <w:r>
        <w:fldChar w:fldCharType="begin"/>
      </w:r>
      <w:r>
        <w:instrText xml:space="preserve"> SEQ Table_A \* ARABIC </w:instrText>
      </w:r>
      <w:r>
        <w:fldChar w:fldCharType="separate"/>
      </w:r>
      <w:r w:rsidR="00E51A34">
        <w:rPr>
          <w:noProof/>
        </w:rPr>
        <w:t>29</w:t>
      </w:r>
      <w:r>
        <w:fldChar w:fldCharType="end"/>
      </w:r>
      <w:r>
        <w:t xml:space="preserve"> North Keppel Island, Fitzroy Region – Concentrations in water (ng L</w:t>
      </w:r>
      <w:r w:rsidRPr="001E6603">
        <w:rPr>
          <w:vertAlign w:val="superscript"/>
        </w:rPr>
        <w:t>-1</w:t>
      </w:r>
      <w:r>
        <w:t>)</w:t>
      </w:r>
      <w:bookmarkEnd w:id="756"/>
    </w:p>
    <w:p w14:paraId="61984B4F" w14:textId="77777777" w:rsidR="0059608E" w:rsidRDefault="00251429" w:rsidP="006130D4">
      <w:r w:rsidRPr="00251429">
        <w:rPr>
          <w:noProof/>
          <w:lang w:val="en-AU" w:eastAsia="en-AU" w:bidi="ar-SA"/>
        </w:rPr>
        <w:drawing>
          <wp:inline distT="0" distB="0" distL="0" distR="0" wp14:anchorId="5B34AF1A" wp14:editId="0F2E5822">
            <wp:extent cx="14107472" cy="5049672"/>
            <wp:effectExtent l="0" t="0" r="8890" b="0"/>
            <wp:docPr id="142" name="Picture 142" descr="Table A 29 North Keppel Island, Fitzroy Region – Concentrations in water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4108390" cy="5050001"/>
                    </a:xfrm>
                    <a:prstGeom prst="rect">
                      <a:avLst/>
                    </a:prstGeom>
                    <a:noFill/>
                    <a:ln>
                      <a:noFill/>
                    </a:ln>
                  </pic:spPr>
                </pic:pic>
              </a:graphicData>
            </a:graphic>
          </wp:inline>
        </w:drawing>
      </w:r>
    </w:p>
    <w:p w14:paraId="2A8E0126" w14:textId="77777777" w:rsidR="0059608E" w:rsidRDefault="0059608E" w:rsidP="006130D4">
      <w:pPr>
        <w:jc w:val="left"/>
        <w:rPr>
          <w:rFonts w:eastAsiaTheme="majorEastAsia" w:cstheme="majorBidi"/>
          <w:b/>
          <w:bCs/>
          <w:caps/>
          <w:sz w:val="32"/>
          <w:szCs w:val="32"/>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w:t>
      </w:r>
      <w:r w:rsidR="002C0F70">
        <w:rPr>
          <w:sz w:val="18"/>
          <w:szCs w:val="18"/>
          <w:lang w:val="en-AU" w:eastAsia="en-AU"/>
        </w:rPr>
        <w:t>zine was assumed. Water estima</w:t>
      </w:r>
      <w:r w:rsidRPr="0031241A">
        <w:rPr>
          <w:sz w:val="18"/>
          <w:szCs w:val="18"/>
          <w:lang w:val="en-AU" w:eastAsia="en-AU"/>
        </w:rPr>
        <w:t>tions are approximate</w:t>
      </w:r>
      <w:r>
        <w:rPr>
          <w:sz w:val="18"/>
          <w:szCs w:val="18"/>
          <w:lang w:val="en-AU" w:eastAsia="en-AU"/>
        </w:rPr>
        <w:t>; Results are rounded to two significant figures; **Concentration is average of duplicate samplers</w:t>
      </w:r>
      <w:bookmarkStart w:id="757" w:name="_Toc335638643"/>
      <w:bookmarkStart w:id="758" w:name="_Toc335641253"/>
      <w:bookmarkStart w:id="759" w:name="_Toc335638644"/>
      <w:bookmarkStart w:id="760" w:name="_Toc335641254"/>
      <w:bookmarkStart w:id="761" w:name="_Toc335638645"/>
      <w:bookmarkStart w:id="762" w:name="_Toc335641255"/>
      <w:bookmarkStart w:id="763" w:name="_Toc335638646"/>
      <w:bookmarkStart w:id="764" w:name="_Toc335641256"/>
      <w:bookmarkStart w:id="765" w:name="_Toc335638647"/>
      <w:bookmarkStart w:id="766" w:name="_Toc335641257"/>
      <w:bookmarkStart w:id="767" w:name="_Toc335638648"/>
      <w:bookmarkStart w:id="768" w:name="_Toc335641258"/>
      <w:bookmarkStart w:id="769" w:name="_Toc335638649"/>
      <w:bookmarkStart w:id="770" w:name="_Toc335641259"/>
      <w:bookmarkStart w:id="771" w:name="_Toc335638650"/>
      <w:bookmarkStart w:id="772" w:name="_Toc335641260"/>
      <w:bookmarkStart w:id="773" w:name="_Toc335638651"/>
      <w:bookmarkStart w:id="774" w:name="_Toc335641261"/>
      <w:bookmarkStart w:id="775" w:name="_Toc335638652"/>
      <w:bookmarkStart w:id="776" w:name="_Toc335641262"/>
      <w:bookmarkStart w:id="777" w:name="_Toc335638653"/>
      <w:bookmarkStart w:id="778" w:name="_Toc335641263"/>
      <w:bookmarkStart w:id="779" w:name="_Toc335638654"/>
      <w:bookmarkStart w:id="780" w:name="_Toc335641264"/>
      <w:bookmarkStart w:id="781" w:name="_Toc335638655"/>
      <w:bookmarkStart w:id="782" w:name="_Toc335641265"/>
      <w:bookmarkStart w:id="783" w:name="_Toc335638656"/>
      <w:bookmarkStart w:id="784" w:name="_Toc335641266"/>
      <w:bookmarkStart w:id="785" w:name="_Toc335638657"/>
      <w:bookmarkStart w:id="786" w:name="_Toc335641267"/>
      <w:bookmarkStart w:id="787" w:name="_Toc335638658"/>
      <w:bookmarkStart w:id="788" w:name="_Toc335641268"/>
      <w:bookmarkStart w:id="789" w:name="_Toc335638659"/>
      <w:bookmarkStart w:id="790" w:name="_Toc335641269"/>
      <w:bookmarkStart w:id="791" w:name="_Toc335638660"/>
      <w:bookmarkStart w:id="792" w:name="_Toc335641270"/>
      <w:bookmarkStart w:id="793" w:name="_Toc335638661"/>
      <w:bookmarkStart w:id="794" w:name="_Toc335641271"/>
      <w:bookmarkStart w:id="795" w:name="_Toc335638662"/>
      <w:bookmarkStart w:id="796" w:name="_Toc335641272"/>
      <w:bookmarkStart w:id="797" w:name="_Toc335638663"/>
      <w:bookmarkStart w:id="798" w:name="_Toc335641273"/>
      <w:bookmarkStart w:id="799" w:name="_Toc335638664"/>
      <w:bookmarkStart w:id="800" w:name="_Toc335641274"/>
      <w:bookmarkStart w:id="801" w:name="_Toc335638665"/>
      <w:bookmarkStart w:id="802" w:name="_Toc335641275"/>
      <w:bookmarkStart w:id="803" w:name="_Toc335638666"/>
      <w:bookmarkStart w:id="804" w:name="_Toc335641276"/>
      <w:bookmarkStart w:id="805" w:name="_Toc335638667"/>
      <w:bookmarkStart w:id="806" w:name="_Toc335641277"/>
      <w:bookmarkStart w:id="807" w:name="_Toc335638668"/>
      <w:bookmarkStart w:id="808" w:name="_Toc335641278"/>
      <w:bookmarkStart w:id="809" w:name="_Toc335638669"/>
      <w:bookmarkStart w:id="810" w:name="_Toc335641279"/>
      <w:bookmarkStart w:id="811" w:name="_Toc335638670"/>
      <w:bookmarkStart w:id="812" w:name="_Toc335641280"/>
      <w:bookmarkStart w:id="813" w:name="_Toc335638671"/>
      <w:bookmarkStart w:id="814" w:name="_Toc335641281"/>
      <w:bookmarkStart w:id="815" w:name="_Toc335638672"/>
      <w:bookmarkStart w:id="816" w:name="_Toc335641282"/>
      <w:bookmarkStart w:id="817" w:name="_Toc335638673"/>
      <w:bookmarkStart w:id="818" w:name="_Toc335641283"/>
      <w:bookmarkStart w:id="819" w:name="_Toc335638674"/>
      <w:bookmarkStart w:id="820" w:name="_Toc335641284"/>
      <w:bookmarkStart w:id="821" w:name="_Toc335638033"/>
      <w:bookmarkStart w:id="822" w:name="_Toc335638128"/>
      <w:bookmarkStart w:id="823" w:name="_Toc335638675"/>
      <w:bookmarkStart w:id="824" w:name="_Toc335641285"/>
      <w:bookmarkStart w:id="825" w:name="_Toc335638716"/>
      <w:bookmarkStart w:id="826" w:name="_Toc335641326"/>
      <w:bookmarkStart w:id="827" w:name="_Toc335638736"/>
      <w:bookmarkStart w:id="828" w:name="_Toc335641346"/>
      <w:bookmarkStart w:id="829" w:name="_Toc335638756"/>
      <w:bookmarkStart w:id="830" w:name="_Toc335641366"/>
      <w:bookmarkStart w:id="831" w:name="_Toc335638776"/>
      <w:bookmarkStart w:id="832" w:name="_Toc335641386"/>
      <w:bookmarkStart w:id="833" w:name="_Toc335638796"/>
      <w:bookmarkStart w:id="834" w:name="_Toc335641406"/>
      <w:bookmarkStart w:id="835" w:name="_Toc335638816"/>
      <w:bookmarkStart w:id="836" w:name="_Toc335641426"/>
      <w:bookmarkStart w:id="837" w:name="_Toc335638836"/>
      <w:bookmarkStart w:id="838" w:name="_Toc335641446"/>
      <w:bookmarkStart w:id="839" w:name="_Toc335638856"/>
      <w:bookmarkStart w:id="840" w:name="_Toc335641466"/>
      <w:bookmarkStart w:id="841" w:name="_Toc335638876"/>
      <w:bookmarkStart w:id="842" w:name="_Toc335641486"/>
      <w:bookmarkStart w:id="843" w:name="_Toc335638896"/>
      <w:bookmarkStart w:id="844" w:name="_Toc335641506"/>
      <w:bookmarkStart w:id="845" w:name="_Toc335638916"/>
      <w:bookmarkStart w:id="846" w:name="_Toc335641526"/>
      <w:bookmarkStart w:id="847" w:name="_Toc335638936"/>
      <w:bookmarkStart w:id="848" w:name="_Toc335641546"/>
      <w:bookmarkStart w:id="849" w:name="_Toc335638956"/>
      <w:bookmarkStart w:id="850" w:name="_Toc335641566"/>
      <w:bookmarkStart w:id="851" w:name="_Toc335638976"/>
      <w:bookmarkStart w:id="852" w:name="_Toc335641586"/>
      <w:bookmarkStart w:id="853" w:name="_Toc335638996"/>
      <w:bookmarkStart w:id="854" w:name="_Toc335641606"/>
      <w:bookmarkStart w:id="855" w:name="_Toc335639016"/>
      <w:bookmarkStart w:id="856" w:name="_Toc335641626"/>
      <w:bookmarkStart w:id="857" w:name="_Toc335639036"/>
      <w:bookmarkStart w:id="858" w:name="_Toc335641646"/>
      <w:bookmarkStart w:id="859" w:name="_Toc335639056"/>
      <w:bookmarkStart w:id="860" w:name="_Toc335641666"/>
      <w:bookmarkStart w:id="861" w:name="_Toc335639076"/>
      <w:bookmarkStart w:id="862" w:name="_Toc335641686"/>
      <w:bookmarkStart w:id="863" w:name="_Toc335639096"/>
      <w:bookmarkStart w:id="864" w:name="_Toc335641706"/>
      <w:bookmarkStart w:id="865" w:name="_Toc335639116"/>
      <w:bookmarkStart w:id="866" w:name="_Toc335641726"/>
      <w:bookmarkStart w:id="867" w:name="_Toc335639136"/>
      <w:bookmarkStart w:id="868" w:name="_Toc335641746"/>
      <w:bookmarkStart w:id="869" w:name="_Toc335639236"/>
      <w:bookmarkStart w:id="870" w:name="_Toc335641846"/>
      <w:bookmarkStart w:id="871" w:name="_Toc335639238"/>
      <w:bookmarkStart w:id="872" w:name="_Toc335641848"/>
      <w:bookmarkStart w:id="873" w:name="_Toc335639277"/>
      <w:bookmarkStart w:id="874" w:name="_Toc335641887"/>
      <w:bookmarkStart w:id="875" w:name="_Toc335639296"/>
      <w:bookmarkStart w:id="876" w:name="_Toc335641906"/>
      <w:bookmarkStart w:id="877" w:name="_Toc335639315"/>
      <w:bookmarkStart w:id="878" w:name="_Toc335641925"/>
      <w:bookmarkStart w:id="879" w:name="_Toc335639334"/>
      <w:bookmarkStart w:id="880" w:name="_Toc335641944"/>
      <w:bookmarkStart w:id="881" w:name="_Toc335639353"/>
      <w:bookmarkStart w:id="882" w:name="_Toc335641963"/>
      <w:bookmarkStart w:id="883" w:name="_Toc335639372"/>
      <w:bookmarkStart w:id="884" w:name="_Toc335641982"/>
      <w:bookmarkStart w:id="885" w:name="_Toc335639391"/>
      <w:bookmarkStart w:id="886" w:name="_Toc335642001"/>
      <w:bookmarkStart w:id="887" w:name="_Toc335639410"/>
      <w:bookmarkStart w:id="888" w:name="_Toc335642020"/>
      <w:bookmarkStart w:id="889" w:name="_Toc335639429"/>
      <w:bookmarkStart w:id="890" w:name="_Toc335642039"/>
      <w:bookmarkStart w:id="891" w:name="_Toc335639448"/>
      <w:bookmarkStart w:id="892" w:name="_Toc335642058"/>
      <w:bookmarkStart w:id="893" w:name="_Toc335639467"/>
      <w:bookmarkStart w:id="894" w:name="_Toc335642077"/>
      <w:bookmarkStart w:id="895" w:name="_Toc335639486"/>
      <w:bookmarkStart w:id="896" w:name="_Toc335642096"/>
      <w:bookmarkStart w:id="897" w:name="_Toc335639505"/>
      <w:bookmarkStart w:id="898" w:name="_Toc335642115"/>
      <w:bookmarkStart w:id="899" w:name="_Toc335639524"/>
      <w:bookmarkStart w:id="900" w:name="_Toc335642134"/>
      <w:bookmarkStart w:id="901" w:name="_Toc335639543"/>
      <w:bookmarkStart w:id="902" w:name="_Toc335642153"/>
      <w:bookmarkStart w:id="903" w:name="_Toc335639562"/>
      <w:bookmarkStart w:id="904" w:name="_Toc335642172"/>
      <w:bookmarkStart w:id="905" w:name="_Toc335639581"/>
      <w:bookmarkStart w:id="906" w:name="_Toc335642191"/>
      <w:bookmarkStart w:id="907" w:name="_Toc335639600"/>
      <w:bookmarkStart w:id="908" w:name="_Toc335642210"/>
      <w:bookmarkStart w:id="909" w:name="_Toc335639619"/>
      <w:bookmarkStart w:id="910" w:name="_Toc335642229"/>
      <w:bookmarkStart w:id="911" w:name="_Toc335639734"/>
      <w:bookmarkStart w:id="912" w:name="_Toc335642344"/>
      <w:bookmarkStart w:id="913" w:name="_Toc335639735"/>
      <w:bookmarkStart w:id="914" w:name="_Toc335642345"/>
      <w:bookmarkStart w:id="915" w:name="_Toc335639736"/>
      <w:bookmarkStart w:id="916" w:name="_Toc335642346"/>
      <w:bookmarkStart w:id="917" w:name="_Toc335639775"/>
      <w:bookmarkStart w:id="918" w:name="_Toc335642385"/>
      <w:bookmarkStart w:id="919" w:name="_Toc335639794"/>
      <w:bookmarkStart w:id="920" w:name="_Toc335642404"/>
      <w:bookmarkStart w:id="921" w:name="_Toc335639813"/>
      <w:bookmarkStart w:id="922" w:name="_Toc335642423"/>
      <w:bookmarkStart w:id="923" w:name="_Toc335639832"/>
      <w:bookmarkStart w:id="924" w:name="_Toc335642442"/>
      <w:bookmarkStart w:id="925" w:name="_Toc335639851"/>
      <w:bookmarkStart w:id="926" w:name="_Toc335642461"/>
      <w:bookmarkStart w:id="927" w:name="_Toc335639870"/>
      <w:bookmarkStart w:id="928" w:name="_Toc335642480"/>
      <w:bookmarkStart w:id="929" w:name="_Toc335639889"/>
      <w:bookmarkStart w:id="930" w:name="_Toc335642499"/>
      <w:bookmarkStart w:id="931" w:name="_Toc335639908"/>
      <w:bookmarkStart w:id="932" w:name="_Toc335642518"/>
      <w:bookmarkStart w:id="933" w:name="_Toc335639927"/>
      <w:bookmarkStart w:id="934" w:name="_Toc335642537"/>
      <w:bookmarkStart w:id="935" w:name="_Toc335639946"/>
      <w:bookmarkStart w:id="936" w:name="_Toc335642556"/>
      <w:bookmarkStart w:id="937" w:name="_Toc335639965"/>
      <w:bookmarkStart w:id="938" w:name="_Toc335642575"/>
      <w:bookmarkStart w:id="939" w:name="_Toc335639984"/>
      <w:bookmarkStart w:id="940" w:name="_Toc335642594"/>
      <w:bookmarkStart w:id="941" w:name="_Toc335640003"/>
      <w:bookmarkStart w:id="942" w:name="_Toc335642613"/>
      <w:bookmarkStart w:id="943" w:name="_Toc335640022"/>
      <w:bookmarkStart w:id="944" w:name="_Toc335642632"/>
      <w:bookmarkStart w:id="945" w:name="_Toc335640041"/>
      <w:bookmarkStart w:id="946" w:name="_Toc335642651"/>
      <w:bookmarkStart w:id="947" w:name="_Toc335640060"/>
      <w:bookmarkStart w:id="948" w:name="_Toc335642670"/>
      <w:bookmarkStart w:id="949" w:name="_Toc335640079"/>
      <w:bookmarkStart w:id="950" w:name="_Toc335642689"/>
      <w:bookmarkStart w:id="951" w:name="_Toc335640098"/>
      <w:bookmarkStart w:id="952" w:name="_Toc335642708"/>
      <w:bookmarkStart w:id="953" w:name="_Toc335640117"/>
      <w:bookmarkStart w:id="954" w:name="_Toc335642727"/>
      <w:bookmarkStart w:id="955" w:name="_Toc335640232"/>
      <w:bookmarkStart w:id="956" w:name="_Toc335642842"/>
      <w:bookmarkStart w:id="957" w:name="_Toc335640234"/>
      <w:bookmarkStart w:id="958" w:name="_Toc335642844"/>
      <w:bookmarkStart w:id="959" w:name="_Toc335640273"/>
      <w:bookmarkStart w:id="960" w:name="_Toc335642883"/>
      <w:bookmarkStart w:id="961" w:name="_Toc335640292"/>
      <w:bookmarkStart w:id="962" w:name="_Toc335642902"/>
      <w:bookmarkStart w:id="963" w:name="_Toc335640311"/>
      <w:bookmarkStart w:id="964" w:name="_Toc335642921"/>
      <w:bookmarkStart w:id="965" w:name="_Toc335640330"/>
      <w:bookmarkStart w:id="966" w:name="_Toc335642940"/>
      <w:bookmarkStart w:id="967" w:name="_Toc335640349"/>
      <w:bookmarkStart w:id="968" w:name="_Toc335642959"/>
      <w:bookmarkStart w:id="969" w:name="_Toc335640368"/>
      <w:bookmarkStart w:id="970" w:name="_Toc335642978"/>
      <w:bookmarkStart w:id="971" w:name="_Toc335640387"/>
      <w:bookmarkStart w:id="972" w:name="_Toc335642997"/>
      <w:bookmarkStart w:id="973" w:name="_Toc335640406"/>
      <w:bookmarkStart w:id="974" w:name="_Toc335643016"/>
      <w:bookmarkStart w:id="975" w:name="_Toc335640425"/>
      <w:bookmarkStart w:id="976" w:name="_Toc335643035"/>
      <w:bookmarkStart w:id="977" w:name="_Toc335640444"/>
      <w:bookmarkStart w:id="978" w:name="_Toc335643054"/>
      <w:bookmarkStart w:id="979" w:name="_Toc335640463"/>
      <w:bookmarkStart w:id="980" w:name="_Toc335643073"/>
      <w:bookmarkStart w:id="981" w:name="_Toc335640482"/>
      <w:bookmarkStart w:id="982" w:name="_Toc335643092"/>
      <w:bookmarkStart w:id="983" w:name="_Toc335640501"/>
      <w:bookmarkStart w:id="984" w:name="_Toc335643111"/>
      <w:bookmarkStart w:id="985" w:name="_Toc335640520"/>
      <w:bookmarkStart w:id="986" w:name="_Toc335643130"/>
      <w:bookmarkStart w:id="987" w:name="_Toc335640539"/>
      <w:bookmarkStart w:id="988" w:name="_Toc335643149"/>
      <w:bookmarkStart w:id="989" w:name="_Toc335640558"/>
      <w:bookmarkStart w:id="990" w:name="_Toc335643168"/>
      <w:bookmarkStart w:id="991" w:name="_Toc335640577"/>
      <w:bookmarkStart w:id="992" w:name="_Toc335643187"/>
      <w:bookmarkStart w:id="993" w:name="_Toc335640596"/>
      <w:bookmarkStart w:id="994" w:name="_Toc335643206"/>
      <w:bookmarkStart w:id="995" w:name="_Toc335640615"/>
      <w:bookmarkStart w:id="996" w:name="_Toc335643225"/>
      <w:bookmarkStart w:id="997" w:name="_Toc335640730"/>
      <w:bookmarkStart w:id="998" w:name="_Toc335643340"/>
      <w:bookmarkStart w:id="999" w:name="_Toc335640731"/>
      <w:bookmarkStart w:id="1000" w:name="_Toc335643341"/>
      <w:bookmarkStart w:id="1001" w:name="_Toc335640732"/>
      <w:bookmarkStart w:id="1002" w:name="_Toc335643342"/>
      <w:bookmarkStart w:id="1003" w:name="_Toc335640733"/>
      <w:bookmarkStart w:id="1004" w:name="_Toc335643343"/>
      <w:bookmarkStart w:id="1005" w:name="_Toc335640734"/>
      <w:bookmarkStart w:id="1006" w:name="_Toc335643344"/>
      <w:bookmarkStart w:id="1007" w:name="_Toc335640735"/>
      <w:bookmarkStart w:id="1008" w:name="_Toc335643345"/>
      <w:bookmarkStart w:id="1009" w:name="_Toc335640736"/>
      <w:bookmarkStart w:id="1010" w:name="_Toc335643346"/>
      <w:bookmarkStart w:id="1011" w:name="_Toc335640737"/>
      <w:bookmarkStart w:id="1012" w:name="_Toc335643347"/>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r>
        <w:rPr>
          <w:lang w:val="en-AU"/>
        </w:rPr>
        <w:br w:type="page"/>
      </w:r>
    </w:p>
    <w:p w14:paraId="24CED46A" w14:textId="77777777" w:rsidR="0059608E" w:rsidRPr="00C42431" w:rsidRDefault="0059608E" w:rsidP="0066689E">
      <w:pPr>
        <w:pStyle w:val="Heading1"/>
      </w:pPr>
      <w:bookmarkStart w:id="1013" w:name="_Toc461457790"/>
      <w:bookmarkStart w:id="1014" w:name="_Toc462651971"/>
      <w:r>
        <w:lastRenderedPageBreak/>
        <w:t>APPENDIX E – Terrestrial run-off assesment- Results</w:t>
      </w:r>
      <w:bookmarkEnd w:id="1013"/>
      <w:bookmarkEnd w:id="1014"/>
    </w:p>
    <w:p w14:paraId="2DB7B688" w14:textId="77777777" w:rsidR="002C0F70" w:rsidRDefault="002C0F70" w:rsidP="002C0F70">
      <w:pPr>
        <w:pStyle w:val="Caption"/>
        <w:keepNext/>
      </w:pPr>
      <w:bookmarkStart w:id="1015" w:name="_Toc462652097"/>
      <w:r>
        <w:t xml:space="preserve">Table A </w:t>
      </w:r>
      <w:r>
        <w:fldChar w:fldCharType="begin"/>
      </w:r>
      <w:r>
        <w:instrText xml:space="preserve"> SEQ Table_A \* ARABIC </w:instrText>
      </w:r>
      <w:r>
        <w:fldChar w:fldCharType="separate"/>
      </w:r>
      <w:r w:rsidR="00E51A34">
        <w:rPr>
          <w:noProof/>
        </w:rPr>
        <w:t>30</w:t>
      </w:r>
      <w:r>
        <w:fldChar w:fldCharType="end"/>
      </w:r>
      <w:r>
        <w:t xml:space="preserve"> Concentrations in water (ng L</w:t>
      </w:r>
      <w:r w:rsidRPr="00872629">
        <w:rPr>
          <w:vertAlign w:val="superscript"/>
        </w:rPr>
        <w:t>-1</w:t>
      </w:r>
      <w:r>
        <w:t>) measured along the Tully River and Russell-Mulgrave River transects using passive samplers during the wet season</w:t>
      </w:r>
      <w:bookmarkEnd w:id="1015"/>
      <w:r>
        <w:tab/>
      </w:r>
    </w:p>
    <w:p w14:paraId="7BE258F1" w14:textId="77777777" w:rsidR="0059608E" w:rsidRDefault="0071596A" w:rsidP="006130D4">
      <w:pPr>
        <w:jc w:val="center"/>
        <w:rPr>
          <w:sz w:val="18"/>
          <w:szCs w:val="18"/>
        </w:rPr>
      </w:pPr>
      <w:r w:rsidRPr="0071596A">
        <w:rPr>
          <w:noProof/>
          <w:lang w:val="en-AU" w:eastAsia="en-AU" w:bidi="ar-SA"/>
        </w:rPr>
        <w:drawing>
          <wp:inline distT="0" distB="0" distL="0" distR="0" wp14:anchorId="7FF7C21A" wp14:editId="5EDE50A9">
            <wp:extent cx="14207490" cy="3676658"/>
            <wp:effectExtent l="0" t="0" r="3810" b="0"/>
            <wp:docPr id="143" name="Picture 143" descr="Table A 30 Concentrations in water (ng L-1) measured along the Tully River and Russell-Mulgrave River transects using passive sampler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4207490" cy="3676658"/>
                    </a:xfrm>
                    <a:prstGeom prst="rect">
                      <a:avLst/>
                    </a:prstGeom>
                    <a:noFill/>
                    <a:ln>
                      <a:noFill/>
                    </a:ln>
                  </pic:spPr>
                </pic:pic>
              </a:graphicData>
            </a:graphic>
          </wp:inline>
        </w:drawing>
      </w:r>
    </w:p>
    <w:p w14:paraId="357B1814" w14:textId="77777777" w:rsidR="0059608E" w:rsidRDefault="0059608E" w:rsidP="006130D4">
      <w:pPr>
        <w:rPr>
          <w:sz w:val="18"/>
          <w:szCs w:val="18"/>
          <w:lang w:val="en-AU" w:eastAsia="en-AU"/>
        </w:rPr>
      </w:pPr>
      <w:r w:rsidRPr="00443B5A">
        <w:rPr>
          <w:sz w:val="18"/>
          <w:szCs w:val="18"/>
          <w:lang w:val="en-AU" w:eastAsia="en-AU"/>
        </w:rPr>
        <w:t>Concentrations are time-integrated estimates</w:t>
      </w:r>
      <w:r>
        <w:rPr>
          <w:sz w:val="18"/>
          <w:szCs w:val="18"/>
          <w:lang w:val="en-AU" w:eastAsia="en-AU"/>
        </w:rPr>
        <w:t xml:space="preserve">; </w:t>
      </w:r>
      <w:r w:rsidRPr="004351DE">
        <w:rPr>
          <w:i/>
          <w:sz w:val="18"/>
          <w:szCs w:val="18"/>
          <w:lang w:val="en-AU" w:eastAsia="en-AU"/>
        </w:rPr>
        <w:t xml:space="preserve">Concentrations </w:t>
      </w:r>
      <w:r>
        <w:rPr>
          <w:i/>
          <w:sz w:val="18"/>
          <w:szCs w:val="18"/>
          <w:lang w:val="en-AU" w:eastAsia="en-AU"/>
        </w:rPr>
        <w:t xml:space="preserve">in italics </w:t>
      </w:r>
      <w:r w:rsidRPr="004351DE">
        <w:rPr>
          <w:i/>
          <w:sz w:val="18"/>
          <w:szCs w:val="18"/>
          <w:lang w:val="en-AU" w:eastAsia="en-AU"/>
        </w:rPr>
        <w:t>did not exceed 3 x blank levels and are included as n.d. in summary statistics</w:t>
      </w:r>
      <w:r>
        <w:rPr>
          <w:i/>
          <w:sz w:val="18"/>
          <w:szCs w:val="18"/>
          <w:lang w:val="en-AU" w:eastAsia="en-AU"/>
        </w:rPr>
        <w:t xml:space="preserve">; </w:t>
      </w:r>
      <w:r w:rsidRPr="0031241A">
        <w:rPr>
          <w:sz w:val="18"/>
          <w:szCs w:val="18"/>
          <w:lang w:val="en-AU" w:eastAsia="en-AU"/>
        </w:rPr>
        <w:t>Shaded pesticides and herbicides indicate that no calibration data is available and the sampling rate of atrazine was assumed. Water estimations are approximate</w:t>
      </w:r>
      <w:r>
        <w:rPr>
          <w:sz w:val="18"/>
          <w:szCs w:val="18"/>
          <w:lang w:val="en-AU" w:eastAsia="en-AU"/>
        </w:rPr>
        <w:t>; Results are rounded to two significant figures; **Concentration is average of duplicate samplers</w:t>
      </w:r>
    </w:p>
    <w:p w14:paraId="4E577AED" w14:textId="77777777" w:rsidR="0059608E" w:rsidRDefault="0059608E" w:rsidP="006130D4">
      <w:pPr>
        <w:rPr>
          <w:sz w:val="18"/>
          <w:szCs w:val="18"/>
          <w:lang w:val="en-AU" w:eastAsia="en-AU"/>
        </w:rPr>
      </w:pPr>
    </w:p>
    <w:p w14:paraId="0D13B0C4" w14:textId="77777777" w:rsidR="0059608E" w:rsidRDefault="0059608E" w:rsidP="006130D4">
      <w:pPr>
        <w:rPr>
          <w:sz w:val="18"/>
          <w:szCs w:val="18"/>
        </w:rPr>
      </w:pPr>
    </w:p>
    <w:p w14:paraId="4770FA70" w14:textId="77777777" w:rsidR="00804582" w:rsidRDefault="00804582" w:rsidP="00804582">
      <w:pPr>
        <w:pStyle w:val="Caption"/>
        <w:keepNext/>
      </w:pPr>
      <w:bookmarkStart w:id="1016" w:name="_Toc462652098"/>
      <w:r>
        <w:t xml:space="preserve">Table A </w:t>
      </w:r>
      <w:r>
        <w:fldChar w:fldCharType="begin"/>
      </w:r>
      <w:r>
        <w:instrText xml:space="preserve"> SEQ Table_A \* ARABIC </w:instrText>
      </w:r>
      <w:r>
        <w:fldChar w:fldCharType="separate"/>
      </w:r>
      <w:r w:rsidR="00E51A34">
        <w:rPr>
          <w:noProof/>
        </w:rPr>
        <w:t>31</w:t>
      </w:r>
      <w:r>
        <w:fldChar w:fldCharType="end"/>
      </w:r>
      <w:r>
        <w:t xml:space="preserve"> </w:t>
      </w:r>
      <w:r w:rsidRPr="00C3211E">
        <w:t>Concentrations in water (ng</w:t>
      </w:r>
      <w:r>
        <w:t xml:space="preserve"> </w:t>
      </w:r>
      <w:r w:rsidRPr="00C3211E">
        <w:t>L</w:t>
      </w:r>
      <w:r w:rsidRPr="007F1466">
        <w:rPr>
          <w:vertAlign w:val="superscript"/>
        </w:rPr>
        <w:t>-1</w:t>
      </w:r>
      <w:r w:rsidRPr="00C3211E">
        <w:t>) measured at various locations alon</w:t>
      </w:r>
      <w:r>
        <w:t>g</w:t>
      </w:r>
      <w:r w:rsidRPr="00C3211E">
        <w:t xml:space="preserve"> the </w:t>
      </w:r>
      <w:r>
        <w:t>river</w:t>
      </w:r>
      <w:r w:rsidRPr="00C3211E">
        <w:t xml:space="preserve"> transect</w:t>
      </w:r>
      <w:r>
        <w:t>s</w:t>
      </w:r>
      <w:r w:rsidRPr="00C3211E">
        <w:t xml:space="preserve"> using 1 L grab samples during the wet season</w:t>
      </w:r>
      <w:bookmarkEnd w:id="1016"/>
    </w:p>
    <w:p w14:paraId="54446D1C" w14:textId="77777777" w:rsidR="0059608E" w:rsidRDefault="0071596A" w:rsidP="0071596A">
      <w:pPr>
        <w:ind w:firstLine="357"/>
        <w:jc w:val="left"/>
        <w:rPr>
          <w:sz w:val="18"/>
          <w:szCs w:val="18"/>
        </w:rPr>
      </w:pPr>
      <w:r w:rsidRPr="0071596A">
        <w:rPr>
          <w:noProof/>
          <w:lang w:val="en-AU" w:eastAsia="en-AU" w:bidi="ar-SA"/>
        </w:rPr>
        <w:drawing>
          <wp:inline distT="0" distB="0" distL="0" distR="0" wp14:anchorId="11C94EEB" wp14:editId="72E559F2">
            <wp:extent cx="13892262" cy="2483893"/>
            <wp:effectExtent l="19050" t="19050" r="14605" b="12065"/>
            <wp:docPr id="144" name="Picture 144" descr="Table A 31 Concentrations in water (ng L-1) measured at various locations along the river transects using 1 L grab samples during the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3901954" cy="2485626"/>
                    </a:xfrm>
                    <a:prstGeom prst="rect">
                      <a:avLst/>
                    </a:prstGeom>
                    <a:noFill/>
                    <a:ln>
                      <a:solidFill>
                        <a:schemeClr val="tx1"/>
                      </a:solidFill>
                    </a:ln>
                  </pic:spPr>
                </pic:pic>
              </a:graphicData>
            </a:graphic>
          </wp:inline>
        </w:drawing>
      </w:r>
    </w:p>
    <w:p w14:paraId="601A9D84" w14:textId="77777777" w:rsidR="0059608E" w:rsidRDefault="0059608E">
      <w:pPr>
        <w:ind w:firstLine="357"/>
        <w:jc w:val="left"/>
        <w:rPr>
          <w:sz w:val="18"/>
          <w:szCs w:val="18"/>
        </w:rPr>
      </w:pPr>
      <w:r>
        <w:rPr>
          <w:sz w:val="18"/>
          <w:szCs w:val="18"/>
        </w:rPr>
        <w:br w:type="page"/>
      </w:r>
    </w:p>
    <w:p w14:paraId="7819C2B1" w14:textId="77777777" w:rsidR="0059608E" w:rsidRDefault="0059608E">
      <w:pPr>
        <w:ind w:firstLine="357"/>
        <w:jc w:val="left"/>
        <w:rPr>
          <w:sz w:val="18"/>
          <w:szCs w:val="18"/>
        </w:rPr>
        <w:sectPr w:rsidR="0059608E" w:rsidSect="006130D4">
          <w:pgSz w:w="23814" w:h="16839" w:orient="landscape" w:code="8"/>
          <w:pgMar w:top="567" w:right="720" w:bottom="720" w:left="720" w:header="709" w:footer="709" w:gutter="0"/>
          <w:cols w:space="708"/>
          <w:docGrid w:linePitch="360"/>
        </w:sectPr>
      </w:pPr>
    </w:p>
    <w:p w14:paraId="0F4EF62B" w14:textId="77777777" w:rsidR="0059608E" w:rsidRDefault="0059608E" w:rsidP="0066689E">
      <w:pPr>
        <w:pStyle w:val="Heading1"/>
      </w:pPr>
      <w:bookmarkStart w:id="1017" w:name="_Toc461457791"/>
      <w:bookmarkStart w:id="1018" w:name="_Toc462651972"/>
      <w:r>
        <w:lastRenderedPageBreak/>
        <w:t>APPENDIX F – Mean flow rates,</w:t>
      </w:r>
      <w:r w:rsidR="00804582">
        <w:t xml:space="preserve"> </w:t>
      </w:r>
      <w:r>
        <w:t>PSII-HEq of passive samplers and Plume colour class of major rivers</w:t>
      </w:r>
      <w:bookmarkEnd w:id="1017"/>
      <w:bookmarkEnd w:id="1018"/>
    </w:p>
    <w:p w14:paraId="63467875" w14:textId="77777777" w:rsidR="00B35642" w:rsidRDefault="0059608E" w:rsidP="00B35642">
      <w:pPr>
        <w:keepNext/>
        <w:jc w:val="center"/>
      </w:pPr>
      <w:r>
        <w:rPr>
          <w:noProof/>
          <w:lang w:val="en-AU" w:eastAsia="en-AU" w:bidi="ar-SA"/>
        </w:rPr>
        <w:drawing>
          <wp:inline distT="0" distB="0" distL="0" distR="0" wp14:anchorId="63B88B2E" wp14:editId="39C03DB3">
            <wp:extent cx="5800090" cy="8009255"/>
            <wp:effectExtent l="19050" t="19050" r="10160" b="10795"/>
            <wp:docPr id="98" name="Picture 98" descr="Figure A 5 Temporal trends in PSII-HEq with respect to flow rate of rivers influencing passive sampler site at Low Isles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800090" cy="8009255"/>
                    </a:xfrm>
                    <a:prstGeom prst="rect">
                      <a:avLst/>
                    </a:prstGeom>
                    <a:noFill/>
                    <a:ln>
                      <a:solidFill>
                        <a:schemeClr val="tx1"/>
                      </a:solidFill>
                    </a:ln>
                  </pic:spPr>
                </pic:pic>
              </a:graphicData>
            </a:graphic>
          </wp:inline>
        </w:drawing>
      </w:r>
    </w:p>
    <w:p w14:paraId="2187FA1F" w14:textId="77777777" w:rsidR="0059608E" w:rsidRDefault="00B35642" w:rsidP="00B35642">
      <w:pPr>
        <w:pStyle w:val="Caption"/>
        <w:jc w:val="center"/>
      </w:pPr>
      <w:bookmarkStart w:id="1019" w:name="_Toc462651980"/>
      <w:r>
        <w:t xml:space="preserve">Figure A </w:t>
      </w:r>
      <w:r>
        <w:fldChar w:fldCharType="begin"/>
      </w:r>
      <w:r>
        <w:instrText xml:space="preserve"> SEQ Figure_A \* ARABIC </w:instrText>
      </w:r>
      <w:r>
        <w:fldChar w:fldCharType="separate"/>
      </w:r>
      <w:r w:rsidR="00E51A34">
        <w:rPr>
          <w:noProof/>
        </w:rPr>
        <w:t>5</w:t>
      </w:r>
      <w:r>
        <w:fldChar w:fldCharType="end"/>
      </w:r>
      <w:r>
        <w:t xml:space="preserve"> Temporal trends in PSII-HEq with respect to flow rate of rivers influencing passive sampler site at Low Isles in the Wet Tropics region since monitoring commenced</w:t>
      </w:r>
      <w:bookmarkEnd w:id="1019"/>
    </w:p>
    <w:p w14:paraId="78933407" w14:textId="77777777" w:rsidR="0059608E" w:rsidRDefault="00B35642" w:rsidP="006130D4">
      <w:pPr>
        <w:pStyle w:val="Caption"/>
        <w:jc w:val="center"/>
      </w:pPr>
      <w:bookmarkStart w:id="1020" w:name="OLE_LINK6"/>
      <w:r w:rsidRPr="006116EF">
        <w:rPr>
          <w:b w:val="0"/>
        </w:rPr>
        <w:t xml:space="preserve"> </w:t>
      </w:r>
      <w:r w:rsidR="0059608E" w:rsidRPr="006116EF">
        <w:rPr>
          <w:b w:val="0"/>
        </w:rPr>
        <w:t>(Flow data provided by Department of Environment and Resource Management, Stream Gauging Network)</w:t>
      </w:r>
      <w:r w:rsidR="0059608E">
        <w:rPr>
          <w:b w:val="0"/>
        </w:rPr>
        <w:t>, Colour class data provided by Dieter Tracey (JCU)</w:t>
      </w:r>
    </w:p>
    <w:bookmarkEnd w:id="1020"/>
    <w:p w14:paraId="423FD64C" w14:textId="77777777" w:rsidR="00B35642" w:rsidRDefault="0059608E" w:rsidP="00B35642">
      <w:pPr>
        <w:keepNext/>
      </w:pPr>
      <w:r>
        <w:rPr>
          <w:noProof/>
          <w:lang w:val="en-AU" w:eastAsia="en-AU" w:bidi="ar-SA"/>
        </w:rPr>
        <w:lastRenderedPageBreak/>
        <w:drawing>
          <wp:inline distT="0" distB="0" distL="0" distR="0" wp14:anchorId="1F0BDBA3" wp14:editId="24F5CD5D">
            <wp:extent cx="6400800" cy="8622058"/>
            <wp:effectExtent l="19050" t="19050" r="19050" b="26670"/>
            <wp:docPr id="99" name="Picture 99" descr="Figure A 6 Temporal trends in PSII-HEq with respect to flow rate of rivers influencing passive sampler site at Green Island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409720" cy="8634073"/>
                    </a:xfrm>
                    <a:prstGeom prst="rect">
                      <a:avLst/>
                    </a:prstGeom>
                    <a:noFill/>
                    <a:ln>
                      <a:solidFill>
                        <a:schemeClr val="tx1"/>
                      </a:solidFill>
                    </a:ln>
                  </pic:spPr>
                </pic:pic>
              </a:graphicData>
            </a:graphic>
          </wp:inline>
        </w:drawing>
      </w:r>
    </w:p>
    <w:p w14:paraId="260CEEDD" w14:textId="77777777" w:rsidR="0059608E" w:rsidRDefault="00B35642" w:rsidP="006C2C7F">
      <w:pPr>
        <w:pStyle w:val="Caption"/>
        <w:jc w:val="center"/>
      </w:pPr>
      <w:bookmarkStart w:id="1021" w:name="_Toc462651981"/>
      <w:r>
        <w:t xml:space="preserve">Figure A </w:t>
      </w:r>
      <w:r>
        <w:fldChar w:fldCharType="begin"/>
      </w:r>
      <w:r>
        <w:instrText xml:space="preserve"> SEQ Figure_A \* ARABIC </w:instrText>
      </w:r>
      <w:r>
        <w:fldChar w:fldCharType="separate"/>
      </w:r>
      <w:r w:rsidR="00E51A34">
        <w:rPr>
          <w:noProof/>
        </w:rPr>
        <w:t>6</w:t>
      </w:r>
      <w:r>
        <w:fldChar w:fldCharType="end"/>
      </w:r>
      <w:r>
        <w:t xml:space="preserve"> Temporal trends in PSII-HEq with respect to flow rate of rivers influencing passive sampler site at Green Island in the Wet Tropics region since monitoring commenced</w:t>
      </w:r>
      <w:bookmarkEnd w:id="1021"/>
    </w:p>
    <w:p w14:paraId="5934522D" w14:textId="77777777" w:rsidR="0059608E" w:rsidRDefault="00B35642" w:rsidP="006130D4">
      <w:pPr>
        <w:pStyle w:val="Caption"/>
        <w:jc w:val="center"/>
      </w:pPr>
      <w:r w:rsidRPr="006116EF">
        <w:rPr>
          <w:b w:val="0"/>
        </w:rPr>
        <w:t xml:space="preserve"> </w:t>
      </w:r>
      <w:r w:rsidR="0059608E" w:rsidRPr="006116EF">
        <w:rPr>
          <w:b w:val="0"/>
        </w:rPr>
        <w:t>(Flow data provided by Department of Environment and Resource Management, Stream Gauging Network)</w:t>
      </w:r>
      <w:r w:rsidR="0059608E">
        <w:rPr>
          <w:b w:val="0"/>
        </w:rPr>
        <w:t xml:space="preserve">, </w:t>
      </w:r>
      <w:bookmarkStart w:id="1022" w:name="OLE_LINK7"/>
      <w:r w:rsidR="0059608E">
        <w:rPr>
          <w:b w:val="0"/>
        </w:rPr>
        <w:t>Colour class data provided by Dieter Tracey (JCU)</w:t>
      </w:r>
    </w:p>
    <w:bookmarkEnd w:id="1022"/>
    <w:p w14:paraId="47416389" w14:textId="77777777" w:rsidR="0059608E" w:rsidRPr="00066E1A" w:rsidRDefault="0059608E" w:rsidP="006130D4">
      <w:pPr>
        <w:sectPr w:rsidR="0059608E" w:rsidRPr="00066E1A" w:rsidSect="006130D4">
          <w:pgSz w:w="11907" w:h="16840" w:code="9"/>
          <w:pgMar w:top="720" w:right="720" w:bottom="720" w:left="720" w:header="709" w:footer="709" w:gutter="0"/>
          <w:cols w:space="708"/>
          <w:docGrid w:linePitch="360"/>
        </w:sectPr>
      </w:pPr>
    </w:p>
    <w:p w14:paraId="32945AC8" w14:textId="77777777" w:rsidR="006C2C7F" w:rsidRDefault="0059608E" w:rsidP="006C2C7F">
      <w:pPr>
        <w:keepNext/>
      </w:pPr>
      <w:r>
        <w:rPr>
          <w:noProof/>
          <w:lang w:val="en-AU" w:eastAsia="en-AU" w:bidi="ar-SA"/>
        </w:rPr>
        <w:lastRenderedPageBreak/>
        <w:drawing>
          <wp:inline distT="0" distB="0" distL="0" distR="0" wp14:anchorId="04D437C3" wp14:editId="5C6BF88C">
            <wp:extent cx="6439439" cy="8591107"/>
            <wp:effectExtent l="19050" t="19050" r="19050" b="19685"/>
            <wp:docPr id="100" name="Picture 100" descr="Figure A 7 Temporal trends in PSII-HEq with respect to flow rate of rivers influencing Fitzroy Island passive sampler site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463620" cy="8623368"/>
                    </a:xfrm>
                    <a:prstGeom prst="rect">
                      <a:avLst/>
                    </a:prstGeom>
                    <a:noFill/>
                    <a:ln>
                      <a:solidFill>
                        <a:schemeClr val="tx1"/>
                      </a:solidFill>
                    </a:ln>
                  </pic:spPr>
                </pic:pic>
              </a:graphicData>
            </a:graphic>
          </wp:inline>
        </w:drawing>
      </w:r>
    </w:p>
    <w:p w14:paraId="006B8699" w14:textId="77777777" w:rsidR="006C2C7F" w:rsidRDefault="006C2C7F" w:rsidP="006C2C7F">
      <w:pPr>
        <w:pStyle w:val="Caption"/>
        <w:keepNext/>
        <w:jc w:val="center"/>
      </w:pPr>
      <w:bookmarkStart w:id="1023" w:name="_Toc462651982"/>
      <w:r>
        <w:t xml:space="preserve">Figure A </w:t>
      </w:r>
      <w:r>
        <w:fldChar w:fldCharType="begin"/>
      </w:r>
      <w:r>
        <w:instrText xml:space="preserve"> SEQ Figure_A \* ARABIC </w:instrText>
      </w:r>
      <w:r>
        <w:fldChar w:fldCharType="separate"/>
      </w:r>
      <w:r w:rsidR="00E51A34">
        <w:rPr>
          <w:noProof/>
        </w:rPr>
        <w:t>7</w:t>
      </w:r>
      <w:r>
        <w:fldChar w:fldCharType="end"/>
      </w:r>
      <w:r>
        <w:t xml:space="preserve"> Temporal trends in PSII-HEq with respect to flow rate of rivers influencing Fitzroy Island passive sampler site in the Wet Tropics region since monitoring commenced</w:t>
      </w:r>
      <w:bookmarkEnd w:id="1023"/>
    </w:p>
    <w:p w14:paraId="38174A30" w14:textId="77777777" w:rsidR="0059608E" w:rsidRDefault="006C2C7F" w:rsidP="006130D4">
      <w:pPr>
        <w:pStyle w:val="Caption"/>
        <w:jc w:val="center"/>
      </w:pPr>
      <w:r w:rsidRPr="004529C8">
        <w:rPr>
          <w:b w:val="0"/>
        </w:rPr>
        <w:t xml:space="preserve"> </w:t>
      </w:r>
      <w:r w:rsidR="0059608E" w:rsidRPr="004529C8">
        <w:rPr>
          <w:b w:val="0"/>
        </w:rPr>
        <w:t>(</w:t>
      </w:r>
      <w:bookmarkStart w:id="1024" w:name="OLE_LINK9"/>
      <w:r w:rsidR="0059608E" w:rsidRPr="004529C8">
        <w:rPr>
          <w:b w:val="0"/>
        </w:rPr>
        <w:t>Flow data provided by Department of Environment and Resource Management, Stream Gauging Network)</w:t>
      </w:r>
      <w:r w:rsidR="0059608E">
        <w:t xml:space="preserve"> </w:t>
      </w:r>
      <w:r w:rsidR="0059608E">
        <w:rPr>
          <w:b w:val="0"/>
        </w:rPr>
        <w:t>Colour class data provided by Dieter Tracey (JCU)</w:t>
      </w:r>
    </w:p>
    <w:bookmarkEnd w:id="1024"/>
    <w:p w14:paraId="7085EC87" w14:textId="77777777" w:rsidR="0059608E" w:rsidRPr="00CA587F" w:rsidRDefault="0059608E" w:rsidP="006130D4">
      <w:pPr>
        <w:tabs>
          <w:tab w:val="left" w:pos="567"/>
        </w:tabs>
        <w:jc w:val="center"/>
        <w:rPr>
          <w:sz w:val="18"/>
        </w:rPr>
        <w:sectPr w:rsidR="0059608E" w:rsidRPr="00CA587F" w:rsidSect="006130D4">
          <w:pgSz w:w="11907" w:h="16840" w:code="9"/>
          <w:pgMar w:top="720" w:right="720" w:bottom="720" w:left="567" w:header="709" w:footer="709" w:gutter="0"/>
          <w:cols w:space="708"/>
          <w:docGrid w:linePitch="360"/>
        </w:sectPr>
      </w:pPr>
    </w:p>
    <w:p w14:paraId="5CCFDB38" w14:textId="77777777" w:rsidR="006C2C7F" w:rsidRDefault="0059608E" w:rsidP="006C2C7F">
      <w:pPr>
        <w:keepNext/>
        <w:tabs>
          <w:tab w:val="left" w:pos="567"/>
        </w:tabs>
      </w:pPr>
      <w:r>
        <w:rPr>
          <w:noProof/>
          <w:lang w:val="en-AU" w:eastAsia="en-AU" w:bidi="ar-SA"/>
        </w:rPr>
        <w:lastRenderedPageBreak/>
        <w:drawing>
          <wp:inline distT="0" distB="0" distL="0" distR="0" wp14:anchorId="352B025B" wp14:editId="4E061B53">
            <wp:extent cx="6417064" cy="8623004"/>
            <wp:effectExtent l="19050" t="19050" r="22225" b="26035"/>
            <wp:docPr id="101" name="Picture 101" descr="Figure A 8 Temporal trends in PSII-HEq with respect to flow rate of rivers influencing Dunk Island passive sampler site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434276" cy="8646133"/>
                    </a:xfrm>
                    <a:prstGeom prst="rect">
                      <a:avLst/>
                    </a:prstGeom>
                    <a:noFill/>
                    <a:ln>
                      <a:solidFill>
                        <a:schemeClr val="tx1"/>
                      </a:solidFill>
                    </a:ln>
                  </pic:spPr>
                </pic:pic>
              </a:graphicData>
            </a:graphic>
          </wp:inline>
        </w:drawing>
      </w:r>
    </w:p>
    <w:p w14:paraId="2D19EE01" w14:textId="77777777" w:rsidR="00613561" w:rsidRDefault="006C2C7F" w:rsidP="00613561">
      <w:pPr>
        <w:pStyle w:val="Caption"/>
        <w:jc w:val="center"/>
      </w:pPr>
      <w:bookmarkStart w:id="1025" w:name="_Toc462651983"/>
      <w:r>
        <w:t xml:space="preserve">Figure A </w:t>
      </w:r>
      <w:r>
        <w:fldChar w:fldCharType="begin"/>
      </w:r>
      <w:r>
        <w:instrText xml:space="preserve"> SEQ Figure_A \* ARABIC </w:instrText>
      </w:r>
      <w:r>
        <w:fldChar w:fldCharType="separate"/>
      </w:r>
      <w:r w:rsidR="00E51A34">
        <w:rPr>
          <w:noProof/>
        </w:rPr>
        <w:t>8</w:t>
      </w:r>
      <w:r>
        <w:fldChar w:fldCharType="end"/>
      </w:r>
      <w:r>
        <w:t xml:space="preserve"> Temporal trends in PSII-HEq with respect to flow rate of rivers influencing Dunk Island passive sampler site in the Wet Tropics region since monitoring commenced</w:t>
      </w:r>
      <w:bookmarkEnd w:id="1025"/>
    </w:p>
    <w:p w14:paraId="56CC5D1A" w14:textId="77777777" w:rsidR="0059608E" w:rsidRDefault="0059608E" w:rsidP="00613561">
      <w:pPr>
        <w:pStyle w:val="Caption"/>
        <w:jc w:val="center"/>
      </w:pPr>
      <w:r w:rsidRPr="004529C8">
        <w:rPr>
          <w:b w:val="0"/>
        </w:rPr>
        <w:t>Flow data provided by Department of Environment and Resource Management, Stream Gauging Network)</w:t>
      </w:r>
      <w:r>
        <w:t xml:space="preserve"> </w:t>
      </w:r>
      <w:r>
        <w:rPr>
          <w:b w:val="0"/>
        </w:rPr>
        <w:t>Colour class data provided by Dieter Tracey (JCU)</w:t>
      </w:r>
    </w:p>
    <w:p w14:paraId="791C85E2" w14:textId="77777777" w:rsidR="00613561" w:rsidRDefault="0059608E" w:rsidP="00613561">
      <w:pPr>
        <w:keepNext/>
        <w:jc w:val="center"/>
      </w:pPr>
      <w:r>
        <w:rPr>
          <w:noProof/>
          <w:lang w:val="en-AU" w:eastAsia="en-AU" w:bidi="ar-SA"/>
        </w:rPr>
        <w:lastRenderedPageBreak/>
        <w:drawing>
          <wp:inline distT="0" distB="0" distL="0" distR="0" wp14:anchorId="5B5316D1" wp14:editId="1D9F3DB3">
            <wp:extent cx="6300461" cy="8612372"/>
            <wp:effectExtent l="19050" t="19050" r="24765" b="17780"/>
            <wp:docPr id="102" name="Picture 102" descr="Figure A 9 Temporal trends in PSII-HEq with respect to flow rate of rivers influencing the Normanby Island passive sampler site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315127" cy="8632420"/>
                    </a:xfrm>
                    <a:prstGeom prst="rect">
                      <a:avLst/>
                    </a:prstGeom>
                    <a:noFill/>
                    <a:ln>
                      <a:solidFill>
                        <a:schemeClr val="tx1"/>
                      </a:solidFill>
                    </a:ln>
                  </pic:spPr>
                </pic:pic>
              </a:graphicData>
            </a:graphic>
          </wp:inline>
        </w:drawing>
      </w:r>
    </w:p>
    <w:p w14:paraId="56492E54" w14:textId="77777777" w:rsidR="0059608E" w:rsidRDefault="00613561" w:rsidP="00613561">
      <w:pPr>
        <w:pStyle w:val="Caption"/>
        <w:jc w:val="center"/>
      </w:pPr>
      <w:bookmarkStart w:id="1026" w:name="_Toc462651984"/>
      <w:r>
        <w:t xml:space="preserve">Figure A </w:t>
      </w:r>
      <w:r>
        <w:fldChar w:fldCharType="begin"/>
      </w:r>
      <w:r>
        <w:instrText xml:space="preserve"> SEQ Figure_A \* ARABIC </w:instrText>
      </w:r>
      <w:r>
        <w:fldChar w:fldCharType="separate"/>
      </w:r>
      <w:r w:rsidR="00E51A34">
        <w:rPr>
          <w:noProof/>
        </w:rPr>
        <w:t>9</w:t>
      </w:r>
      <w:r>
        <w:fldChar w:fldCharType="end"/>
      </w:r>
      <w:r>
        <w:t xml:space="preserve"> Temporal trends in PSII-HEq with respect to flow rate of rivers influencing the Normanby Island passive sampler site in the Wet Tropics region since monitoring commenced</w:t>
      </w:r>
      <w:bookmarkEnd w:id="1026"/>
    </w:p>
    <w:p w14:paraId="508336D7" w14:textId="77777777" w:rsidR="0059608E" w:rsidRDefault="00613561"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54DBA647" w14:textId="77777777" w:rsidR="0059608E" w:rsidRPr="003340EB" w:rsidRDefault="0059608E" w:rsidP="006130D4">
      <w:pPr>
        <w:sectPr w:rsidR="0059608E" w:rsidRPr="003340EB" w:rsidSect="006130D4">
          <w:type w:val="continuous"/>
          <w:pgSz w:w="11907" w:h="16840" w:code="9"/>
          <w:pgMar w:top="720" w:right="720" w:bottom="720" w:left="567" w:header="709" w:footer="709" w:gutter="0"/>
          <w:cols w:space="708"/>
          <w:docGrid w:linePitch="360"/>
        </w:sectPr>
      </w:pPr>
    </w:p>
    <w:p w14:paraId="0986D946" w14:textId="77777777" w:rsidR="003115C8" w:rsidRDefault="0059608E" w:rsidP="003115C8">
      <w:pPr>
        <w:keepNext/>
        <w:jc w:val="center"/>
      </w:pPr>
      <w:bookmarkStart w:id="1027" w:name="OLE_LINK12"/>
      <w:r w:rsidRPr="002227EB">
        <w:rPr>
          <w:noProof/>
          <w:lang w:val="en-AU" w:eastAsia="en-AU" w:bidi="ar-SA"/>
        </w:rPr>
        <w:lastRenderedPageBreak/>
        <w:drawing>
          <wp:inline distT="0" distB="0" distL="0" distR="0" wp14:anchorId="010EB37A" wp14:editId="2C0812AF">
            <wp:extent cx="6254396" cy="8591107"/>
            <wp:effectExtent l="19050" t="19050" r="13335" b="19685"/>
            <wp:docPr id="103" name="Picture 103" descr="Figure A 10 Temporal trends in PSII-HEq with respect to flow rate of rivers influencing the Lucinda passive sampler site in the Burdekin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266318" cy="8607484"/>
                    </a:xfrm>
                    <a:prstGeom prst="rect">
                      <a:avLst/>
                    </a:prstGeom>
                    <a:noFill/>
                    <a:ln>
                      <a:solidFill>
                        <a:schemeClr val="tx1"/>
                      </a:solidFill>
                    </a:ln>
                  </pic:spPr>
                </pic:pic>
              </a:graphicData>
            </a:graphic>
          </wp:inline>
        </w:drawing>
      </w:r>
    </w:p>
    <w:p w14:paraId="1549FFFD" w14:textId="77777777" w:rsidR="0059608E" w:rsidRPr="00692060" w:rsidRDefault="003115C8" w:rsidP="003115C8">
      <w:pPr>
        <w:pStyle w:val="Caption"/>
        <w:jc w:val="center"/>
        <w:rPr>
          <w:b w:val="0"/>
        </w:rPr>
      </w:pPr>
      <w:bookmarkStart w:id="1028" w:name="_Toc462651985"/>
      <w:r>
        <w:t xml:space="preserve">Figure A </w:t>
      </w:r>
      <w:r>
        <w:fldChar w:fldCharType="begin"/>
      </w:r>
      <w:r>
        <w:instrText xml:space="preserve"> SEQ Figure_A \* ARABIC </w:instrText>
      </w:r>
      <w:r>
        <w:fldChar w:fldCharType="separate"/>
      </w:r>
      <w:r w:rsidR="00E51A34">
        <w:rPr>
          <w:noProof/>
        </w:rPr>
        <w:t>10</w:t>
      </w:r>
      <w:r>
        <w:fldChar w:fldCharType="end"/>
      </w:r>
      <w:r>
        <w:t xml:space="preserve"> </w:t>
      </w:r>
      <w:r w:rsidRPr="004F6235">
        <w:t>Temporal</w:t>
      </w:r>
      <w:r>
        <w:t xml:space="preserve"> trends in PSII-HEq with respect to flow rate of rivers influencing the Lucinda passive sampler site in the Burdekin region since monitoring commenced</w:t>
      </w:r>
      <w:bookmarkEnd w:id="1028"/>
    </w:p>
    <w:p w14:paraId="52EE512B" w14:textId="77777777" w:rsidR="0059608E" w:rsidRPr="001F29CE" w:rsidRDefault="0059608E" w:rsidP="006130D4">
      <w:pPr>
        <w:pStyle w:val="Caption"/>
        <w:jc w:val="center"/>
      </w:pPr>
      <w:bookmarkStart w:id="1029" w:name="OLE_LINK10"/>
      <w:r w:rsidRPr="008732D0">
        <w:rPr>
          <w:b w:val="0"/>
        </w:rPr>
        <w:t>(Flow data provided by Department of Environment and Resource Management, Stream Gauging Network)</w:t>
      </w:r>
      <w:bookmarkEnd w:id="1029"/>
    </w:p>
    <w:p w14:paraId="1BACCAAC" w14:textId="77777777" w:rsidR="0059608E" w:rsidRDefault="0059608E" w:rsidP="006130D4">
      <w:pPr>
        <w:pStyle w:val="Caption"/>
        <w:jc w:val="center"/>
      </w:pPr>
      <w:r>
        <w:rPr>
          <w:b w:val="0"/>
        </w:rPr>
        <w:t>Colour class data provided by Dieter Tracey (JCU)</w:t>
      </w:r>
    </w:p>
    <w:p w14:paraId="4EE7D91D" w14:textId="77777777" w:rsidR="0059608E" w:rsidRDefault="0059608E" w:rsidP="006130D4">
      <w:pPr>
        <w:sectPr w:rsidR="0059608E" w:rsidSect="006130D4">
          <w:pgSz w:w="11907" w:h="16840" w:code="9"/>
          <w:pgMar w:top="720" w:right="720" w:bottom="720" w:left="567" w:header="709" w:footer="709" w:gutter="0"/>
          <w:cols w:space="708"/>
          <w:docGrid w:linePitch="360"/>
        </w:sectPr>
      </w:pPr>
    </w:p>
    <w:p w14:paraId="2F8102F4" w14:textId="77777777" w:rsidR="003115C8" w:rsidRDefault="0059608E" w:rsidP="003115C8">
      <w:pPr>
        <w:keepNext/>
      </w:pPr>
      <w:r w:rsidRPr="002227EB">
        <w:rPr>
          <w:noProof/>
          <w:lang w:val="en-AU" w:eastAsia="en-AU" w:bidi="ar-SA"/>
        </w:rPr>
        <w:lastRenderedPageBreak/>
        <w:drawing>
          <wp:inline distT="0" distB="0" distL="0" distR="0" wp14:anchorId="4CC1825D" wp14:editId="36B3175E">
            <wp:extent cx="6285358" cy="8633637"/>
            <wp:effectExtent l="19050" t="19050" r="20320" b="15240"/>
            <wp:docPr id="104" name="Picture 104" descr="Figure A 11 Temporal trends in PSII-HEq with respect to flow rate of rivers influencing the Orpheus Island passive sampler site in the Burdekin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295533" cy="8647613"/>
                    </a:xfrm>
                    <a:prstGeom prst="rect">
                      <a:avLst/>
                    </a:prstGeom>
                    <a:noFill/>
                    <a:ln>
                      <a:solidFill>
                        <a:schemeClr val="tx1"/>
                      </a:solidFill>
                    </a:ln>
                  </pic:spPr>
                </pic:pic>
              </a:graphicData>
            </a:graphic>
          </wp:inline>
        </w:drawing>
      </w:r>
    </w:p>
    <w:p w14:paraId="035B272E" w14:textId="77777777" w:rsidR="0059608E" w:rsidRDefault="003115C8" w:rsidP="003115C8">
      <w:pPr>
        <w:pStyle w:val="Caption"/>
        <w:jc w:val="center"/>
      </w:pPr>
      <w:bookmarkStart w:id="1030" w:name="_Toc462651986"/>
      <w:r>
        <w:t xml:space="preserve">Figure A </w:t>
      </w:r>
      <w:r>
        <w:fldChar w:fldCharType="begin"/>
      </w:r>
      <w:r>
        <w:instrText xml:space="preserve"> SEQ Figure_A \* ARABIC </w:instrText>
      </w:r>
      <w:r>
        <w:fldChar w:fldCharType="separate"/>
      </w:r>
      <w:r w:rsidR="00E51A34">
        <w:rPr>
          <w:noProof/>
        </w:rPr>
        <w:t>11</w:t>
      </w:r>
      <w:r>
        <w:fldChar w:fldCharType="end"/>
      </w:r>
      <w:r>
        <w:t xml:space="preserve"> Temporal trends in PSII-HEq with respect to flow rate of rivers influencing the Orpheus Island passive sampler site in the Burdekin region since monitoring commenced</w:t>
      </w:r>
      <w:bookmarkEnd w:id="1030"/>
    </w:p>
    <w:p w14:paraId="5AFACFB3" w14:textId="77777777" w:rsidR="0059608E" w:rsidRDefault="003115C8"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62FEE483" w14:textId="77777777" w:rsidR="003115C8" w:rsidRDefault="0059608E" w:rsidP="003115C8">
      <w:pPr>
        <w:keepNext/>
      </w:pPr>
      <w:r w:rsidRPr="00A0696E">
        <w:rPr>
          <w:noProof/>
          <w:lang w:val="en-AU" w:eastAsia="en-AU" w:bidi="ar-SA"/>
        </w:rPr>
        <w:lastRenderedPageBreak/>
        <w:drawing>
          <wp:inline distT="0" distB="0" distL="0" distR="0" wp14:anchorId="0F9450C3" wp14:editId="47EAF3A0">
            <wp:extent cx="6316562" cy="8623004"/>
            <wp:effectExtent l="19050" t="19050" r="27305" b="26035"/>
            <wp:docPr id="105" name="Picture 105" descr="Figure A 12 Temporal trends in PSII-HEq with respect to flow rate of rivers influencing the Cape Cleveland passive sampler site in the Burdekin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327312" cy="8637680"/>
                    </a:xfrm>
                    <a:prstGeom prst="rect">
                      <a:avLst/>
                    </a:prstGeom>
                    <a:noFill/>
                    <a:ln>
                      <a:solidFill>
                        <a:schemeClr val="tx1"/>
                      </a:solidFill>
                    </a:ln>
                  </pic:spPr>
                </pic:pic>
              </a:graphicData>
            </a:graphic>
          </wp:inline>
        </w:drawing>
      </w:r>
    </w:p>
    <w:p w14:paraId="6791514D" w14:textId="77777777" w:rsidR="003115C8" w:rsidRDefault="003115C8" w:rsidP="003115C8">
      <w:pPr>
        <w:pStyle w:val="Caption"/>
        <w:jc w:val="center"/>
        <w:rPr>
          <w:b w:val="0"/>
        </w:rPr>
      </w:pPr>
      <w:bookmarkStart w:id="1031" w:name="_Toc462651987"/>
      <w:r>
        <w:t xml:space="preserve">Figure A </w:t>
      </w:r>
      <w:r>
        <w:fldChar w:fldCharType="begin"/>
      </w:r>
      <w:r>
        <w:instrText xml:space="preserve"> SEQ Figure_A \* ARABIC </w:instrText>
      </w:r>
      <w:r>
        <w:fldChar w:fldCharType="separate"/>
      </w:r>
      <w:r w:rsidR="00E51A34">
        <w:rPr>
          <w:noProof/>
        </w:rPr>
        <w:t>12</w:t>
      </w:r>
      <w:r>
        <w:fldChar w:fldCharType="end"/>
      </w:r>
      <w:r>
        <w:t xml:space="preserve"> Temporal trends in PSII-HEq with respect to flow rate of rivers influencing the Cape Cleveland passive sampler site in the Burdekin region since monitoring commenced</w:t>
      </w:r>
      <w:bookmarkEnd w:id="1031"/>
    </w:p>
    <w:p w14:paraId="4CE8DD66" w14:textId="77777777" w:rsidR="0059608E" w:rsidRDefault="0059608E" w:rsidP="006130D4">
      <w:pPr>
        <w:pStyle w:val="Caption"/>
        <w:jc w:val="center"/>
      </w:pPr>
      <w:r>
        <w:t xml:space="preserve"> </w:t>
      </w:r>
      <w:r w:rsidRPr="008732D0">
        <w:rPr>
          <w:b w:val="0"/>
        </w:rPr>
        <w:t>(Flow data provided by Department of Environment and Resource Management, Stream Gauging Network)</w:t>
      </w:r>
      <w:r>
        <w:rPr>
          <w:b w:val="0"/>
        </w:rPr>
        <w:t xml:space="preserve"> Colour class data provided by Dieter Tracey (JCU)</w:t>
      </w:r>
    </w:p>
    <w:p w14:paraId="1C827783" w14:textId="77777777" w:rsidR="00042332" w:rsidRDefault="0059608E" w:rsidP="00042332">
      <w:pPr>
        <w:keepNext/>
      </w:pPr>
      <w:r w:rsidRPr="00A04376">
        <w:rPr>
          <w:noProof/>
          <w:lang w:val="en-AU" w:eastAsia="en-AU" w:bidi="ar-SA"/>
        </w:rPr>
        <w:lastRenderedPageBreak/>
        <w:drawing>
          <wp:inline distT="0" distB="0" distL="0" distR="0" wp14:anchorId="1B91101A" wp14:editId="27237A28">
            <wp:extent cx="6437111" cy="8559209"/>
            <wp:effectExtent l="19050" t="19050" r="20955" b="13335"/>
            <wp:docPr id="106" name="Picture 106" descr="Figure A 13 Temporal trends in PSII-HEq with respect to flow rate of rivers influencing the Barratta Creek mouth passive sampler site in the Burdekin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442077" cy="8565812"/>
                    </a:xfrm>
                    <a:prstGeom prst="rect">
                      <a:avLst/>
                    </a:prstGeom>
                    <a:noFill/>
                    <a:ln>
                      <a:solidFill>
                        <a:schemeClr val="tx1"/>
                      </a:solidFill>
                    </a:ln>
                  </pic:spPr>
                </pic:pic>
              </a:graphicData>
            </a:graphic>
          </wp:inline>
        </w:drawing>
      </w:r>
    </w:p>
    <w:p w14:paraId="542F8DD1" w14:textId="77777777" w:rsidR="0059608E" w:rsidRDefault="00042332" w:rsidP="00042332">
      <w:pPr>
        <w:pStyle w:val="Caption"/>
        <w:jc w:val="center"/>
      </w:pPr>
      <w:bookmarkStart w:id="1032" w:name="_Toc462651988"/>
      <w:r>
        <w:t xml:space="preserve">Figure A </w:t>
      </w:r>
      <w:r>
        <w:fldChar w:fldCharType="begin"/>
      </w:r>
      <w:r>
        <w:instrText xml:space="preserve"> SEQ Figure_A \* ARABIC </w:instrText>
      </w:r>
      <w:r>
        <w:fldChar w:fldCharType="separate"/>
      </w:r>
      <w:r w:rsidR="00E51A34">
        <w:rPr>
          <w:noProof/>
        </w:rPr>
        <w:t>13</w:t>
      </w:r>
      <w:r>
        <w:fldChar w:fldCharType="end"/>
      </w:r>
      <w:r>
        <w:t xml:space="preserve"> Temporal trends in PSII-HEq with respect to flow rate of rivers influencing the Barratta Creek mouth passive sampler site in the Burdekin region since monitoring commenced</w:t>
      </w:r>
      <w:bookmarkEnd w:id="1032"/>
    </w:p>
    <w:p w14:paraId="3F6071BA" w14:textId="77777777" w:rsidR="0059608E" w:rsidRDefault="00042332"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71F7CE80" w14:textId="77777777" w:rsidR="00042332" w:rsidRDefault="0059608E" w:rsidP="00042332">
      <w:pPr>
        <w:keepNext/>
      </w:pPr>
      <w:r w:rsidRPr="00A04376">
        <w:rPr>
          <w:noProof/>
          <w:lang w:val="en-AU" w:eastAsia="en-AU" w:bidi="ar-SA"/>
        </w:rPr>
        <w:lastRenderedPageBreak/>
        <w:drawing>
          <wp:inline distT="0" distB="0" distL="0" distR="0" wp14:anchorId="171219AA" wp14:editId="2C6F4D06">
            <wp:extent cx="6491663" cy="8601739"/>
            <wp:effectExtent l="19050" t="19050" r="23495" b="27940"/>
            <wp:docPr id="107" name="Picture 107" descr="Figure A 14 Temporal trends in PSII-HEq with respect to flow rate of rivers influencing the Barratta Creek case study passive sampler site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502765" cy="8616449"/>
                    </a:xfrm>
                    <a:prstGeom prst="rect">
                      <a:avLst/>
                    </a:prstGeom>
                    <a:noFill/>
                    <a:ln>
                      <a:solidFill>
                        <a:schemeClr val="tx1"/>
                      </a:solidFill>
                    </a:ln>
                  </pic:spPr>
                </pic:pic>
              </a:graphicData>
            </a:graphic>
          </wp:inline>
        </w:drawing>
      </w:r>
    </w:p>
    <w:p w14:paraId="4AB9EDD9" w14:textId="77777777" w:rsidR="0059608E" w:rsidRPr="00042332" w:rsidRDefault="00042332" w:rsidP="00042332">
      <w:pPr>
        <w:pStyle w:val="Caption"/>
        <w:jc w:val="center"/>
        <w:rPr>
          <w:b w:val="0"/>
        </w:rPr>
      </w:pPr>
      <w:bookmarkStart w:id="1033" w:name="_Toc462651989"/>
      <w:r>
        <w:t xml:space="preserve">Figure A </w:t>
      </w:r>
      <w:r>
        <w:fldChar w:fldCharType="begin"/>
      </w:r>
      <w:r>
        <w:instrText xml:space="preserve"> SEQ Figure_A \* ARABIC </w:instrText>
      </w:r>
      <w:r>
        <w:fldChar w:fldCharType="separate"/>
      </w:r>
      <w:r w:rsidR="00E51A34">
        <w:rPr>
          <w:noProof/>
        </w:rPr>
        <w:t>14</w:t>
      </w:r>
      <w:r>
        <w:fldChar w:fldCharType="end"/>
      </w:r>
      <w:r>
        <w:t xml:space="preserve"> Temporal trends in PSII-HEq with respect to flow rate of rivers influencing the Barratta Creek case study passive sampler site in the Burdekin region</w:t>
      </w:r>
      <w:bookmarkEnd w:id="1033"/>
    </w:p>
    <w:p w14:paraId="59E686A8" w14:textId="77777777" w:rsidR="0059608E" w:rsidRDefault="0059608E" w:rsidP="006130D4">
      <w:pPr>
        <w:pStyle w:val="Caption"/>
        <w:jc w:val="center"/>
      </w:pPr>
      <w:r>
        <w:t xml:space="preserve"> </w:t>
      </w:r>
      <w:r w:rsidRPr="008732D0">
        <w:rPr>
          <w:b w:val="0"/>
        </w:rPr>
        <w:t>(Flow data provided by Department of Environment and Resource Management, Stream Gauging Network)</w:t>
      </w:r>
      <w:r>
        <w:rPr>
          <w:b w:val="0"/>
        </w:rPr>
        <w:t xml:space="preserve"> Colour class data provided by Dieter Tracey (JCU)</w:t>
      </w:r>
    </w:p>
    <w:p w14:paraId="7BC8B94A" w14:textId="77777777" w:rsidR="00042332" w:rsidRDefault="0059608E" w:rsidP="00042332">
      <w:pPr>
        <w:keepNext/>
      </w:pPr>
      <w:r w:rsidRPr="00B959BB">
        <w:rPr>
          <w:noProof/>
          <w:lang w:val="en-AU" w:eastAsia="en-AU" w:bidi="ar-SA"/>
        </w:rPr>
        <w:lastRenderedPageBreak/>
        <w:drawing>
          <wp:inline distT="0" distB="0" distL="0" distR="0" wp14:anchorId="44EAB6D9" wp14:editId="7B756A3C">
            <wp:extent cx="6568301" cy="8569842"/>
            <wp:effectExtent l="19050" t="19050" r="23495" b="22225"/>
            <wp:docPr id="108" name="Picture 108" descr="Figure A 15 Temporal trends in PSII-HEq with respect to flow rate of rivers influencing the Outer Whitsunday passive sampler site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572458" cy="8575265"/>
                    </a:xfrm>
                    <a:prstGeom prst="rect">
                      <a:avLst/>
                    </a:prstGeom>
                    <a:noFill/>
                    <a:ln>
                      <a:solidFill>
                        <a:schemeClr val="tx1"/>
                      </a:solidFill>
                    </a:ln>
                  </pic:spPr>
                </pic:pic>
              </a:graphicData>
            </a:graphic>
          </wp:inline>
        </w:drawing>
      </w:r>
    </w:p>
    <w:p w14:paraId="5E79390D" w14:textId="77777777" w:rsidR="0059608E" w:rsidRPr="00042332" w:rsidRDefault="00042332" w:rsidP="00042332">
      <w:pPr>
        <w:pStyle w:val="Caption"/>
        <w:jc w:val="center"/>
        <w:rPr>
          <w:b w:val="0"/>
        </w:rPr>
      </w:pPr>
      <w:bookmarkStart w:id="1034" w:name="_Toc462651990"/>
      <w:r>
        <w:t xml:space="preserve">Figure A </w:t>
      </w:r>
      <w:r>
        <w:fldChar w:fldCharType="begin"/>
      </w:r>
      <w:r>
        <w:instrText xml:space="preserve"> SEQ Figure_A \* ARABIC </w:instrText>
      </w:r>
      <w:r>
        <w:fldChar w:fldCharType="separate"/>
      </w:r>
      <w:r w:rsidR="00E51A34">
        <w:rPr>
          <w:noProof/>
        </w:rPr>
        <w:t>15</w:t>
      </w:r>
      <w:r>
        <w:fldChar w:fldCharType="end"/>
      </w:r>
      <w:r>
        <w:t xml:space="preserve"> Temporal trends in PSII-HEq with respect to flow rate of rivers influencing the Outer Whitsunday passive sampler site in the Mackay Whitsunday region since monitoring commenced</w:t>
      </w:r>
      <w:bookmarkEnd w:id="1034"/>
    </w:p>
    <w:p w14:paraId="6B8E9A96" w14:textId="77777777" w:rsidR="0059608E" w:rsidRDefault="0059608E" w:rsidP="006130D4">
      <w:pPr>
        <w:pStyle w:val="Caption"/>
        <w:jc w:val="center"/>
      </w:pPr>
      <w:r>
        <w:t xml:space="preserve"> </w:t>
      </w:r>
      <w:r w:rsidRPr="008732D0">
        <w:rPr>
          <w:b w:val="0"/>
        </w:rPr>
        <w:t>(Flow data provided by Department of Environment and Resource Management, Stream Gauging Network)</w:t>
      </w:r>
      <w:r>
        <w:rPr>
          <w:b w:val="0"/>
        </w:rPr>
        <w:t xml:space="preserve"> Colour class data provided by Dieter Tracey (JCU)</w:t>
      </w:r>
    </w:p>
    <w:p w14:paraId="58CD57CA" w14:textId="77777777" w:rsidR="00E672AE" w:rsidRDefault="0059608E" w:rsidP="00E672AE">
      <w:pPr>
        <w:keepNext/>
      </w:pPr>
      <w:r w:rsidRPr="00B959BB">
        <w:rPr>
          <w:noProof/>
          <w:lang w:val="en-AU" w:eastAsia="en-AU" w:bidi="ar-SA"/>
        </w:rPr>
        <w:lastRenderedPageBreak/>
        <w:drawing>
          <wp:inline distT="0" distB="0" distL="0" distR="0" wp14:anchorId="627983F8" wp14:editId="6AC8AAD1">
            <wp:extent cx="6493087" cy="8633637"/>
            <wp:effectExtent l="19050" t="19050" r="22225" b="15240"/>
            <wp:docPr id="109" name="Picture 109" descr="Figure A 16 Temporal trends in PSII-HEq with respect to flow rate of rivers influencing the Repulse Bay passive sampler site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495712" cy="8637128"/>
                    </a:xfrm>
                    <a:prstGeom prst="rect">
                      <a:avLst/>
                    </a:prstGeom>
                    <a:noFill/>
                    <a:ln>
                      <a:solidFill>
                        <a:schemeClr val="tx1"/>
                      </a:solidFill>
                    </a:ln>
                  </pic:spPr>
                </pic:pic>
              </a:graphicData>
            </a:graphic>
          </wp:inline>
        </w:drawing>
      </w:r>
    </w:p>
    <w:p w14:paraId="58ADBE6B" w14:textId="77777777" w:rsidR="0059608E" w:rsidRPr="00E672AE" w:rsidRDefault="00E672AE" w:rsidP="00E672AE">
      <w:pPr>
        <w:pStyle w:val="Caption"/>
        <w:jc w:val="center"/>
        <w:rPr>
          <w:b w:val="0"/>
        </w:rPr>
      </w:pPr>
      <w:bookmarkStart w:id="1035" w:name="_Toc462651991"/>
      <w:r>
        <w:t xml:space="preserve">Figure A </w:t>
      </w:r>
      <w:r>
        <w:fldChar w:fldCharType="begin"/>
      </w:r>
      <w:r>
        <w:instrText xml:space="preserve"> SEQ Figure_A \* ARABIC </w:instrText>
      </w:r>
      <w:r>
        <w:fldChar w:fldCharType="separate"/>
      </w:r>
      <w:r w:rsidR="00E51A34">
        <w:rPr>
          <w:noProof/>
        </w:rPr>
        <w:t>16</w:t>
      </w:r>
      <w:r>
        <w:fldChar w:fldCharType="end"/>
      </w:r>
      <w:r>
        <w:t xml:space="preserve"> Temporal trends in PSII-HEq with respect to flow rate of rivers influencing the Repulse Bay passive sampler site in the Mackay Whitsunday region since monitoring commenced</w:t>
      </w:r>
      <w:bookmarkEnd w:id="1035"/>
    </w:p>
    <w:p w14:paraId="1C6EE724" w14:textId="77777777" w:rsidR="0059608E" w:rsidRDefault="0059608E" w:rsidP="006130D4">
      <w:pPr>
        <w:pStyle w:val="Caption"/>
        <w:jc w:val="center"/>
      </w:pPr>
      <w:r>
        <w:t xml:space="preserve"> </w:t>
      </w:r>
      <w:r w:rsidRPr="008732D0">
        <w:rPr>
          <w:b w:val="0"/>
        </w:rPr>
        <w:t>(Flow data provided by Department of Environment and Resource Management, Stream Gauging Network)</w:t>
      </w:r>
      <w:r>
        <w:rPr>
          <w:b w:val="0"/>
        </w:rPr>
        <w:t xml:space="preserve"> Colour class data provided by Dieter Tracey (JCU)</w:t>
      </w:r>
    </w:p>
    <w:p w14:paraId="65A60281" w14:textId="77777777" w:rsidR="00E672AE" w:rsidRDefault="0059608E" w:rsidP="00E672AE">
      <w:pPr>
        <w:keepNext/>
      </w:pPr>
      <w:r w:rsidRPr="00482070">
        <w:rPr>
          <w:noProof/>
          <w:lang w:val="en-AU" w:eastAsia="en-AU" w:bidi="ar-SA"/>
        </w:rPr>
        <w:lastRenderedPageBreak/>
        <w:drawing>
          <wp:inline distT="0" distB="0" distL="0" distR="0" wp14:anchorId="2F4DF915" wp14:editId="5D59567F">
            <wp:extent cx="6371106" cy="8484781"/>
            <wp:effectExtent l="19050" t="19050" r="10795" b="12065"/>
            <wp:docPr id="110" name="Picture 110" descr="Figure A 17 Temporal trends in PSII-HEq with respect to flow rate of rivers influencing the Round/ Flat Top passive sampler site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393806" cy="8515012"/>
                    </a:xfrm>
                    <a:prstGeom prst="rect">
                      <a:avLst/>
                    </a:prstGeom>
                    <a:noFill/>
                    <a:ln>
                      <a:solidFill>
                        <a:schemeClr val="tx1"/>
                      </a:solidFill>
                    </a:ln>
                  </pic:spPr>
                </pic:pic>
              </a:graphicData>
            </a:graphic>
          </wp:inline>
        </w:drawing>
      </w:r>
    </w:p>
    <w:p w14:paraId="2CBAF212" w14:textId="77777777" w:rsidR="0059608E" w:rsidRDefault="00E672AE" w:rsidP="00E672AE">
      <w:pPr>
        <w:pStyle w:val="Caption"/>
        <w:jc w:val="center"/>
      </w:pPr>
      <w:bookmarkStart w:id="1036" w:name="_Toc462651992"/>
      <w:r>
        <w:t xml:space="preserve">Figure A </w:t>
      </w:r>
      <w:r>
        <w:fldChar w:fldCharType="begin"/>
      </w:r>
      <w:r>
        <w:instrText xml:space="preserve"> SEQ Figure_A \* ARABIC </w:instrText>
      </w:r>
      <w:r>
        <w:fldChar w:fldCharType="separate"/>
      </w:r>
      <w:r w:rsidR="00E51A34">
        <w:rPr>
          <w:noProof/>
        </w:rPr>
        <w:t>17</w:t>
      </w:r>
      <w:r>
        <w:fldChar w:fldCharType="end"/>
      </w:r>
      <w:r>
        <w:t xml:space="preserve"> Temporal trends in PSII-HEq with respect to flow rate of rivers influencing the Round/ Flat Top passive sampler site in the Mackay Whitsunday region since monitoring commenced</w:t>
      </w:r>
      <w:bookmarkEnd w:id="1036"/>
    </w:p>
    <w:p w14:paraId="1AE562E6" w14:textId="77777777" w:rsidR="0059608E" w:rsidRDefault="00E672AE"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6D0FDA88" w14:textId="77777777" w:rsidR="00E672AE" w:rsidRDefault="0059608E" w:rsidP="00E672AE">
      <w:pPr>
        <w:keepNext/>
        <w:jc w:val="center"/>
      </w:pPr>
      <w:r w:rsidRPr="00C93DD0">
        <w:rPr>
          <w:noProof/>
          <w:lang w:val="en-AU" w:eastAsia="en-AU" w:bidi="ar-SA"/>
        </w:rPr>
        <w:lastRenderedPageBreak/>
        <w:drawing>
          <wp:inline distT="0" distB="0" distL="0" distR="0" wp14:anchorId="475824FF" wp14:editId="1B9022D4">
            <wp:extent cx="6264241" cy="8591107"/>
            <wp:effectExtent l="19050" t="19050" r="22860" b="19685"/>
            <wp:docPr id="111" name="Picture 111" descr="Figure A 18 Temporal trends in PSII-HEq with respect to flow rate of rivers influencing the Sandy Creek passive sampler site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274282" cy="8604878"/>
                    </a:xfrm>
                    <a:prstGeom prst="rect">
                      <a:avLst/>
                    </a:prstGeom>
                    <a:noFill/>
                    <a:ln>
                      <a:solidFill>
                        <a:schemeClr val="tx1"/>
                      </a:solidFill>
                    </a:ln>
                  </pic:spPr>
                </pic:pic>
              </a:graphicData>
            </a:graphic>
          </wp:inline>
        </w:drawing>
      </w:r>
    </w:p>
    <w:p w14:paraId="143F9077" w14:textId="77777777" w:rsidR="0059608E" w:rsidRDefault="00E672AE" w:rsidP="00E672AE">
      <w:pPr>
        <w:pStyle w:val="Caption"/>
        <w:jc w:val="center"/>
      </w:pPr>
      <w:bookmarkStart w:id="1037" w:name="_Toc462651993"/>
      <w:r>
        <w:t xml:space="preserve">Figure A </w:t>
      </w:r>
      <w:r>
        <w:fldChar w:fldCharType="begin"/>
      </w:r>
      <w:r>
        <w:instrText xml:space="preserve"> SEQ Figure_A \* ARABIC </w:instrText>
      </w:r>
      <w:r>
        <w:fldChar w:fldCharType="separate"/>
      </w:r>
      <w:r w:rsidR="00E51A34">
        <w:rPr>
          <w:noProof/>
        </w:rPr>
        <w:t>18</w:t>
      </w:r>
      <w:r>
        <w:fldChar w:fldCharType="end"/>
      </w:r>
      <w:r>
        <w:t xml:space="preserve"> Temporal trends in PSII-HEq with respect to flow rate of rivers influencing the Sandy Creek passive sampler site in the Mackay Whitsunday region since monitoring commenced</w:t>
      </w:r>
      <w:bookmarkEnd w:id="1037"/>
    </w:p>
    <w:p w14:paraId="6595DED9" w14:textId="77777777" w:rsidR="0059608E" w:rsidRDefault="00E672AE"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41931ED2" w14:textId="77777777" w:rsidR="0059608E" w:rsidRDefault="0059608E" w:rsidP="006130D4">
      <w:pPr>
        <w:pStyle w:val="Caption"/>
        <w:jc w:val="both"/>
      </w:pPr>
    </w:p>
    <w:p w14:paraId="44123F06" w14:textId="77777777" w:rsidR="00E672AE" w:rsidRDefault="0059608E" w:rsidP="00E672AE">
      <w:pPr>
        <w:keepNext/>
      </w:pPr>
      <w:r w:rsidRPr="00C93DD0">
        <w:rPr>
          <w:noProof/>
          <w:lang w:val="en-AU" w:eastAsia="en-AU" w:bidi="ar-SA"/>
        </w:rPr>
        <w:lastRenderedPageBreak/>
        <w:drawing>
          <wp:inline distT="0" distB="0" distL="0" distR="0" wp14:anchorId="0394F0D7" wp14:editId="03E82913">
            <wp:extent cx="6215413" cy="8495414"/>
            <wp:effectExtent l="19050" t="19050" r="13970" b="20320"/>
            <wp:docPr id="112" name="Picture 112" descr="Figure A 19 Temporal trends in PSII-HEq with respect to flow rate of rivers influencing the Sarina Inlet passive sampler site in the Mackay Whitsunda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217864" cy="8498764"/>
                    </a:xfrm>
                    <a:prstGeom prst="rect">
                      <a:avLst/>
                    </a:prstGeom>
                    <a:noFill/>
                    <a:ln>
                      <a:solidFill>
                        <a:schemeClr val="tx1"/>
                      </a:solidFill>
                    </a:ln>
                  </pic:spPr>
                </pic:pic>
              </a:graphicData>
            </a:graphic>
          </wp:inline>
        </w:drawing>
      </w:r>
    </w:p>
    <w:p w14:paraId="0B088FC4" w14:textId="77777777" w:rsidR="0059608E" w:rsidRDefault="00E672AE" w:rsidP="007B75A5">
      <w:pPr>
        <w:pStyle w:val="Caption"/>
        <w:jc w:val="center"/>
      </w:pPr>
      <w:bookmarkStart w:id="1038" w:name="_Toc462651994"/>
      <w:r>
        <w:t xml:space="preserve">Figure A </w:t>
      </w:r>
      <w:r>
        <w:fldChar w:fldCharType="begin"/>
      </w:r>
      <w:r>
        <w:instrText xml:space="preserve"> SEQ Figure_A \* ARABIC </w:instrText>
      </w:r>
      <w:r>
        <w:fldChar w:fldCharType="separate"/>
      </w:r>
      <w:r w:rsidR="00E51A34">
        <w:rPr>
          <w:noProof/>
        </w:rPr>
        <w:t>19</w:t>
      </w:r>
      <w:r>
        <w:fldChar w:fldCharType="end"/>
      </w:r>
      <w:r>
        <w:t xml:space="preserve"> Temporal trends in PSII-HEq with respect to flow rate of rivers influencing the Sarina Inlet passive sampler site in the Mackay Whitsunday region since monitoring commenced</w:t>
      </w:r>
      <w:bookmarkEnd w:id="1038"/>
    </w:p>
    <w:p w14:paraId="628009B9" w14:textId="77777777" w:rsidR="0059608E" w:rsidRDefault="00E672AE" w:rsidP="006130D4">
      <w:pPr>
        <w:pStyle w:val="Caption"/>
        <w:jc w:val="center"/>
      </w:pPr>
      <w:r w:rsidRPr="008732D0">
        <w:rPr>
          <w:b w:val="0"/>
        </w:rPr>
        <w:t xml:space="preserve"> </w:t>
      </w:r>
      <w:r w:rsidR="0059608E" w:rsidRPr="008732D0">
        <w:rPr>
          <w:b w:val="0"/>
        </w:rPr>
        <w:t>(Flow data provided by Department of Environment and Resource Management, Stream Gauging Network)</w:t>
      </w:r>
      <w:r w:rsidR="0059608E">
        <w:rPr>
          <w:b w:val="0"/>
        </w:rPr>
        <w:t xml:space="preserve"> Colour class data provided by Dieter Tracey (JCU)</w:t>
      </w:r>
    </w:p>
    <w:p w14:paraId="6501EEE6" w14:textId="77777777" w:rsidR="0059608E" w:rsidRDefault="0059608E" w:rsidP="006130D4"/>
    <w:p w14:paraId="1636CE97" w14:textId="77777777" w:rsidR="007B75A5" w:rsidRDefault="0059608E" w:rsidP="007B75A5">
      <w:pPr>
        <w:keepNext/>
        <w:jc w:val="center"/>
      </w:pPr>
      <w:r w:rsidRPr="00C93DD0">
        <w:rPr>
          <w:noProof/>
          <w:lang w:val="en-AU" w:eastAsia="en-AU" w:bidi="ar-SA"/>
        </w:rPr>
        <w:lastRenderedPageBreak/>
        <w:drawing>
          <wp:inline distT="0" distB="0" distL="0" distR="0" wp14:anchorId="7C7C5D85" wp14:editId="4A1CAA2E">
            <wp:extent cx="6120836" cy="8431619"/>
            <wp:effectExtent l="19050" t="19050" r="13335" b="26670"/>
            <wp:docPr id="113" name="Picture 113" descr="Figure A 20 Temporal trends in PSII-HEq with respect to flow rate of rivers influencing the North Keppel Island passive sampler site in the Fitzro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36129" cy="8452685"/>
                    </a:xfrm>
                    <a:prstGeom prst="rect">
                      <a:avLst/>
                    </a:prstGeom>
                    <a:noFill/>
                    <a:ln>
                      <a:solidFill>
                        <a:schemeClr val="tx1"/>
                      </a:solidFill>
                    </a:ln>
                  </pic:spPr>
                </pic:pic>
              </a:graphicData>
            </a:graphic>
          </wp:inline>
        </w:drawing>
      </w:r>
    </w:p>
    <w:p w14:paraId="4FA032F3" w14:textId="77777777" w:rsidR="0059608E" w:rsidRDefault="007B75A5" w:rsidP="006130D4">
      <w:pPr>
        <w:pStyle w:val="Caption"/>
        <w:jc w:val="center"/>
        <w:rPr>
          <w:b w:val="0"/>
        </w:rPr>
      </w:pPr>
      <w:bookmarkStart w:id="1039" w:name="_Toc462651995"/>
      <w:r>
        <w:t xml:space="preserve">Figure A </w:t>
      </w:r>
      <w:r>
        <w:fldChar w:fldCharType="begin"/>
      </w:r>
      <w:r>
        <w:instrText xml:space="preserve"> SEQ Figure_A \* ARABIC </w:instrText>
      </w:r>
      <w:r>
        <w:fldChar w:fldCharType="separate"/>
      </w:r>
      <w:r w:rsidR="00E51A34">
        <w:rPr>
          <w:noProof/>
        </w:rPr>
        <w:t>20</w:t>
      </w:r>
      <w:r>
        <w:fldChar w:fldCharType="end"/>
      </w:r>
      <w:r>
        <w:t xml:space="preserve"> Temporal trends in PSII-HEq with respect to flow rate of rivers influencing the North Keppel Island passive sampler site in the Fitzroy region since monitoring commenced</w:t>
      </w:r>
      <w:bookmarkEnd w:id="1039"/>
    </w:p>
    <w:p w14:paraId="4FCF61AD" w14:textId="77777777" w:rsidR="0059608E" w:rsidRDefault="0059608E" w:rsidP="006130D4">
      <w:pPr>
        <w:pStyle w:val="Caption"/>
        <w:jc w:val="center"/>
      </w:pPr>
      <w:r w:rsidRPr="008732D0">
        <w:rPr>
          <w:b w:val="0"/>
        </w:rPr>
        <w:t>(Flow data provided by Department of Environment and Resource Management, Stream Gauging Network)</w:t>
      </w:r>
      <w:r>
        <w:rPr>
          <w:b w:val="0"/>
        </w:rPr>
        <w:t xml:space="preserve"> Colour class data provided by Dieter Tracey (JCU)</w:t>
      </w:r>
    </w:p>
    <w:p w14:paraId="61E31C09" w14:textId="77777777" w:rsidR="0059608E" w:rsidRPr="000A27DD" w:rsidRDefault="0059608E" w:rsidP="006130D4">
      <w:pPr>
        <w:sectPr w:rsidR="0059608E" w:rsidRPr="000A27DD" w:rsidSect="006130D4">
          <w:type w:val="continuous"/>
          <w:pgSz w:w="11907" w:h="16840" w:code="9"/>
          <w:pgMar w:top="720" w:right="720" w:bottom="720" w:left="567" w:header="709" w:footer="709" w:gutter="0"/>
          <w:cols w:space="708"/>
          <w:docGrid w:linePitch="360"/>
        </w:sectPr>
      </w:pPr>
    </w:p>
    <w:p w14:paraId="60B77E94" w14:textId="77777777" w:rsidR="0059608E" w:rsidRDefault="0059608E" w:rsidP="0066689E">
      <w:pPr>
        <w:pStyle w:val="Heading1"/>
      </w:pPr>
      <w:bookmarkStart w:id="1040" w:name="_Toc461457792"/>
      <w:bookmarkStart w:id="1041" w:name="_Toc462651973"/>
      <w:bookmarkEnd w:id="1027"/>
      <w:r>
        <w:lastRenderedPageBreak/>
        <w:t>APPENDIX G – Historical concentration profiles at fixed monitoring sites</w:t>
      </w:r>
      <w:bookmarkStart w:id="1042" w:name="_Toc335640741"/>
      <w:bookmarkStart w:id="1043" w:name="_Toc335643351"/>
      <w:bookmarkEnd w:id="1040"/>
      <w:bookmarkEnd w:id="1042"/>
      <w:bookmarkEnd w:id="1043"/>
      <w:bookmarkEnd w:id="1041"/>
    </w:p>
    <w:p w14:paraId="7A7FD086" w14:textId="77777777" w:rsidR="007B75A5" w:rsidRDefault="0059608E" w:rsidP="007B75A5">
      <w:pPr>
        <w:keepNext/>
        <w:jc w:val="center"/>
      </w:pPr>
      <w:r w:rsidRPr="0098208D">
        <w:rPr>
          <w:noProof/>
          <w:lang w:val="en-AU" w:eastAsia="en-AU" w:bidi="ar-SA"/>
        </w:rPr>
        <w:drawing>
          <wp:inline distT="0" distB="0" distL="0" distR="0" wp14:anchorId="48B99215" wp14:editId="122614A3">
            <wp:extent cx="5719318" cy="8314660"/>
            <wp:effectExtent l="19050" t="19050" r="15240" b="10795"/>
            <wp:docPr id="115" name="Picture 115" descr="Figure A 21 Temporal concentration profiles of individual herbicides at Low Isl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31185" cy="8331912"/>
                    </a:xfrm>
                    <a:prstGeom prst="rect">
                      <a:avLst/>
                    </a:prstGeom>
                    <a:noFill/>
                    <a:ln>
                      <a:solidFill>
                        <a:schemeClr val="tx1"/>
                      </a:solidFill>
                    </a:ln>
                  </pic:spPr>
                </pic:pic>
              </a:graphicData>
            </a:graphic>
          </wp:inline>
        </w:drawing>
      </w:r>
    </w:p>
    <w:p w14:paraId="146F9FF1" w14:textId="77777777" w:rsidR="0059608E" w:rsidRDefault="007B75A5" w:rsidP="007B75A5">
      <w:pPr>
        <w:pStyle w:val="Caption"/>
        <w:jc w:val="center"/>
      </w:pPr>
      <w:bookmarkStart w:id="1044" w:name="_Toc462651996"/>
      <w:r>
        <w:t xml:space="preserve">Figure A </w:t>
      </w:r>
      <w:r>
        <w:fldChar w:fldCharType="begin"/>
      </w:r>
      <w:r>
        <w:instrText xml:space="preserve"> SEQ Figure_A \* ARABIC </w:instrText>
      </w:r>
      <w:r>
        <w:fldChar w:fldCharType="separate"/>
      </w:r>
      <w:r w:rsidR="00E51A34">
        <w:rPr>
          <w:noProof/>
        </w:rPr>
        <w:t>21</w:t>
      </w:r>
      <w:r>
        <w:fldChar w:fldCharType="end"/>
      </w:r>
      <w:r>
        <w:t xml:space="preserve"> </w:t>
      </w:r>
      <w:r w:rsidRPr="00F528DE">
        <w:t>Temporal concentration profiles of individual herbicides at Low Isles in the Wet Tropics region</w:t>
      </w:r>
      <w:bookmarkEnd w:id="1044"/>
    </w:p>
    <w:p w14:paraId="19578C63" w14:textId="77777777" w:rsidR="0059608E" w:rsidRPr="00FC42B1" w:rsidRDefault="0059608E" w:rsidP="006130D4">
      <w:pPr>
        <w:pStyle w:val="Caption"/>
        <w:jc w:val="center"/>
      </w:pPr>
    </w:p>
    <w:p w14:paraId="4EB16F68" w14:textId="77777777" w:rsidR="007B75A5" w:rsidRDefault="0059608E" w:rsidP="007B75A5">
      <w:pPr>
        <w:pStyle w:val="Caption"/>
        <w:keepNext/>
        <w:jc w:val="center"/>
      </w:pPr>
      <w:r w:rsidRPr="00823E28">
        <w:rPr>
          <w:noProof/>
          <w:lang w:val="en-AU" w:eastAsia="en-AU" w:bidi="ar-SA"/>
        </w:rPr>
        <w:lastRenderedPageBreak/>
        <w:drawing>
          <wp:inline distT="0" distB="0" distL="0" distR="0" wp14:anchorId="59F25EFF" wp14:editId="423335CD">
            <wp:extent cx="6064118" cy="9005776"/>
            <wp:effectExtent l="19050" t="19050" r="13335" b="24130"/>
            <wp:docPr id="116" name="Picture 116" descr="Figure A 22 Temporal concentration profiles of individual herbicides at Green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069003" cy="9013030"/>
                    </a:xfrm>
                    <a:prstGeom prst="rect">
                      <a:avLst/>
                    </a:prstGeom>
                    <a:noFill/>
                    <a:ln>
                      <a:solidFill>
                        <a:schemeClr val="tx1"/>
                      </a:solidFill>
                    </a:ln>
                  </pic:spPr>
                </pic:pic>
              </a:graphicData>
            </a:graphic>
          </wp:inline>
        </w:drawing>
      </w:r>
    </w:p>
    <w:p w14:paraId="080BC087" w14:textId="77777777" w:rsidR="0059608E" w:rsidRDefault="007B75A5" w:rsidP="00996637">
      <w:pPr>
        <w:pStyle w:val="Caption"/>
        <w:jc w:val="center"/>
      </w:pPr>
      <w:bookmarkStart w:id="1045" w:name="_Toc462651997"/>
      <w:r>
        <w:t xml:space="preserve">Figure A </w:t>
      </w:r>
      <w:r>
        <w:fldChar w:fldCharType="begin"/>
      </w:r>
      <w:r>
        <w:instrText xml:space="preserve"> SEQ Figure_A \* ARABIC </w:instrText>
      </w:r>
      <w:r>
        <w:fldChar w:fldCharType="separate"/>
      </w:r>
      <w:r w:rsidR="00E51A34">
        <w:rPr>
          <w:noProof/>
        </w:rPr>
        <w:t>22</w:t>
      </w:r>
      <w:r>
        <w:fldChar w:fldCharType="end"/>
      </w:r>
      <w:r>
        <w:t xml:space="preserve"> </w:t>
      </w:r>
      <w:r w:rsidRPr="00F528DE">
        <w:t xml:space="preserve">Temporal concentration profiles of individual herbicides at </w:t>
      </w:r>
      <w:r>
        <w:t>Green Island</w:t>
      </w:r>
      <w:r w:rsidRPr="00F528DE">
        <w:t xml:space="preserve"> in the Wet Tropics region</w:t>
      </w:r>
      <w:bookmarkEnd w:id="1045"/>
    </w:p>
    <w:p w14:paraId="45E5A30E" w14:textId="77777777" w:rsidR="00996637" w:rsidRDefault="0059608E" w:rsidP="00996637">
      <w:pPr>
        <w:keepNext/>
        <w:jc w:val="center"/>
      </w:pPr>
      <w:r w:rsidRPr="004E36D3">
        <w:rPr>
          <w:noProof/>
          <w:lang w:val="en-AU" w:eastAsia="en-AU" w:bidi="ar-SA"/>
        </w:rPr>
        <w:lastRenderedPageBreak/>
        <w:drawing>
          <wp:inline distT="0" distB="0" distL="0" distR="0" wp14:anchorId="41A3D928" wp14:editId="45CEABA6">
            <wp:extent cx="6013716" cy="9005776"/>
            <wp:effectExtent l="19050" t="19050" r="25400" b="24130"/>
            <wp:docPr id="117" name="Picture 117" descr="Figure A 23 Temporal concentration profiles of individual herbicides at Fitzro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013955" cy="9006134"/>
                    </a:xfrm>
                    <a:prstGeom prst="rect">
                      <a:avLst/>
                    </a:prstGeom>
                    <a:noFill/>
                    <a:ln>
                      <a:solidFill>
                        <a:schemeClr val="tx1"/>
                      </a:solidFill>
                    </a:ln>
                  </pic:spPr>
                </pic:pic>
              </a:graphicData>
            </a:graphic>
          </wp:inline>
        </w:drawing>
      </w:r>
    </w:p>
    <w:p w14:paraId="15AD29C7" w14:textId="77777777" w:rsidR="0059608E" w:rsidRDefault="00996637" w:rsidP="00996637">
      <w:pPr>
        <w:pStyle w:val="Caption"/>
        <w:jc w:val="center"/>
      </w:pPr>
      <w:bookmarkStart w:id="1046" w:name="_Toc462651998"/>
      <w:r>
        <w:t xml:space="preserve">Figure A </w:t>
      </w:r>
      <w:r>
        <w:fldChar w:fldCharType="begin"/>
      </w:r>
      <w:r>
        <w:instrText xml:space="preserve"> SEQ Figure_A \* ARABIC </w:instrText>
      </w:r>
      <w:r>
        <w:fldChar w:fldCharType="separate"/>
      </w:r>
      <w:r w:rsidR="00E51A34">
        <w:rPr>
          <w:noProof/>
        </w:rPr>
        <w:t>23</w:t>
      </w:r>
      <w:r>
        <w:fldChar w:fldCharType="end"/>
      </w:r>
      <w:r>
        <w:t xml:space="preserve"> Te</w:t>
      </w:r>
      <w:r w:rsidRPr="00F528DE">
        <w:t xml:space="preserve">mporal concentration profiles of individual herbicides at </w:t>
      </w:r>
      <w:r>
        <w:t>Fitzroy Island</w:t>
      </w:r>
      <w:r w:rsidRPr="00F528DE">
        <w:t xml:space="preserve"> in the Wet Tropics region</w:t>
      </w:r>
      <w:bookmarkEnd w:id="1046"/>
    </w:p>
    <w:p w14:paraId="2F287B08" w14:textId="77777777" w:rsidR="00996637" w:rsidRDefault="0059608E" w:rsidP="00996637">
      <w:pPr>
        <w:keepNext/>
        <w:jc w:val="center"/>
      </w:pPr>
      <w:r w:rsidRPr="00CB62C0">
        <w:rPr>
          <w:noProof/>
          <w:lang w:val="en-AU" w:eastAsia="en-AU" w:bidi="ar-SA"/>
        </w:rPr>
        <w:lastRenderedPageBreak/>
        <w:drawing>
          <wp:inline distT="0" distB="0" distL="0" distR="0" wp14:anchorId="249BCA29" wp14:editId="07A74BFB">
            <wp:extent cx="6156251" cy="8957194"/>
            <wp:effectExtent l="19050" t="19050" r="16510" b="15875"/>
            <wp:docPr id="118" name="Picture 118" descr="Figure A 24 Temporal concentration profiles of individual herbicides at Dunk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158678" cy="8960726"/>
                    </a:xfrm>
                    <a:prstGeom prst="rect">
                      <a:avLst/>
                    </a:prstGeom>
                    <a:noFill/>
                    <a:ln>
                      <a:solidFill>
                        <a:schemeClr val="tx1"/>
                      </a:solidFill>
                    </a:ln>
                  </pic:spPr>
                </pic:pic>
              </a:graphicData>
            </a:graphic>
          </wp:inline>
        </w:drawing>
      </w:r>
    </w:p>
    <w:p w14:paraId="3F049D2D" w14:textId="77777777" w:rsidR="0059608E" w:rsidRDefault="00996637" w:rsidP="00996637">
      <w:pPr>
        <w:pStyle w:val="Caption"/>
        <w:jc w:val="center"/>
      </w:pPr>
      <w:bookmarkStart w:id="1047" w:name="_Toc462651999"/>
      <w:r>
        <w:t xml:space="preserve">Figure A </w:t>
      </w:r>
      <w:r>
        <w:fldChar w:fldCharType="begin"/>
      </w:r>
      <w:r>
        <w:instrText xml:space="preserve"> SEQ Figure_A \* ARABIC </w:instrText>
      </w:r>
      <w:r>
        <w:fldChar w:fldCharType="separate"/>
      </w:r>
      <w:r w:rsidR="00E51A34">
        <w:rPr>
          <w:noProof/>
        </w:rPr>
        <w:t>24</w:t>
      </w:r>
      <w:r>
        <w:fldChar w:fldCharType="end"/>
      </w:r>
      <w:r>
        <w:t xml:space="preserve"> Temporal concentration profiles of individual herbicides at Dunk Island in the Wet Tropics region</w:t>
      </w:r>
      <w:bookmarkEnd w:id="1047"/>
    </w:p>
    <w:p w14:paraId="2F0E94D3" w14:textId="77777777" w:rsidR="00996637" w:rsidRDefault="0059608E" w:rsidP="00996637">
      <w:pPr>
        <w:keepNext/>
      </w:pPr>
      <w:r w:rsidRPr="00DB32A3">
        <w:rPr>
          <w:noProof/>
          <w:lang w:val="en-AU" w:eastAsia="en-AU" w:bidi="ar-SA"/>
        </w:rPr>
        <w:lastRenderedPageBreak/>
        <w:drawing>
          <wp:inline distT="0" distB="0" distL="0" distR="0" wp14:anchorId="381AA1CB" wp14:editId="70BDB8C4">
            <wp:extent cx="5968389" cy="8910083"/>
            <wp:effectExtent l="19050" t="19050" r="13335" b="24765"/>
            <wp:docPr id="119" name="Picture 119" descr="Figure A 25 Temporal concentration profiles of individual herbicides at Normanb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71363" cy="8914523"/>
                    </a:xfrm>
                    <a:prstGeom prst="rect">
                      <a:avLst/>
                    </a:prstGeom>
                    <a:noFill/>
                    <a:ln>
                      <a:solidFill>
                        <a:schemeClr val="tx1"/>
                      </a:solidFill>
                    </a:ln>
                  </pic:spPr>
                </pic:pic>
              </a:graphicData>
            </a:graphic>
          </wp:inline>
        </w:drawing>
      </w:r>
    </w:p>
    <w:p w14:paraId="5D703572" w14:textId="77777777" w:rsidR="0059608E" w:rsidRDefault="00996637" w:rsidP="00996637">
      <w:pPr>
        <w:pStyle w:val="Caption"/>
        <w:jc w:val="both"/>
      </w:pPr>
      <w:bookmarkStart w:id="1048" w:name="_Toc462652000"/>
      <w:r>
        <w:t xml:space="preserve">Figure A </w:t>
      </w:r>
      <w:r>
        <w:fldChar w:fldCharType="begin"/>
      </w:r>
      <w:r>
        <w:instrText xml:space="preserve"> SEQ Figure_A \* ARABIC </w:instrText>
      </w:r>
      <w:r>
        <w:fldChar w:fldCharType="separate"/>
      </w:r>
      <w:r w:rsidR="00E51A34">
        <w:rPr>
          <w:noProof/>
        </w:rPr>
        <w:t>25</w:t>
      </w:r>
      <w:r>
        <w:fldChar w:fldCharType="end"/>
      </w:r>
      <w:r>
        <w:t xml:space="preserve"> Temporal concentration profiles of individual herbicides at Normanby Island in the Wet Tropics region</w:t>
      </w:r>
      <w:bookmarkEnd w:id="1048"/>
    </w:p>
    <w:p w14:paraId="34BF4B9A" w14:textId="77777777" w:rsidR="002E31D7" w:rsidRDefault="0059608E" w:rsidP="002E31D7">
      <w:pPr>
        <w:keepNext/>
      </w:pPr>
      <w:r w:rsidRPr="00900879">
        <w:rPr>
          <w:noProof/>
          <w:lang w:val="en-AU" w:eastAsia="en-AU" w:bidi="ar-SA"/>
        </w:rPr>
        <w:lastRenderedPageBreak/>
        <w:drawing>
          <wp:inline distT="0" distB="0" distL="0" distR="0" wp14:anchorId="3966371B" wp14:editId="215CE30C">
            <wp:extent cx="6431751" cy="8898167"/>
            <wp:effectExtent l="19050" t="19050" r="26670" b="17780"/>
            <wp:docPr id="120" name="Picture 120" descr="Figure A 26 Temporal concentration profiles of individual herbicides at Lucinda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435191" cy="8902926"/>
                    </a:xfrm>
                    <a:prstGeom prst="rect">
                      <a:avLst/>
                    </a:prstGeom>
                    <a:noFill/>
                    <a:ln>
                      <a:solidFill>
                        <a:schemeClr val="tx1"/>
                      </a:solidFill>
                    </a:ln>
                  </pic:spPr>
                </pic:pic>
              </a:graphicData>
            </a:graphic>
          </wp:inline>
        </w:drawing>
      </w:r>
    </w:p>
    <w:p w14:paraId="29C43015" w14:textId="77777777" w:rsidR="0059608E" w:rsidRDefault="002E31D7" w:rsidP="002E31D7">
      <w:pPr>
        <w:pStyle w:val="Caption"/>
        <w:jc w:val="both"/>
      </w:pPr>
      <w:bookmarkStart w:id="1049" w:name="_Toc462652001"/>
      <w:r>
        <w:t xml:space="preserve">Figure A </w:t>
      </w:r>
      <w:r>
        <w:fldChar w:fldCharType="begin"/>
      </w:r>
      <w:r>
        <w:instrText xml:space="preserve"> SEQ Figure_A \* ARABIC </w:instrText>
      </w:r>
      <w:r>
        <w:fldChar w:fldCharType="separate"/>
      </w:r>
      <w:r w:rsidR="00E51A34">
        <w:rPr>
          <w:noProof/>
        </w:rPr>
        <w:t>26</w:t>
      </w:r>
      <w:r>
        <w:fldChar w:fldCharType="end"/>
      </w:r>
      <w:r>
        <w:t xml:space="preserve"> Temporal concentration profiles of individual herbicides at Lucinda in the Wet Tropics region</w:t>
      </w:r>
      <w:bookmarkEnd w:id="1049"/>
    </w:p>
    <w:p w14:paraId="66756700" w14:textId="77777777" w:rsidR="002E31D7" w:rsidRDefault="0059608E" w:rsidP="002E31D7">
      <w:pPr>
        <w:keepNext/>
        <w:jc w:val="center"/>
      </w:pPr>
      <w:r w:rsidRPr="00DC2A58">
        <w:rPr>
          <w:noProof/>
          <w:lang w:val="en-AU" w:eastAsia="en-AU" w:bidi="ar-SA"/>
        </w:rPr>
        <w:lastRenderedPageBreak/>
        <w:drawing>
          <wp:inline distT="0" distB="0" distL="0" distR="0" wp14:anchorId="037F0DD8" wp14:editId="3C42B9B6">
            <wp:extent cx="5937302" cy="8963246"/>
            <wp:effectExtent l="19050" t="19050" r="25400" b="28575"/>
            <wp:docPr id="122" name="Picture 122" descr="Figure A 27 Temporal concentration profiles of individual herbicides at Orpheus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37579" cy="8963664"/>
                    </a:xfrm>
                    <a:prstGeom prst="rect">
                      <a:avLst/>
                    </a:prstGeom>
                    <a:noFill/>
                    <a:ln>
                      <a:solidFill>
                        <a:schemeClr val="tx1"/>
                      </a:solidFill>
                    </a:ln>
                  </pic:spPr>
                </pic:pic>
              </a:graphicData>
            </a:graphic>
          </wp:inline>
        </w:drawing>
      </w:r>
    </w:p>
    <w:p w14:paraId="40FD4EE1" w14:textId="77777777" w:rsidR="0059608E" w:rsidRDefault="002E31D7" w:rsidP="002E31D7">
      <w:pPr>
        <w:pStyle w:val="Caption"/>
        <w:jc w:val="center"/>
      </w:pPr>
      <w:bookmarkStart w:id="1050" w:name="_Toc462652002"/>
      <w:r>
        <w:t xml:space="preserve">Figure A </w:t>
      </w:r>
      <w:r>
        <w:fldChar w:fldCharType="begin"/>
      </w:r>
      <w:r>
        <w:instrText xml:space="preserve"> SEQ Figure_A \* ARABIC </w:instrText>
      </w:r>
      <w:r>
        <w:fldChar w:fldCharType="separate"/>
      </w:r>
      <w:r w:rsidR="00E51A34">
        <w:rPr>
          <w:noProof/>
        </w:rPr>
        <w:t>27</w:t>
      </w:r>
      <w:r>
        <w:fldChar w:fldCharType="end"/>
      </w:r>
      <w:r>
        <w:t xml:space="preserve"> Te</w:t>
      </w:r>
      <w:r w:rsidRPr="00F528DE">
        <w:t xml:space="preserve">mporal concentration profiles of individual herbicides at </w:t>
      </w:r>
      <w:r>
        <w:t>Orpheus Island</w:t>
      </w:r>
      <w:r w:rsidRPr="00F528DE">
        <w:t xml:space="preserve"> in the </w:t>
      </w:r>
      <w:r>
        <w:t>Burdekin</w:t>
      </w:r>
      <w:r w:rsidRPr="00F528DE">
        <w:t xml:space="preserve"> region</w:t>
      </w:r>
      <w:bookmarkEnd w:id="1050"/>
    </w:p>
    <w:p w14:paraId="50C7EC72" w14:textId="77777777" w:rsidR="002E31D7" w:rsidRDefault="0059608E" w:rsidP="002E31D7">
      <w:pPr>
        <w:keepNext/>
        <w:jc w:val="center"/>
      </w:pPr>
      <w:r w:rsidRPr="00823E96">
        <w:rPr>
          <w:noProof/>
          <w:lang w:val="en-AU" w:eastAsia="en-AU" w:bidi="ar-SA"/>
        </w:rPr>
        <w:lastRenderedPageBreak/>
        <w:drawing>
          <wp:inline distT="0" distB="0" distL="0" distR="0" wp14:anchorId="66DB5554" wp14:editId="07656C08">
            <wp:extent cx="5891656" cy="8931349"/>
            <wp:effectExtent l="19050" t="19050" r="13970" b="22225"/>
            <wp:docPr id="127" name="Picture 127" descr="Figure A 28 Temporal concentration profiles of individual herbicides at Cape Cleve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899218" cy="8942812"/>
                    </a:xfrm>
                    <a:prstGeom prst="rect">
                      <a:avLst/>
                    </a:prstGeom>
                    <a:noFill/>
                    <a:ln>
                      <a:solidFill>
                        <a:schemeClr val="tx1"/>
                      </a:solidFill>
                    </a:ln>
                  </pic:spPr>
                </pic:pic>
              </a:graphicData>
            </a:graphic>
          </wp:inline>
        </w:drawing>
      </w:r>
    </w:p>
    <w:p w14:paraId="20C6C209" w14:textId="77777777" w:rsidR="0059608E" w:rsidRDefault="002E31D7" w:rsidP="002E31D7">
      <w:pPr>
        <w:pStyle w:val="Caption"/>
        <w:jc w:val="center"/>
      </w:pPr>
      <w:bookmarkStart w:id="1051" w:name="_Toc462652003"/>
      <w:r>
        <w:t xml:space="preserve">Figure A </w:t>
      </w:r>
      <w:r>
        <w:fldChar w:fldCharType="begin"/>
      </w:r>
      <w:r>
        <w:instrText xml:space="preserve"> SEQ Figure_A \* ARABIC </w:instrText>
      </w:r>
      <w:r>
        <w:fldChar w:fldCharType="separate"/>
      </w:r>
      <w:r w:rsidR="00E51A34">
        <w:rPr>
          <w:noProof/>
        </w:rPr>
        <w:t>28</w:t>
      </w:r>
      <w:r>
        <w:fldChar w:fldCharType="end"/>
      </w:r>
      <w:r>
        <w:t xml:space="preserve"> Temporal concentration profiles of individual herbicides at Cape Cleveland in the Burdekin region</w:t>
      </w:r>
      <w:bookmarkEnd w:id="1051"/>
    </w:p>
    <w:p w14:paraId="040E86F9" w14:textId="77777777" w:rsidR="0003095A" w:rsidRDefault="0059608E" w:rsidP="0003095A">
      <w:pPr>
        <w:pStyle w:val="Caption"/>
        <w:keepNext/>
        <w:jc w:val="center"/>
      </w:pPr>
      <w:r w:rsidRPr="00A9607D">
        <w:rPr>
          <w:noProof/>
          <w:lang w:val="en-AU" w:eastAsia="en-AU" w:bidi="ar-SA"/>
        </w:rPr>
        <w:lastRenderedPageBreak/>
        <w:drawing>
          <wp:inline distT="0" distB="0" distL="0" distR="0" wp14:anchorId="58EE33B0" wp14:editId="4541DD66">
            <wp:extent cx="6058919" cy="8814338"/>
            <wp:effectExtent l="19050" t="19050" r="18415" b="25400"/>
            <wp:docPr id="124" name="Picture 124" descr="Figure A 29 Temporal concentration profiles of individual herbicides at Barratta Creek mouth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062887" cy="8820111"/>
                    </a:xfrm>
                    <a:prstGeom prst="rect">
                      <a:avLst/>
                    </a:prstGeom>
                    <a:noFill/>
                    <a:ln>
                      <a:solidFill>
                        <a:schemeClr val="tx1"/>
                      </a:solidFill>
                    </a:ln>
                  </pic:spPr>
                </pic:pic>
              </a:graphicData>
            </a:graphic>
          </wp:inline>
        </w:drawing>
      </w:r>
    </w:p>
    <w:p w14:paraId="3C5CBEAC" w14:textId="77777777" w:rsidR="0059608E" w:rsidRDefault="0003095A" w:rsidP="0003095A">
      <w:pPr>
        <w:pStyle w:val="Caption"/>
        <w:jc w:val="center"/>
      </w:pPr>
      <w:bookmarkStart w:id="1052" w:name="_Toc462652004"/>
      <w:r>
        <w:t xml:space="preserve">Figure A </w:t>
      </w:r>
      <w:r>
        <w:fldChar w:fldCharType="begin"/>
      </w:r>
      <w:r>
        <w:instrText xml:space="preserve"> SEQ Figure_A \* ARABIC </w:instrText>
      </w:r>
      <w:r>
        <w:fldChar w:fldCharType="separate"/>
      </w:r>
      <w:r w:rsidR="00E51A34">
        <w:rPr>
          <w:noProof/>
        </w:rPr>
        <w:t>29</w:t>
      </w:r>
      <w:r>
        <w:fldChar w:fldCharType="end"/>
      </w:r>
      <w:r>
        <w:t xml:space="preserve"> Te</w:t>
      </w:r>
      <w:r w:rsidRPr="00F528DE">
        <w:t xml:space="preserve">mporal concentration profiles of individual herbicides at </w:t>
      </w:r>
      <w:r>
        <w:t>Barratta Creek mouth</w:t>
      </w:r>
      <w:r w:rsidRPr="00F528DE">
        <w:t xml:space="preserve"> in the </w:t>
      </w:r>
      <w:r>
        <w:t>Burdekin</w:t>
      </w:r>
      <w:r w:rsidRPr="00F528DE">
        <w:t xml:space="preserve"> region</w:t>
      </w:r>
      <w:bookmarkEnd w:id="1052"/>
    </w:p>
    <w:p w14:paraId="4D0B9983" w14:textId="77777777" w:rsidR="0059608E" w:rsidRDefault="0059608E" w:rsidP="006130D4"/>
    <w:p w14:paraId="510D05F0" w14:textId="77777777" w:rsidR="0003095A" w:rsidRDefault="0059608E" w:rsidP="0003095A">
      <w:pPr>
        <w:keepNext/>
      </w:pPr>
      <w:r w:rsidRPr="00CC7244">
        <w:rPr>
          <w:noProof/>
          <w:lang w:val="en-AU" w:eastAsia="en-AU" w:bidi="ar-SA"/>
        </w:rPr>
        <w:lastRenderedPageBreak/>
        <w:drawing>
          <wp:inline distT="0" distB="0" distL="0" distR="0" wp14:anchorId="0AD77291" wp14:editId="0652D65B">
            <wp:extent cx="6743700" cy="4981273"/>
            <wp:effectExtent l="19050" t="19050" r="19050" b="10160"/>
            <wp:docPr id="125" name="Picture 125" descr="Figure A 30 Temporal concentration profiles of individual herbicides at the Barratta Creek case study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743700" cy="4981273"/>
                    </a:xfrm>
                    <a:prstGeom prst="rect">
                      <a:avLst/>
                    </a:prstGeom>
                    <a:noFill/>
                    <a:ln>
                      <a:solidFill>
                        <a:schemeClr val="tx1"/>
                      </a:solidFill>
                    </a:ln>
                  </pic:spPr>
                </pic:pic>
              </a:graphicData>
            </a:graphic>
          </wp:inline>
        </w:drawing>
      </w:r>
    </w:p>
    <w:p w14:paraId="7BA9AFBC" w14:textId="77777777" w:rsidR="0059608E" w:rsidRDefault="0003095A" w:rsidP="0003095A">
      <w:pPr>
        <w:pStyle w:val="Caption"/>
        <w:jc w:val="both"/>
      </w:pPr>
      <w:bookmarkStart w:id="1053" w:name="_Toc462652005"/>
      <w:r>
        <w:t xml:space="preserve">Figure A </w:t>
      </w:r>
      <w:r>
        <w:fldChar w:fldCharType="begin"/>
      </w:r>
      <w:r>
        <w:instrText xml:space="preserve"> SEQ Figure_A \* ARABIC </w:instrText>
      </w:r>
      <w:r>
        <w:fldChar w:fldCharType="separate"/>
      </w:r>
      <w:r w:rsidR="00E51A34">
        <w:rPr>
          <w:noProof/>
        </w:rPr>
        <w:t>30</w:t>
      </w:r>
      <w:r>
        <w:fldChar w:fldCharType="end"/>
      </w:r>
      <w:r>
        <w:t xml:space="preserve"> Temporal concentration profiles of individual herbicides at the Barratta Creek case study sites in the Burdekin region</w:t>
      </w:r>
      <w:bookmarkEnd w:id="1053"/>
    </w:p>
    <w:p w14:paraId="37C7C08D" w14:textId="77777777" w:rsidR="0059608E" w:rsidRPr="00617A57" w:rsidRDefault="0059608E" w:rsidP="006130D4"/>
    <w:p w14:paraId="0532A171" w14:textId="77777777" w:rsidR="0003095A" w:rsidRDefault="0059608E" w:rsidP="0003095A">
      <w:pPr>
        <w:keepNext/>
        <w:jc w:val="center"/>
      </w:pPr>
      <w:r w:rsidRPr="00564870">
        <w:rPr>
          <w:b/>
          <w:bCs/>
          <w:noProof/>
          <w:sz w:val="18"/>
          <w:szCs w:val="18"/>
          <w:lang w:val="en-AU" w:eastAsia="en-AU" w:bidi="ar-SA"/>
        </w:rPr>
        <w:lastRenderedPageBreak/>
        <w:drawing>
          <wp:inline distT="0" distB="0" distL="0" distR="0" wp14:anchorId="32F624F2" wp14:editId="27F4211F">
            <wp:extent cx="5983035" cy="8984511"/>
            <wp:effectExtent l="19050" t="19050" r="17780" b="26670"/>
            <wp:docPr id="128" name="Picture 128" descr="Figure A 31 Temporal concentration profiles of individual herbicides at Outer Whitsund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982814" cy="8984179"/>
                    </a:xfrm>
                    <a:prstGeom prst="rect">
                      <a:avLst/>
                    </a:prstGeom>
                    <a:noFill/>
                    <a:ln>
                      <a:solidFill>
                        <a:schemeClr val="tx1"/>
                      </a:solidFill>
                    </a:ln>
                  </pic:spPr>
                </pic:pic>
              </a:graphicData>
            </a:graphic>
          </wp:inline>
        </w:drawing>
      </w:r>
    </w:p>
    <w:p w14:paraId="026812B8" w14:textId="77777777" w:rsidR="0059608E" w:rsidRDefault="0003095A" w:rsidP="0003095A">
      <w:pPr>
        <w:pStyle w:val="Caption"/>
        <w:jc w:val="center"/>
      </w:pPr>
      <w:bookmarkStart w:id="1054" w:name="_Toc462652006"/>
      <w:r>
        <w:t xml:space="preserve">Figure A </w:t>
      </w:r>
      <w:r>
        <w:fldChar w:fldCharType="begin"/>
      </w:r>
      <w:r>
        <w:instrText xml:space="preserve"> SEQ Figure_A \* ARABIC </w:instrText>
      </w:r>
      <w:r>
        <w:fldChar w:fldCharType="separate"/>
      </w:r>
      <w:r w:rsidR="00E51A34">
        <w:rPr>
          <w:noProof/>
        </w:rPr>
        <w:t>31</w:t>
      </w:r>
      <w:r>
        <w:fldChar w:fldCharType="end"/>
      </w:r>
      <w:r>
        <w:t xml:space="preserve"> Temporal </w:t>
      </w:r>
      <w:r w:rsidRPr="00F528DE">
        <w:t xml:space="preserve">concentration profiles of individual herbicides at </w:t>
      </w:r>
      <w:r>
        <w:t>Outer Whitsunday in the Mackay Whitsunday</w:t>
      </w:r>
      <w:r w:rsidRPr="00F528DE">
        <w:t xml:space="preserve"> region</w:t>
      </w:r>
      <w:bookmarkEnd w:id="1054"/>
    </w:p>
    <w:p w14:paraId="6DA2C5D4" w14:textId="77777777" w:rsidR="0003095A" w:rsidRDefault="0059608E" w:rsidP="0003095A">
      <w:pPr>
        <w:keepNext/>
        <w:jc w:val="center"/>
      </w:pPr>
      <w:r w:rsidRPr="00D16632">
        <w:rPr>
          <w:noProof/>
          <w:lang w:val="en-AU" w:eastAsia="en-AU" w:bidi="ar-SA"/>
        </w:rPr>
        <w:lastRenderedPageBreak/>
        <w:drawing>
          <wp:inline distT="0" distB="0" distL="0" distR="0" wp14:anchorId="5BA7677E" wp14:editId="403A46AF">
            <wp:extent cx="5999037" cy="8984511"/>
            <wp:effectExtent l="19050" t="19050" r="20955" b="26670"/>
            <wp:docPr id="129" name="Picture 129" descr="Figure A 32 Temporal concentration profiles of individual herbicides at Repulse B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998953" cy="8984385"/>
                    </a:xfrm>
                    <a:prstGeom prst="rect">
                      <a:avLst/>
                    </a:prstGeom>
                    <a:noFill/>
                    <a:ln>
                      <a:solidFill>
                        <a:schemeClr val="tx1"/>
                      </a:solidFill>
                    </a:ln>
                  </pic:spPr>
                </pic:pic>
              </a:graphicData>
            </a:graphic>
          </wp:inline>
        </w:drawing>
      </w:r>
    </w:p>
    <w:p w14:paraId="188C3D92" w14:textId="77777777" w:rsidR="0059608E" w:rsidRDefault="0003095A" w:rsidP="0003095A">
      <w:pPr>
        <w:pStyle w:val="Caption"/>
        <w:jc w:val="center"/>
      </w:pPr>
      <w:bookmarkStart w:id="1055" w:name="_Toc462652007"/>
      <w:r>
        <w:t xml:space="preserve">Figure A </w:t>
      </w:r>
      <w:r>
        <w:fldChar w:fldCharType="begin"/>
      </w:r>
      <w:r>
        <w:instrText xml:space="preserve"> SEQ Figure_A \* ARABIC </w:instrText>
      </w:r>
      <w:r>
        <w:fldChar w:fldCharType="separate"/>
      </w:r>
      <w:r w:rsidR="00E51A34">
        <w:rPr>
          <w:noProof/>
        </w:rPr>
        <w:t>32</w:t>
      </w:r>
      <w:r>
        <w:fldChar w:fldCharType="end"/>
      </w:r>
      <w:r>
        <w:t xml:space="preserve"> Temporal </w:t>
      </w:r>
      <w:r w:rsidRPr="00F528DE">
        <w:t xml:space="preserve">concentration profiles of individual herbicides at </w:t>
      </w:r>
      <w:r>
        <w:t>Repulse Bay in the Mackay Whitsunday</w:t>
      </w:r>
      <w:r w:rsidRPr="00F528DE">
        <w:t xml:space="preserve"> region</w:t>
      </w:r>
      <w:bookmarkEnd w:id="1055"/>
    </w:p>
    <w:p w14:paraId="5722D5A4" w14:textId="77777777" w:rsidR="00DF2C51" w:rsidRDefault="0059608E" w:rsidP="00DF2C51">
      <w:pPr>
        <w:keepNext/>
        <w:jc w:val="center"/>
      </w:pPr>
      <w:r w:rsidRPr="00D16632">
        <w:rPr>
          <w:noProof/>
          <w:lang w:val="en-AU" w:eastAsia="en-AU" w:bidi="ar-SA"/>
        </w:rPr>
        <w:lastRenderedPageBreak/>
        <w:drawing>
          <wp:inline distT="0" distB="0" distL="0" distR="0" wp14:anchorId="16B66F5C" wp14:editId="6FDAD058">
            <wp:extent cx="5794697" cy="8882101"/>
            <wp:effectExtent l="19050" t="19050" r="15875" b="14605"/>
            <wp:docPr id="130" name="Picture 130" descr="Figure A 33 Temporal concentration profiles of individual herbicides at Round/ Flat Top Island in the Mackay Whitsunday reg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794766" cy="8882206"/>
                    </a:xfrm>
                    <a:prstGeom prst="rect">
                      <a:avLst/>
                    </a:prstGeom>
                    <a:noFill/>
                    <a:ln>
                      <a:solidFill>
                        <a:schemeClr val="tx1"/>
                      </a:solidFill>
                    </a:ln>
                  </pic:spPr>
                </pic:pic>
              </a:graphicData>
            </a:graphic>
          </wp:inline>
        </w:drawing>
      </w:r>
    </w:p>
    <w:p w14:paraId="6E6AD8FB" w14:textId="77777777" w:rsidR="0059608E" w:rsidRDefault="00DF2C51" w:rsidP="00DF2C51">
      <w:pPr>
        <w:pStyle w:val="Caption"/>
        <w:jc w:val="center"/>
      </w:pPr>
      <w:bookmarkStart w:id="1056" w:name="_Toc462652008"/>
      <w:r>
        <w:t xml:space="preserve">Figure A </w:t>
      </w:r>
      <w:r>
        <w:fldChar w:fldCharType="begin"/>
      </w:r>
      <w:r>
        <w:instrText xml:space="preserve"> SEQ Figure_A \* ARABIC </w:instrText>
      </w:r>
      <w:r>
        <w:fldChar w:fldCharType="separate"/>
      </w:r>
      <w:r w:rsidR="00E51A34">
        <w:rPr>
          <w:noProof/>
        </w:rPr>
        <w:t>33</w:t>
      </w:r>
      <w:r>
        <w:fldChar w:fldCharType="end"/>
      </w:r>
      <w:r>
        <w:t xml:space="preserve"> Temporal </w:t>
      </w:r>
      <w:r w:rsidRPr="00F528DE">
        <w:t xml:space="preserve">concentration profiles of individual herbicides at </w:t>
      </w:r>
      <w:r>
        <w:t>Round/ Flat Top Island in the Mackay Whitsunday</w:t>
      </w:r>
      <w:r w:rsidRPr="00F528DE">
        <w:t xml:space="preserve"> region</w:t>
      </w:r>
      <w:bookmarkEnd w:id="1056"/>
    </w:p>
    <w:p w14:paraId="1412FE50" w14:textId="77777777" w:rsidR="0026563F" w:rsidRDefault="0059608E" w:rsidP="0026563F">
      <w:pPr>
        <w:keepNext/>
        <w:jc w:val="center"/>
      </w:pPr>
      <w:r w:rsidRPr="004E28E0">
        <w:rPr>
          <w:noProof/>
          <w:lang w:val="en-AU" w:eastAsia="en-AU" w:bidi="ar-SA"/>
        </w:rPr>
        <w:lastRenderedPageBreak/>
        <w:drawing>
          <wp:inline distT="0" distB="0" distL="0" distR="0" wp14:anchorId="3877BB74" wp14:editId="645F11CD">
            <wp:extent cx="5767189" cy="8878186"/>
            <wp:effectExtent l="19050" t="19050" r="24130" b="18415"/>
            <wp:docPr id="131" name="Picture 131" descr="Figure A 34 Temporal concentration profiles of individual herbicides at Sandy Creek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769887" cy="8882339"/>
                    </a:xfrm>
                    <a:prstGeom prst="rect">
                      <a:avLst/>
                    </a:prstGeom>
                    <a:noFill/>
                    <a:ln>
                      <a:solidFill>
                        <a:schemeClr val="tx1"/>
                      </a:solidFill>
                    </a:ln>
                  </pic:spPr>
                </pic:pic>
              </a:graphicData>
            </a:graphic>
          </wp:inline>
        </w:drawing>
      </w:r>
    </w:p>
    <w:p w14:paraId="37B2F08B" w14:textId="77777777" w:rsidR="0059608E" w:rsidRDefault="0026563F" w:rsidP="0026563F">
      <w:pPr>
        <w:pStyle w:val="Caption"/>
        <w:jc w:val="center"/>
      </w:pPr>
      <w:bookmarkStart w:id="1057" w:name="_Toc462652009"/>
      <w:r>
        <w:t xml:space="preserve">Figure A </w:t>
      </w:r>
      <w:r>
        <w:fldChar w:fldCharType="begin"/>
      </w:r>
      <w:r>
        <w:instrText xml:space="preserve"> SEQ Figure_A \* ARABIC </w:instrText>
      </w:r>
      <w:r>
        <w:fldChar w:fldCharType="separate"/>
      </w:r>
      <w:r w:rsidR="00E51A34">
        <w:rPr>
          <w:noProof/>
        </w:rPr>
        <w:t>34</w:t>
      </w:r>
      <w:r>
        <w:fldChar w:fldCharType="end"/>
      </w:r>
      <w:r>
        <w:t xml:space="preserve"> Temporal </w:t>
      </w:r>
      <w:r w:rsidRPr="00F528DE">
        <w:t xml:space="preserve">concentration profiles of individual herbicides at </w:t>
      </w:r>
      <w:r>
        <w:t>Sandy Creek in the Mackay Whitsunday</w:t>
      </w:r>
      <w:r w:rsidRPr="00F528DE">
        <w:t xml:space="preserve"> region</w:t>
      </w:r>
      <w:bookmarkEnd w:id="1057"/>
    </w:p>
    <w:p w14:paraId="66C2E826" w14:textId="77777777" w:rsidR="0026563F" w:rsidRDefault="0059608E" w:rsidP="0026563F">
      <w:pPr>
        <w:keepNext/>
        <w:jc w:val="center"/>
      </w:pPr>
      <w:r w:rsidRPr="00E96064">
        <w:rPr>
          <w:noProof/>
          <w:lang w:val="en-AU" w:eastAsia="en-AU" w:bidi="ar-SA"/>
        </w:rPr>
        <w:lastRenderedPageBreak/>
        <w:drawing>
          <wp:inline distT="0" distB="0" distL="0" distR="0" wp14:anchorId="2E3ADC4F" wp14:editId="23229FB0">
            <wp:extent cx="6013588" cy="9005776"/>
            <wp:effectExtent l="19050" t="19050" r="25400" b="24130"/>
            <wp:docPr id="132" name="Picture 132" descr="Figure A 35 Temporal concentration profiles of individual herbicides at Sarina Inlet in the Mackay Whitsunday reg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013814" cy="9006115"/>
                    </a:xfrm>
                    <a:prstGeom prst="rect">
                      <a:avLst/>
                    </a:prstGeom>
                    <a:noFill/>
                    <a:ln>
                      <a:solidFill>
                        <a:schemeClr val="tx1"/>
                      </a:solidFill>
                    </a:ln>
                  </pic:spPr>
                </pic:pic>
              </a:graphicData>
            </a:graphic>
          </wp:inline>
        </w:drawing>
      </w:r>
    </w:p>
    <w:p w14:paraId="5E50E9F9" w14:textId="77777777" w:rsidR="0059608E" w:rsidRDefault="0026563F" w:rsidP="0026563F">
      <w:pPr>
        <w:pStyle w:val="Caption"/>
        <w:jc w:val="center"/>
      </w:pPr>
      <w:bookmarkStart w:id="1058" w:name="_Toc462652010"/>
      <w:r>
        <w:t xml:space="preserve">Figure A </w:t>
      </w:r>
      <w:r>
        <w:fldChar w:fldCharType="begin"/>
      </w:r>
      <w:r>
        <w:instrText xml:space="preserve"> SEQ Figure_A \* ARABIC </w:instrText>
      </w:r>
      <w:r>
        <w:fldChar w:fldCharType="separate"/>
      </w:r>
      <w:r w:rsidR="00E51A34">
        <w:rPr>
          <w:noProof/>
        </w:rPr>
        <w:t>35</w:t>
      </w:r>
      <w:r>
        <w:fldChar w:fldCharType="end"/>
      </w:r>
      <w:r>
        <w:t xml:space="preserve"> Temporal </w:t>
      </w:r>
      <w:r w:rsidRPr="00F528DE">
        <w:t xml:space="preserve">concentration profiles of individual herbicides </w:t>
      </w:r>
      <w:r>
        <w:t>at</w:t>
      </w:r>
      <w:r w:rsidR="0050579D">
        <w:t xml:space="preserve"> </w:t>
      </w:r>
      <w:r>
        <w:t>Sarina Inlet in the Mackay Whitsunday</w:t>
      </w:r>
      <w:r w:rsidRPr="00F528DE">
        <w:t xml:space="preserve"> region</w:t>
      </w:r>
      <w:bookmarkEnd w:id="1058"/>
    </w:p>
    <w:p w14:paraId="612CCC13" w14:textId="77777777" w:rsidR="0026563F" w:rsidRDefault="0059608E" w:rsidP="0026563F">
      <w:pPr>
        <w:keepNext/>
        <w:jc w:val="center"/>
      </w:pPr>
      <w:r w:rsidRPr="00E96064">
        <w:rPr>
          <w:noProof/>
          <w:lang w:val="en-AU" w:eastAsia="en-AU" w:bidi="ar-SA"/>
        </w:rPr>
        <w:lastRenderedPageBreak/>
        <w:drawing>
          <wp:inline distT="0" distB="0" distL="0" distR="0" wp14:anchorId="0254E661" wp14:editId="0E16B6A3">
            <wp:extent cx="5909736" cy="8931349"/>
            <wp:effectExtent l="19050" t="19050" r="15240" b="22225"/>
            <wp:docPr id="133" name="Picture 133" descr="Figure A 36 Temporal concentration profiles of individual herbicides at North Keppel Island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912355" cy="8935307"/>
                    </a:xfrm>
                    <a:prstGeom prst="rect">
                      <a:avLst/>
                    </a:prstGeom>
                    <a:noFill/>
                    <a:ln>
                      <a:solidFill>
                        <a:schemeClr val="tx1"/>
                      </a:solidFill>
                    </a:ln>
                  </pic:spPr>
                </pic:pic>
              </a:graphicData>
            </a:graphic>
          </wp:inline>
        </w:drawing>
      </w:r>
    </w:p>
    <w:p w14:paraId="0E9DCDD8" w14:textId="77777777" w:rsidR="0059608E" w:rsidRDefault="0026563F" w:rsidP="0026563F">
      <w:pPr>
        <w:pStyle w:val="Caption"/>
        <w:jc w:val="center"/>
      </w:pPr>
      <w:bookmarkStart w:id="1059" w:name="_Toc462652011"/>
      <w:r>
        <w:t xml:space="preserve">Figure A </w:t>
      </w:r>
      <w:r>
        <w:fldChar w:fldCharType="begin"/>
      </w:r>
      <w:r>
        <w:instrText xml:space="preserve"> SEQ Figure_A \* ARABIC </w:instrText>
      </w:r>
      <w:r>
        <w:fldChar w:fldCharType="separate"/>
      </w:r>
      <w:r w:rsidR="00E51A34">
        <w:rPr>
          <w:noProof/>
        </w:rPr>
        <w:t>36</w:t>
      </w:r>
      <w:r>
        <w:fldChar w:fldCharType="end"/>
      </w:r>
      <w:r>
        <w:t xml:space="preserve"> Temporal </w:t>
      </w:r>
      <w:r w:rsidRPr="00F528DE">
        <w:t xml:space="preserve">concentration profiles of individual herbicides at </w:t>
      </w:r>
      <w:r>
        <w:t>North Keppel Island in the Fitzroy</w:t>
      </w:r>
      <w:r w:rsidRPr="00F528DE">
        <w:t xml:space="preserve"> region</w:t>
      </w:r>
      <w:bookmarkEnd w:id="1059"/>
    </w:p>
    <w:p w14:paraId="56EEA23F" w14:textId="77777777" w:rsidR="0059608E" w:rsidRPr="00792AAF" w:rsidRDefault="0059608E" w:rsidP="0066689E">
      <w:pPr>
        <w:pStyle w:val="Heading1"/>
        <w:rPr>
          <w:sz w:val="18"/>
        </w:rPr>
      </w:pPr>
      <w:bookmarkStart w:id="1060" w:name="_Toc461457793"/>
      <w:bookmarkStart w:id="1061" w:name="_Toc462651974"/>
      <w:r>
        <w:lastRenderedPageBreak/>
        <w:t>APPENDIX H - Land and herbicide use in the Reef catchments adjacent to fixed monitoring sites</w:t>
      </w:r>
      <w:bookmarkEnd w:id="1060"/>
      <w:bookmarkEnd w:id="1061"/>
      <w:r>
        <w:rPr>
          <w:noProof/>
          <w:lang w:bidi="ar-SA"/>
        </w:rPr>
        <w:t xml:space="preserve"> </w:t>
      </w:r>
    </w:p>
    <w:p w14:paraId="1BD32F5E" w14:textId="77777777" w:rsidR="0026563F" w:rsidRDefault="0059608E" w:rsidP="0026563F">
      <w:pPr>
        <w:keepNext/>
      </w:pPr>
      <w:r>
        <w:rPr>
          <w:noProof/>
          <w:sz w:val="18"/>
          <w:lang w:val="en-AU" w:eastAsia="en-AU" w:bidi="ar-SA"/>
        </w:rPr>
        <w:drawing>
          <wp:inline distT="0" distB="0" distL="0" distR="0" wp14:anchorId="186942D1" wp14:editId="19350DDE">
            <wp:extent cx="6116593" cy="8277101"/>
            <wp:effectExtent l="0" t="0" r="0" b="0"/>
            <wp:docPr id="149" name="Picture 149" descr="Figure A 37 Land Use map of the Reef catchment (200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117816" cy="8278756"/>
                    </a:xfrm>
                    <a:prstGeom prst="rect">
                      <a:avLst/>
                    </a:prstGeom>
                    <a:noFill/>
                  </pic:spPr>
                </pic:pic>
              </a:graphicData>
            </a:graphic>
          </wp:inline>
        </w:drawing>
      </w:r>
    </w:p>
    <w:p w14:paraId="0FCCF2E2" w14:textId="77777777" w:rsidR="0059608E" w:rsidRPr="00792AAF" w:rsidRDefault="0026563F" w:rsidP="0026563F">
      <w:pPr>
        <w:pStyle w:val="Caption"/>
        <w:jc w:val="center"/>
      </w:pPr>
      <w:bookmarkStart w:id="1062" w:name="_Toc462652012"/>
      <w:r>
        <w:t xml:space="preserve">Figure A </w:t>
      </w:r>
      <w:r>
        <w:fldChar w:fldCharType="begin"/>
      </w:r>
      <w:r>
        <w:instrText xml:space="preserve"> SEQ Figure_A \* ARABIC </w:instrText>
      </w:r>
      <w:r>
        <w:fldChar w:fldCharType="separate"/>
      </w:r>
      <w:r w:rsidR="00E51A34">
        <w:rPr>
          <w:noProof/>
        </w:rPr>
        <w:t>37</w:t>
      </w:r>
      <w:r>
        <w:fldChar w:fldCharType="end"/>
      </w:r>
      <w:r>
        <w:t xml:space="preserve"> Land Use map of the Reef catchment (2009).</w:t>
      </w:r>
      <w:bookmarkEnd w:id="1062"/>
    </w:p>
    <w:p w14:paraId="448E7163" w14:textId="77777777" w:rsidR="00F051A4" w:rsidRDefault="00F051A4" w:rsidP="00F051A4"/>
    <w:p w14:paraId="27A0C007" w14:textId="77777777" w:rsidR="00F051A4" w:rsidRDefault="00F051A4" w:rsidP="0066689E">
      <w:pPr>
        <w:pStyle w:val="Heading1"/>
        <w:numPr>
          <w:ilvl w:val="0"/>
          <w:numId w:val="0"/>
        </w:numPr>
        <w:ind w:left="432"/>
      </w:pPr>
      <w:bookmarkStart w:id="1063" w:name="_Toc461457794"/>
      <w:bookmarkStart w:id="1064" w:name="_Toc462651975"/>
      <w:r>
        <w:lastRenderedPageBreak/>
        <w:t>17 APPENDIX I – CASE STUDY:</w:t>
      </w:r>
      <w:r w:rsidRPr="00F051A4">
        <w:t xml:space="preserve"> </w:t>
      </w:r>
      <w:r w:rsidR="00C5106C">
        <w:t>Comparison</w:t>
      </w:r>
      <w:r>
        <w:t xml:space="preserve"> of the multi</w:t>
      </w:r>
      <w:r w:rsidR="00C5106C">
        <w:t>-</w:t>
      </w:r>
      <w:r>
        <w:t>substance potentially affected fraction (ms-PAF)</w:t>
      </w:r>
      <w:r w:rsidR="00C5106C">
        <w:t xml:space="preserve"> and PSII-HEQ methods</w:t>
      </w:r>
      <w:bookmarkEnd w:id="1063"/>
      <w:bookmarkEnd w:id="1064"/>
    </w:p>
    <w:p w14:paraId="30DA8149" w14:textId="77777777" w:rsidR="000F4677" w:rsidRPr="000F4677" w:rsidRDefault="000F4677" w:rsidP="000F4677">
      <w:pPr>
        <w:spacing w:line="360" w:lineRule="auto"/>
        <w:rPr>
          <w:lang w:val="en-AU"/>
        </w:rPr>
      </w:pPr>
      <w:bookmarkStart w:id="1065" w:name="OLE_LINK2"/>
      <w:r w:rsidRPr="000F4677">
        <w:rPr>
          <w:lang w:val="en-AU"/>
        </w:rPr>
        <w:t>The Australian and New Zealand Guidelines for Fresh and Marine Water Quality, originally released in 2000 are currently under review (co-ordinated by the Australian Department of Sustainability, Environment, Water, Population and Communities) to ensure they remain updated with the most recent advances in science, are relevant and still reflect the best practise tool for managing the quality of water in Australia. Some of the key changes to the previous version of the Guidelines will be to</w:t>
      </w:r>
    </w:p>
    <w:p w14:paraId="499E9FCA" w14:textId="77777777" w:rsidR="000F4677" w:rsidRPr="000F4677" w:rsidRDefault="000F4677" w:rsidP="000F4677">
      <w:pPr>
        <w:numPr>
          <w:ilvl w:val="0"/>
          <w:numId w:val="47"/>
        </w:numPr>
        <w:spacing w:line="360" w:lineRule="auto"/>
        <w:rPr>
          <w:lang w:val="en-AU"/>
        </w:rPr>
      </w:pPr>
      <w:r w:rsidRPr="000F4677">
        <w:rPr>
          <w:lang w:val="en-AU"/>
        </w:rPr>
        <w:t xml:space="preserve">increase the types and sources of data that can be used; </w:t>
      </w:r>
    </w:p>
    <w:p w14:paraId="6564F327" w14:textId="77777777" w:rsidR="000F4677" w:rsidRPr="000F4677" w:rsidRDefault="000F4677" w:rsidP="000F4677">
      <w:pPr>
        <w:numPr>
          <w:ilvl w:val="0"/>
          <w:numId w:val="47"/>
        </w:numPr>
        <w:spacing w:line="360" w:lineRule="auto"/>
        <w:rPr>
          <w:lang w:val="en-AU"/>
        </w:rPr>
      </w:pPr>
      <w:r w:rsidRPr="000F4677">
        <w:rPr>
          <w:lang w:val="en-AU"/>
        </w:rPr>
        <w:t xml:space="preserve">working collaboratively with industry to permit the use of commercial-in-confidence data; </w:t>
      </w:r>
    </w:p>
    <w:p w14:paraId="6CD11926" w14:textId="77777777" w:rsidR="000F4677" w:rsidRPr="000F4677" w:rsidRDefault="000F4677" w:rsidP="000F4677">
      <w:pPr>
        <w:numPr>
          <w:ilvl w:val="0"/>
          <w:numId w:val="47"/>
        </w:numPr>
        <w:spacing w:line="360" w:lineRule="auto"/>
        <w:rPr>
          <w:lang w:val="en-AU"/>
        </w:rPr>
      </w:pPr>
      <w:r w:rsidRPr="000F4677">
        <w:rPr>
          <w:lang w:val="en-AU"/>
        </w:rPr>
        <w:t xml:space="preserve">increasing the minimum data requirements; </w:t>
      </w:r>
    </w:p>
    <w:p w14:paraId="2CBEBBEB" w14:textId="77777777" w:rsidR="000F4677" w:rsidRPr="000F4677" w:rsidRDefault="000F4677" w:rsidP="000F4677">
      <w:pPr>
        <w:numPr>
          <w:ilvl w:val="0"/>
          <w:numId w:val="47"/>
        </w:numPr>
        <w:spacing w:line="360" w:lineRule="auto"/>
        <w:rPr>
          <w:lang w:val="en-AU"/>
        </w:rPr>
      </w:pPr>
      <w:r w:rsidRPr="000F4677">
        <w:rPr>
          <w:lang w:val="en-AU"/>
        </w:rPr>
        <w:t>including a measure of the uncertainty of the trigger value;</w:t>
      </w:r>
    </w:p>
    <w:p w14:paraId="2C3BFC9D" w14:textId="77777777" w:rsidR="000F4677" w:rsidRPr="000F4677" w:rsidRDefault="000F4677" w:rsidP="000F4677">
      <w:pPr>
        <w:numPr>
          <w:ilvl w:val="0"/>
          <w:numId w:val="47"/>
        </w:numPr>
        <w:spacing w:line="360" w:lineRule="auto"/>
        <w:rPr>
          <w:lang w:val="en-AU"/>
        </w:rPr>
      </w:pPr>
      <w:r w:rsidRPr="000F4677">
        <w:rPr>
          <w:lang w:val="en-AU"/>
        </w:rPr>
        <w:t xml:space="preserve">improving the software used to calculate trigger values; </w:t>
      </w:r>
    </w:p>
    <w:p w14:paraId="1456EF80" w14:textId="77777777" w:rsidR="000F4677" w:rsidRPr="000F4677" w:rsidRDefault="000F4677" w:rsidP="000F4677">
      <w:pPr>
        <w:numPr>
          <w:ilvl w:val="0"/>
          <w:numId w:val="47"/>
        </w:numPr>
        <w:spacing w:line="360" w:lineRule="auto"/>
        <w:rPr>
          <w:lang w:val="en-AU"/>
        </w:rPr>
      </w:pPr>
      <w:r w:rsidRPr="000F4677">
        <w:rPr>
          <w:lang w:val="en-AU"/>
        </w:rPr>
        <w:t>increasing the rigour of site-specific trigger values;</w:t>
      </w:r>
    </w:p>
    <w:p w14:paraId="662EBA85" w14:textId="77777777" w:rsidR="000F4677" w:rsidRPr="000F4677" w:rsidRDefault="000F4677" w:rsidP="000F4677">
      <w:pPr>
        <w:numPr>
          <w:ilvl w:val="0"/>
          <w:numId w:val="47"/>
        </w:numPr>
        <w:spacing w:line="360" w:lineRule="auto"/>
        <w:rPr>
          <w:lang w:val="en-AU"/>
        </w:rPr>
      </w:pPr>
      <w:r w:rsidRPr="000F4677">
        <w:rPr>
          <w:lang w:val="en-AU"/>
        </w:rPr>
        <w:t xml:space="preserve">improving the method for assessing the reliability of the trigger values; </w:t>
      </w:r>
    </w:p>
    <w:p w14:paraId="29B662EC" w14:textId="77777777" w:rsidR="000F4677" w:rsidRPr="000F4677" w:rsidRDefault="000F4677" w:rsidP="000F4677">
      <w:pPr>
        <w:numPr>
          <w:ilvl w:val="0"/>
          <w:numId w:val="47"/>
        </w:numPr>
        <w:spacing w:line="360" w:lineRule="auto"/>
        <w:rPr>
          <w:lang w:val="en-AU"/>
        </w:rPr>
      </w:pPr>
      <w:r w:rsidRPr="000F4677">
        <w:rPr>
          <w:lang w:val="en-AU"/>
        </w:rPr>
        <w:t xml:space="preserve">and providing guidance of measures of toxicity and toxicological endpoints that may, in the near future, be appropriate for trigger value derivation </w:t>
      </w:r>
      <w:r w:rsidRPr="000F4677">
        <w:rPr>
          <w:lang w:val="en-AU"/>
        </w:rPr>
        <w:fldChar w:fldCharType="begin"/>
      </w:r>
      <w:r w:rsidRPr="000F4677">
        <w:rPr>
          <w:lang w:val="en-AU"/>
        </w:rPr>
        <w:instrText xml:space="preserve"> ADDIN EN.CITE &lt;EndNote&gt;&lt;Cite&gt;&lt;Author&gt;Warne&lt;/Author&gt;&lt;Year&gt;2014&lt;/Year&gt;&lt;RecNum&gt;367&lt;/RecNum&gt;&lt;DisplayText&gt;(Warne et al., 2014)&lt;/DisplayText&gt;&lt;record&gt;&lt;rec-number&gt;367&lt;/rec-number&gt;&lt;foreign-keys&gt;&lt;key app="EN" db-id="0zzrztwe5p59skesdrqpsfeu2s0xt5zd5v9p" timestamp="1466737413"&gt;367&lt;/key&gt;&lt;/foreign-keys&gt;&lt;ref-type name="Journal Article"&gt;17&lt;/ref-type&gt;&lt;contributors&gt;&lt;authors&gt;&lt;author&gt;Warne, M. St. J.&lt;/author&gt;&lt;author&gt;Batley, G. E.&lt;/author&gt;&lt;author&gt;Braga, O.&lt;/author&gt;&lt;author&gt;Chapman, J. C.&lt;/author&gt;&lt;author&gt;Fox, D. R.&lt;/author&gt;&lt;author&gt;Hickey, C. W.&lt;/author&gt;&lt;author&gt;Stauber, J. L.&lt;/author&gt;&lt;author&gt;Van Dam, R.&lt;/author&gt;&lt;/authors&gt;&lt;/contributors&gt;&lt;titles&gt;&lt;title&gt;Revisions to the derivation of the Australian and New Zealand guidelines for toxicants in fresh and marine waters&lt;/title&gt;&lt;secondary-title&gt;Environmental Science and Pollution Research&lt;/secondary-title&gt;&lt;/titles&gt;&lt;periodical&gt;&lt;full-title&gt;Environmental Science and Pollution Research&lt;/full-title&gt;&lt;/periodical&gt;&lt;pages&gt;51-60&lt;/pages&gt;&lt;volume&gt;21&lt;/volume&gt;&lt;number&gt;1&lt;/number&gt;&lt;dates&gt;&lt;year&gt;2014&lt;/year&gt;&lt;/dates&gt;&lt;isbn&gt;1614-7499&lt;/isbn&gt;&lt;label&gt;Warne2014&lt;/label&gt;&lt;work-type&gt;journal article&lt;/work-type&gt;&lt;urls&gt;&lt;related-urls&gt;&lt;url&gt;http://dx.doi.org/10.1007/s11356-013-1779-6&lt;/url&gt;&lt;/related-urls&gt;&lt;/urls&gt;&lt;electronic-resource-num&gt;10.1007/s11356-013-1779-6&lt;/electronic-resource-num&gt;&lt;/record&gt;&lt;/Cite&gt;&lt;/EndNote&gt;</w:instrText>
      </w:r>
      <w:r w:rsidRPr="000F4677">
        <w:rPr>
          <w:lang w:val="en-AU"/>
        </w:rPr>
        <w:fldChar w:fldCharType="separate"/>
      </w:r>
      <w:r w:rsidRPr="000F4677">
        <w:rPr>
          <w:lang w:val="en-AU"/>
        </w:rPr>
        <w:t>(Warne et al., 2014)</w:t>
      </w:r>
      <w:r w:rsidRPr="000F4677">
        <w:rPr>
          <w:lang w:val="en-AU"/>
        </w:rPr>
        <w:fldChar w:fldCharType="end"/>
      </w:r>
      <w:r w:rsidRPr="000F4677">
        <w:rPr>
          <w:lang w:val="en-AU"/>
        </w:rPr>
        <w:t>.</w:t>
      </w:r>
    </w:p>
    <w:p w14:paraId="54FDD312" w14:textId="77777777" w:rsidR="000F4677" w:rsidRPr="000F4677" w:rsidRDefault="000F4677" w:rsidP="000F4677">
      <w:pPr>
        <w:spacing w:line="360" w:lineRule="auto"/>
        <w:rPr>
          <w:lang w:val="en-AU"/>
        </w:rPr>
      </w:pPr>
    </w:p>
    <w:p w14:paraId="2897437D" w14:textId="77777777" w:rsidR="000F4677" w:rsidRPr="000F4677" w:rsidRDefault="000F4677" w:rsidP="000F4677">
      <w:pPr>
        <w:spacing w:line="360" w:lineRule="auto"/>
        <w:rPr>
          <w:lang w:val="en-AU"/>
        </w:rPr>
      </w:pPr>
      <w:r w:rsidRPr="000F4677">
        <w:rPr>
          <w:lang w:val="en-AU"/>
        </w:rPr>
        <w:t xml:space="preserve">The revision of the GVs will improve the number of and quality of GVs that can be derived (in part due to the inclusion of previously excluded data-sets), will be more user-friendly and assist managers in implementing them in a scientifically rigorous manner by considering more ecologically relevant endpoints. The preferred method for deriving these GVs is based on the use of species sensitivity distributions (SSDs) of chronic toxicity data, which has been revised and improved (as above) for this iteration of GVs </w:t>
      </w:r>
      <w:r w:rsidRPr="000F4677">
        <w:rPr>
          <w:lang w:val="en-AU"/>
        </w:rPr>
        <w:fldChar w:fldCharType="begin"/>
      </w:r>
      <w:r w:rsidRPr="000F4677">
        <w:rPr>
          <w:lang w:val="en-AU"/>
        </w:rPr>
        <w:instrText xml:space="preserve"> ADDIN EN.CITE &lt;EndNote&gt;&lt;Cite&gt;&lt;Author&gt;Batley&lt;/Author&gt;&lt;Year&gt;2014&lt;/Year&gt;&lt;RecNum&gt;368&lt;/RecNum&gt;&lt;DisplayText&gt;(Batley et al., 2014, Warne et al., 2015)&lt;/DisplayText&gt;&lt;record&gt;&lt;rec-number&gt;368&lt;/rec-number&gt;&lt;foreign-keys&gt;&lt;key app="EN" db-id="0zzrztwe5p59skesdrqpsfeu2s0xt5zd5v9p" timestamp="1466738757"&gt;368&lt;/key&gt;&lt;/foreign-keys&gt;&lt;ref-type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Cite&gt;&lt;Author&gt;Warne&lt;/Author&gt;&lt;Year&gt;2015&lt;/Year&gt;&lt;RecNum&gt;369&lt;/RecNum&gt;&lt;record&gt;&lt;rec-number&gt;369&lt;/rec-number&gt;&lt;foreign-keys&gt;&lt;key app="EN" db-id="0zzrztwe5p59skesdrqpsfeu2s0xt5zd5v9p" timestamp="1466739610"&gt;369&lt;/key&gt;&lt;/foreign-keys&gt;&lt;ref-type name="Report"&gt;27&lt;/ref-type&gt;&lt;contributors&gt;&lt;authors&gt;&lt;author&gt;Warne, M.St.J.&lt;/author&gt;&lt;author&gt;Batley, G.E.&lt;/author&gt;&lt;author&gt;van Dam, R.A.&lt;/author&gt;&lt;author&gt;Chapman, J.C.&lt;/author&gt;&lt;author&gt;Fox, D.R.&lt;/author&gt;&lt;author&gt;Hickey, C.W.&lt;/author&gt;&lt;author&gt;Stauber, J.L.&lt;/author&gt;&lt;/authors&gt;&lt;/contributors&gt;&lt;titles&gt;&lt;title&gt;Revised Method for Deriving Australian and New Zealand Water Quality Guideline Values for Toxicants. Prepared for the Council of Australian Government’s Standing Council on Environment and Water (SCEW). &lt;/title&gt;&lt;/titles&gt;&lt;dates&gt;&lt;year&gt;2015&lt;/year&gt;&lt;/dates&gt;&lt;pub-location&gt;Department of Science, Information Technology and Innovation, Brisbane&lt;/pub-location&gt;&lt;urls&gt;&lt;/urls&gt;&lt;/record&gt;&lt;/Cite&gt;&lt;/EndNote&gt;</w:instrText>
      </w:r>
      <w:r w:rsidRPr="000F4677">
        <w:rPr>
          <w:lang w:val="en-AU"/>
        </w:rPr>
        <w:fldChar w:fldCharType="separate"/>
      </w:r>
      <w:r w:rsidRPr="000F4677">
        <w:rPr>
          <w:lang w:val="en-AU"/>
        </w:rPr>
        <w:t>(Batley et al., 2014, Warne et al., 2015)</w:t>
      </w:r>
      <w:r w:rsidRPr="000F4677">
        <w:rPr>
          <w:lang w:val="en-AU"/>
        </w:rPr>
        <w:fldChar w:fldCharType="end"/>
      </w:r>
      <w:r w:rsidRPr="000F4677">
        <w:rPr>
          <w:lang w:val="en-AU"/>
        </w:rPr>
        <w:t xml:space="preserve">. </w:t>
      </w:r>
    </w:p>
    <w:p w14:paraId="4E04E61B" w14:textId="77777777" w:rsidR="000F4677" w:rsidRPr="000F4677" w:rsidRDefault="000F4677" w:rsidP="000F4677">
      <w:pPr>
        <w:spacing w:line="360" w:lineRule="auto"/>
        <w:rPr>
          <w:lang w:val="en-AU"/>
        </w:rPr>
      </w:pPr>
    </w:p>
    <w:p w14:paraId="2CFC6F87" w14:textId="77777777" w:rsidR="000F4677" w:rsidRPr="000F4677" w:rsidRDefault="000F4677" w:rsidP="000F4677">
      <w:pPr>
        <w:spacing w:line="360" w:lineRule="auto"/>
      </w:pPr>
      <w:r w:rsidRPr="000F4677">
        <w:rPr>
          <w:lang w:val="en-AU"/>
        </w:rPr>
        <w:t xml:space="preserve">SSDs are derived by collating toxicity data of individual chemicals from sources which has now been expanded to include data outside of peer-reviewed publications as well as data of non-traditional endpoints that have demonstrated ecological relevance for keystone species. The data </w:t>
      </w:r>
      <w:r w:rsidRPr="000F4677">
        <w:t>(preferentially chronic no observed effect concentration (NOEC) and EC/IC or LC</w:t>
      </w:r>
      <w:r w:rsidRPr="000F4677">
        <w:rPr>
          <w:vertAlign w:val="subscript"/>
        </w:rPr>
        <w:t>10</w:t>
      </w:r>
      <w:r w:rsidRPr="000F4677">
        <w:t xml:space="preserve"> data) are screened and assessed for quality </w:t>
      </w:r>
      <w:r w:rsidRPr="000F4677">
        <w:fldChar w:fldCharType="begin"/>
      </w:r>
      <w:r w:rsidRPr="000F4677">
        <w:instrText xml:space="preserve"> ADDIN EN.CITE &lt;EndNote&gt;&lt;Cite&gt;&lt;Author&gt;Batley&lt;/Author&gt;&lt;Year&gt;2014&lt;/Year&gt;&lt;RecNum&gt;368&lt;/RecNum&gt;&lt;DisplayText&gt;(Batley et al., 2014)&lt;/DisplayText&gt;&lt;record&gt;&lt;rec-number&gt;368&lt;/rec-number&gt;&lt;foreign-keys&gt;&lt;key app="EN" db-id="0zzrztwe5p59skesdrqpsfeu2s0xt5zd5v9p" timestamp="1466738757"&gt;368&lt;/key&gt;&lt;/foreign-keys&gt;&lt;ref-type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sidRPr="000F4677">
        <w:fldChar w:fldCharType="separate"/>
      </w:r>
      <w:r w:rsidRPr="000F4677">
        <w:t>(Batley et al., 2014)</w:t>
      </w:r>
      <w:r w:rsidRPr="000F4677">
        <w:rPr>
          <w:lang w:val="en-AU"/>
        </w:rPr>
        <w:fldChar w:fldCharType="end"/>
      </w:r>
      <w:r w:rsidRPr="000F4677">
        <w:t xml:space="preserve">, converted to a single value per species, assessed for modality and plotted using BurrliOz software, used to derive the GVs. SSDs for both marine and freshwater environments are being derived however, in cases where the minimum data requirements to generate a reliable marine SSD could not be met, toxicity data for freshwater and estuarine species were added to expand the dataset, meet the minimum data requirements and improve the reliability classification. Further details regarding the methods for deriving SSDs including the weighting of data and requirements for data inclusion (considering geography and climate of species) are provided in </w:t>
      </w:r>
      <w:r w:rsidRPr="000F4677">
        <w:fldChar w:fldCharType="begin"/>
      </w:r>
      <w:r w:rsidRPr="000F4677">
        <w:instrText xml:space="preserve"> ADDIN EN.CITE &lt;EndNote&gt;&lt;Cite&gt;&lt;Author&gt;Batley&lt;/Author&gt;&lt;Year&gt;2014&lt;/Year&gt;&lt;RecNum&gt;368&lt;/RecNum&gt;&lt;DisplayText&gt;(Batley et al., 2014)&lt;/DisplayText&gt;&lt;record&gt;&lt;rec-number&gt;368&lt;/rec-number&gt;&lt;foreign-keys&gt;&lt;key app="EN" db-id="0zzrztwe5p59skesdrqpsfeu2s0xt5zd5v9p" timestamp="1466738757"&gt;368&lt;/key&gt;&lt;/foreign-keys&gt;&lt;ref-type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sidRPr="000F4677">
        <w:fldChar w:fldCharType="separate"/>
      </w:r>
      <w:r w:rsidRPr="000F4677">
        <w:t>(Batley et al., 2014)</w:t>
      </w:r>
      <w:r w:rsidRPr="000F4677">
        <w:rPr>
          <w:lang w:val="en-AU"/>
        </w:rPr>
        <w:fldChar w:fldCharType="end"/>
      </w:r>
      <w:r w:rsidRPr="000F4677">
        <w:t xml:space="preserve">. </w:t>
      </w:r>
    </w:p>
    <w:p w14:paraId="6B4F6016" w14:textId="77777777" w:rsidR="000F4677" w:rsidRPr="000F4677" w:rsidRDefault="000F4677" w:rsidP="000F4677">
      <w:pPr>
        <w:spacing w:line="360" w:lineRule="auto"/>
        <w:rPr>
          <w:lang w:val="en-AU"/>
        </w:rPr>
      </w:pPr>
    </w:p>
    <w:p w14:paraId="5F262839" w14:textId="675DBEB0" w:rsidR="000F4677" w:rsidRPr="000F4677" w:rsidRDefault="000F4677" w:rsidP="002B7D0B">
      <w:pPr>
        <w:tabs>
          <w:tab w:val="left" w:pos="2268"/>
        </w:tabs>
        <w:spacing w:line="360" w:lineRule="auto"/>
        <w:rPr>
          <w:lang w:val="en-AU"/>
        </w:rPr>
      </w:pPr>
      <w:r w:rsidRPr="000F4677">
        <w:rPr>
          <w:lang w:val="en-AU"/>
        </w:rPr>
        <w:lastRenderedPageBreak/>
        <w:t xml:space="preserve">The PSII-HEq method is currently used in the </w:t>
      </w:r>
      <w:r w:rsidR="002B7D0B">
        <w:rPr>
          <w:lang w:val="en-AU"/>
        </w:rPr>
        <w:t>MMP</w:t>
      </w:r>
      <w:r w:rsidRPr="000F4677">
        <w:rPr>
          <w:lang w:val="en-AU"/>
        </w:rPr>
        <w:t xml:space="preserve"> for estimating the hazard of herbicide mixtures to marine ecosystems by calculating diuron-equivalent herbicide concentrations. Despite being widely used and simple to calculate, the current method is limited by its requirement for matched toxicity data sets; i.e. to calculate the relative potency of a herbicide to diuron. Unfortunately, matched toxicity data within the literature</w:t>
      </w:r>
      <w:r w:rsidRPr="000F4677" w:rsidDel="00DB3425">
        <w:rPr>
          <w:lang w:val="en-AU"/>
        </w:rPr>
        <w:t xml:space="preserve"> </w:t>
      </w:r>
      <w:r w:rsidRPr="000F4677">
        <w:rPr>
          <w:lang w:val="en-AU"/>
        </w:rPr>
        <w:t xml:space="preserve">is sparse and are typically limited to only a few select compounds and species. Alternatively, the Multisubstance-Potentially Affected Fraction (ms-PAF) method </w:t>
      </w:r>
      <w:r w:rsidRPr="000F4677">
        <w:rPr>
          <w:lang w:val="en-AU"/>
        </w:rPr>
        <w:fldChar w:fldCharType="begin"/>
      </w:r>
      <w:r w:rsidRPr="000F4677">
        <w:rPr>
          <w:lang w:val="en-AU"/>
        </w:rPr>
        <w:instrText xml:space="preserve"> ADDIN EN.CITE &lt;EndNote&gt;&lt;Cite&gt;&lt;Author&gt;Traas&lt;/Author&gt;&lt;Year&gt;2002&lt;/Year&gt;&lt;RecNum&gt;370&lt;/RecNum&gt;&lt;DisplayText&gt;(Traas et al., 2002)&lt;/DisplayText&gt;&lt;record&gt;&lt;rec-number&gt;370&lt;/rec-number&gt;&lt;foreign-keys&gt;&lt;key app="EN" db-id="0zzrztwe5p59skesdrqpsfeu2s0xt5zd5v9p" timestamp="1466748281"&gt;370&lt;/key&gt;&lt;/foreign-keys&gt;&lt;ref-type name="Generic"&gt;13&lt;/ref-type&gt;&lt;contributors&gt;&lt;authors&gt;&lt;author&gt;Traas, Theo P&lt;/author&gt;&lt;author&gt;van de Meent, Dik&lt;/author&gt;&lt;author&gt;Posthuma, Leo&lt;/author&gt;&lt;author&gt;Hamers, Timo&lt;/author&gt;&lt;author&gt;Kater, Belinda J&lt;/author&gt;&lt;author&gt;De Zwart, Dick&lt;/author&gt;&lt;author&gt;Aldenberg, Tom&lt;/author&gt;&lt;/authors&gt;&lt;/contributors&gt;&lt;titles&gt;&lt;title&gt;The potentially affected fraction as a measure of ecological risk&lt;/title&gt;&lt;/titles&gt;&lt;pages&gt;315-344&lt;/pages&gt;&lt;dates&gt;&lt;year&gt;2002&lt;/year&gt;&lt;/dates&gt;&lt;publisher&gt;CRC Press: Boca Raton, FL&lt;/publisher&gt;&lt;urls&gt;&lt;/urls&gt;&lt;/record&gt;&lt;/Cite&gt;&lt;/EndNote&gt;</w:instrText>
      </w:r>
      <w:r w:rsidRPr="000F4677">
        <w:rPr>
          <w:lang w:val="en-AU"/>
        </w:rPr>
        <w:fldChar w:fldCharType="separate"/>
      </w:r>
      <w:r w:rsidRPr="000F4677">
        <w:rPr>
          <w:lang w:val="en-AU"/>
        </w:rPr>
        <w:t>(Traas et al., 2002)</w:t>
      </w:r>
      <w:r w:rsidRPr="000F4677">
        <w:rPr>
          <w:lang w:val="en-AU"/>
        </w:rPr>
        <w:fldChar w:fldCharType="end"/>
      </w:r>
      <w:r w:rsidRPr="000F4677">
        <w:rPr>
          <w:lang w:val="en-AU"/>
        </w:rPr>
        <w:t xml:space="preserve"> uses SSDs of individual compounds, comparable to those used for generating water quality guideline values, the data for which are more commonly found in the literature. Thus, to align with the revised methods for GV derivation, as well as the hazard-based approach adopted by the Paddock to Reef program, the ms-PAF method has been proposed for estimating the potential ecological impacts of pesticide mixtures in the marine zone. </w:t>
      </w:r>
    </w:p>
    <w:p w14:paraId="55E1F2D7" w14:textId="77777777" w:rsidR="000F4677" w:rsidRPr="000F4677" w:rsidRDefault="000F4677" w:rsidP="000F4677">
      <w:pPr>
        <w:spacing w:line="360" w:lineRule="auto"/>
        <w:rPr>
          <w:lang w:val="en-AU"/>
        </w:rPr>
      </w:pPr>
    </w:p>
    <w:p w14:paraId="582DFDAB" w14:textId="77777777" w:rsidR="000F4677" w:rsidRPr="000F4677" w:rsidRDefault="000F4677" w:rsidP="000F4677">
      <w:pPr>
        <w:spacing w:line="360" w:lineRule="auto"/>
        <w:rPr>
          <w:lang w:val="en-AU"/>
        </w:rPr>
      </w:pPr>
      <w:r w:rsidRPr="000F4677">
        <w:rPr>
          <w:lang w:val="en-AU"/>
        </w:rPr>
        <w:t>Unlike the HEq method, ms-PAF can account for mixtures of chemicals with both similar and dissimilar modes of action (however only the additive model which accounts for chemicals with similar modes of action is considered in this report), an important consideration given the increasing use of alternative pesticides with different modes of action in the Reef catchments. The ms-PAF concentration addition method is based on the premise that toxicants with similar modes of action will have parallel SSDs, and therefore, upon transforming the toxicity data to a relative scale (hazard units), the SSDs for each toxicant are equivalent (Figure A 38).</w:t>
      </w:r>
    </w:p>
    <w:p w14:paraId="7769619C" w14:textId="77777777" w:rsidR="000F4677" w:rsidRPr="000F4677" w:rsidRDefault="000F4677" w:rsidP="000F4677">
      <w:pPr>
        <w:spacing w:line="360" w:lineRule="auto"/>
        <w:rPr>
          <w:lang w:val="en-AU"/>
        </w:rPr>
      </w:pPr>
    </w:p>
    <w:p w14:paraId="20D28B5E" w14:textId="77777777" w:rsidR="000F4677" w:rsidRPr="000F4677" w:rsidRDefault="000F4677" w:rsidP="000F4677">
      <w:pPr>
        <w:spacing w:line="360" w:lineRule="auto"/>
        <w:rPr>
          <w:lang w:val="en-AU"/>
        </w:rPr>
      </w:pPr>
      <w:r w:rsidRPr="000F4677">
        <w:rPr>
          <w:lang w:val="en-AU"/>
        </w:rPr>
        <w:t>A SSD</w:t>
      </w:r>
      <w:r w:rsidRPr="000F4677">
        <w:t xml:space="preserve"> </w:t>
      </w:r>
      <w:r w:rsidRPr="000F4677">
        <w:rPr>
          <w:lang w:val="en-AU"/>
        </w:rPr>
        <w:t xml:space="preserve">is a cumulative frequency distribution of the toxicity of a contaminant to a range of species which represent a specified number of taxonomic groups.  They are used to determine a contaminant concentration that is theoretically protective of a given percentage (x) of species. The ANZEC and ARMCANZ (2000) water quality guidelines generate contaminant trigger values based on four different protection levels, which are recommended to be applied according to the following: the protection of 99% of species is recommended for high conservation value ecosystems (this is the protection level most relevant to the Reef), protection of 95% of species for slightly to moderately disturbed ecosystems, and the protection of 90% or 80% of species for highly disturbed ecosystems </w:t>
      </w:r>
      <w:r w:rsidRPr="000F4677">
        <w:rPr>
          <w:lang w:val="en-AU"/>
        </w:rPr>
        <w:fldChar w:fldCharType="begin"/>
      </w:r>
      <w:r w:rsidRPr="000F4677">
        <w:rPr>
          <w:lang w:val="en-AU"/>
        </w:rPr>
        <w:instrText xml:space="preserve"> ADDIN EN.CITE &lt;EndNote&gt;&lt;Cite&gt;&lt;Author&gt;Batley&lt;/Author&gt;&lt;Year&gt;2014&lt;/Year&gt;&lt;RecNum&gt;368&lt;/RecNum&gt;&lt;DisplayText&gt;(Batley et al., 2014)&lt;/DisplayText&gt;&lt;record&gt;&lt;rec-number&gt;368&lt;/rec-number&gt;&lt;foreign-keys&gt;&lt;key app="EN" db-id="0zzrztwe5p59skesdrqpsfeu2s0xt5zd5v9p" timestamp="1466738757"&gt;368&lt;/key&gt;&lt;/foreign-keys&gt;&lt;ref-type name="Report"&gt;27&lt;/ref-type&gt;&lt;contributors&gt;&lt;authors&gt;&lt;author&gt;Batley, G.E.&lt;/author&gt;&lt;author&gt;van Dam, R.&lt;/author&gt;&lt;author&gt;Warne, M.St.J.&lt;/author&gt;&lt;author&gt;Chapman, J.C.&lt;/author&gt;&lt;author&gt;Fox, D.R.&lt;/author&gt;&lt;author&gt;Hickey, C.W. &lt;/author&gt;&lt;author&gt;Stauber, J.L&lt;/author&gt;&lt;/authors&gt;&lt;/contributors&gt;&lt;titles&gt;&lt;title&gt;Revision of the Method for Deriving Water Quality Guideline Values for Toxicants. A Water for a Healthy Country Flagship Report. Prepared for the Council of Australian Government’s Standing Council on Environment and Water (SCEW)&lt;/title&gt;&lt;/titles&gt;&lt;dates&gt;&lt;year&gt;2014&lt;/year&gt;&lt;/dates&gt;&lt;pub-location&gt;CSIRO&lt;/pub-location&gt;&lt;urls&gt;&lt;/urls&gt;&lt;/record&gt;&lt;/Cite&gt;&lt;/EndNote&gt;</w:instrText>
      </w:r>
      <w:r w:rsidRPr="000F4677">
        <w:rPr>
          <w:lang w:val="en-AU"/>
        </w:rPr>
        <w:fldChar w:fldCharType="separate"/>
      </w:r>
      <w:r w:rsidRPr="000F4677">
        <w:rPr>
          <w:lang w:val="en-AU"/>
        </w:rPr>
        <w:t>(Batley et al., 2014)</w:t>
      </w:r>
      <w:r w:rsidRPr="000F4677">
        <w:rPr>
          <w:lang w:val="en-AU"/>
        </w:rPr>
        <w:fldChar w:fldCharType="end"/>
      </w:r>
      <w:r w:rsidRPr="000F4677">
        <w:rPr>
          <w:lang w:val="en-AU"/>
        </w:rPr>
        <w:t>. It should be noted that the same protection levels will continue to be used in the revised water quality guidelines.</w:t>
      </w:r>
    </w:p>
    <w:p w14:paraId="48396BFD" w14:textId="77777777" w:rsidR="000F4677" w:rsidRPr="000F4677" w:rsidRDefault="000F4677" w:rsidP="000F4677">
      <w:pPr>
        <w:spacing w:line="360" w:lineRule="auto"/>
      </w:pPr>
    </w:p>
    <w:p w14:paraId="4274182F" w14:textId="202E6388" w:rsidR="000F4677" w:rsidRPr="000F4677" w:rsidRDefault="000F4677" w:rsidP="000F4677">
      <w:pPr>
        <w:spacing w:line="360" w:lineRule="auto"/>
        <w:rPr>
          <w:lang w:val="en-AU"/>
        </w:rPr>
      </w:pPr>
      <w:r w:rsidRPr="000F4677">
        <w:rPr>
          <w:lang w:val="en-AU"/>
        </w:rPr>
        <w:t xml:space="preserve">Briefly, each SSD is normalised to the midpoint of the distribution, such that the centre of the SSD takes the value of 1 (Figure A 38(b)). The units of this normalised scale are termed as hazard units, i.e. one hazard unit of a contaminant is equal to the concentration of the contaminant that affects 50% of species. For example, one hazard unit for Chemical A (in Figure A 38(a)) is equal to 10 ug/L of Chemical A, which is the concentration of chemical A that affects 50% of species. As such, the SSDs of each chemical are normalised to the same scale and centred at x=1, and as previously mentioned, those with the same mode of action will overlay each other (as shown in Figure A 38(b)) and can therefore be combined to generate one SSD representative of the contaminant mixture (the mixture SSD). To then determine the ms-PAF of a field sample, the concentration of each contaminant (with the same mode of action) detected in the sample is converted to a hazard unit using the midpoint of the contaminant’s SSD. The hazard units of each </w:t>
      </w:r>
      <w:r w:rsidRPr="000F4677">
        <w:rPr>
          <w:lang w:val="en-AU"/>
        </w:rPr>
        <w:lastRenderedPageBreak/>
        <w:t>contaminant are then summed to produce a HU of the mixture. The mixture HU can then be checked against the mixture SSD to calculate the per cent of species potentially affected by the mixture.</w:t>
      </w:r>
    </w:p>
    <w:p w14:paraId="769FEEE4" w14:textId="77777777" w:rsidR="000F4677" w:rsidRPr="000F4677" w:rsidRDefault="000F4677" w:rsidP="000F4677">
      <w:pPr>
        <w:spacing w:line="360" w:lineRule="auto"/>
      </w:pPr>
      <w:r w:rsidRPr="000F4677">
        <w:rPr>
          <w:noProof/>
          <w:lang w:val="en-AU" w:eastAsia="en-AU" w:bidi="ar-SA"/>
        </w:rPr>
        <w:drawing>
          <wp:inline distT="0" distB="0" distL="0" distR="0" wp14:anchorId="6839E0C1" wp14:editId="0F703D1C">
            <wp:extent cx="6519935" cy="2234712"/>
            <wp:effectExtent l="19050" t="19050" r="14605" b="13335"/>
            <wp:docPr id="17" name="Picture 17" descr="Figure A 38 SSDs of chemicals for multiple species (left) which are then normalized to hazard units, relative to the median of species affected to calculate a mean SSD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534777" cy="2239799"/>
                    </a:xfrm>
                    <a:prstGeom prst="rect">
                      <a:avLst/>
                    </a:prstGeom>
                    <a:noFill/>
                    <a:ln>
                      <a:solidFill>
                        <a:schemeClr val="tx1"/>
                      </a:solidFill>
                    </a:ln>
                  </pic:spPr>
                </pic:pic>
              </a:graphicData>
            </a:graphic>
          </wp:inline>
        </w:drawing>
      </w:r>
    </w:p>
    <w:p w14:paraId="709C866E" w14:textId="77777777" w:rsidR="000F4677" w:rsidRPr="000F4677" w:rsidRDefault="000F4677" w:rsidP="000F4677">
      <w:pPr>
        <w:spacing w:line="360" w:lineRule="auto"/>
        <w:rPr>
          <w:b/>
          <w:bCs/>
        </w:rPr>
      </w:pPr>
      <w:bookmarkStart w:id="1066" w:name="_Toc462652013"/>
      <w:r w:rsidRPr="000F4677">
        <w:rPr>
          <w:b/>
          <w:bCs/>
        </w:rPr>
        <w:t xml:space="preserve">Figure A </w:t>
      </w:r>
      <w:r w:rsidRPr="000F4677">
        <w:rPr>
          <w:b/>
          <w:bCs/>
        </w:rPr>
        <w:fldChar w:fldCharType="begin"/>
      </w:r>
      <w:r w:rsidRPr="000F4677">
        <w:rPr>
          <w:b/>
          <w:bCs/>
        </w:rPr>
        <w:instrText xml:space="preserve"> SEQ Figure_A \* ARABIC </w:instrText>
      </w:r>
      <w:r w:rsidRPr="000F4677">
        <w:rPr>
          <w:b/>
          <w:bCs/>
        </w:rPr>
        <w:fldChar w:fldCharType="separate"/>
      </w:r>
      <w:r w:rsidR="00E51A34">
        <w:rPr>
          <w:b/>
          <w:bCs/>
          <w:noProof/>
        </w:rPr>
        <w:t>38</w:t>
      </w:r>
      <w:r w:rsidRPr="000F4677">
        <w:rPr>
          <w:lang w:val="en-AU"/>
        </w:rPr>
        <w:fldChar w:fldCharType="end"/>
      </w:r>
      <w:r w:rsidRPr="000F4677">
        <w:rPr>
          <w:b/>
          <w:bCs/>
        </w:rPr>
        <w:t xml:space="preserve"> SSDs of chemicals for multiple species (left) which are then normalized to hazard units, relative to the median of species affected to calculate a mean SSD (right).</w:t>
      </w:r>
      <w:bookmarkEnd w:id="1066"/>
    </w:p>
    <w:p w14:paraId="3FDE0F7D" w14:textId="77777777" w:rsidR="000F4677" w:rsidRPr="000F4677" w:rsidRDefault="000F4677" w:rsidP="000F4677">
      <w:pPr>
        <w:spacing w:line="360" w:lineRule="auto"/>
        <w:rPr>
          <w:lang w:val="en-AU"/>
        </w:rPr>
      </w:pPr>
    </w:p>
    <w:p w14:paraId="45050D0B" w14:textId="77777777" w:rsidR="000F4677" w:rsidRPr="000F4677" w:rsidRDefault="000F4677" w:rsidP="000F4677">
      <w:pPr>
        <w:spacing w:line="360" w:lineRule="auto"/>
        <w:rPr>
          <w:lang w:val="en-AU"/>
        </w:rPr>
      </w:pPr>
      <w:r w:rsidRPr="000F4677">
        <w:rPr>
          <w:lang w:val="en-AU"/>
        </w:rPr>
        <w:t xml:space="preserve">SSDs for five PSII herbicides – ametryn, atrazine, diuron, hexazinone and tebuthiuron –  all of which are reported both by the MMP and the Paddock to Reef program as priority herbicides have been provided to Entox. It is anticipated that these SSDs will be updated before the end of the year to include additional species to improve the reliability of the SSD. For the purposes of this report, the ms-PAF values have been categorised into five interim risk categories (Table 6), corresponding to the 99 %, 95 %, 90 % and 80 % species protection levels used by the ANZECC and ARMCANZ (2000) water quality guidelines. The concentrations of diuron equivalent to these risk classes (i.e. the concentration of diuron that is required to exceed x % of species protection) are presented also. It is important to note that the risk classes need to be validated against relevant Reef species for ecologically relevant tipping points in order to determine whether they are meaningful. The inclusion of new chronic data </w:t>
      </w:r>
      <w:r w:rsidRPr="000F4677">
        <w:rPr>
          <w:lang w:val="en-AU"/>
        </w:rPr>
        <w:fldChar w:fldCharType="begin"/>
      </w:r>
      <w:r w:rsidRPr="000F4677">
        <w:rPr>
          <w:lang w:val="en-AU"/>
        </w:rPr>
        <w:instrText xml:space="preserve"> ADDIN EN.CITE &lt;EndNote&gt;&lt;Cite&gt;&lt;Author&gt;Negri&lt;/Author&gt;&lt;Year&gt;2015&lt;/Year&gt;&lt;RecNum&gt;186&lt;/RecNum&gt;&lt;DisplayText&gt;(Negri et al., 2015)&lt;/DisplayText&gt;&lt;record&gt;&lt;rec-number&gt;186&lt;/rec-number&gt;&lt;foreign-keys&gt;&lt;key app="EN" db-id="0zzrztwe5p59skesdrqpsfeu2s0xt5zd5v9p" timestamp="1443497880"&gt;186&lt;/key&gt;&lt;/foreign-keys&gt;&lt;ref-type name="Journal Article"&gt;17&lt;/ref-type&gt;&lt;contributors&gt;&lt;authors&gt;&lt;author&gt;Negri, Andrew P.&lt;/author&gt;&lt;author&gt;Flores, Florita&lt;/author&gt;&lt;author&gt;Mercurio, Phil&lt;/author&gt;&lt;author&gt;Mueller, Jochen F.&lt;/author&gt;&lt;author&gt;Collier, Catherine J.&lt;/author&gt;&lt;/authors&gt;&lt;/contributors&gt;&lt;titles&gt;&lt;title&gt;Lethal and sub-lethal chronic effects of the herbicide diuron on seagrass&lt;/title&gt;&lt;secondary-title&gt;Aquatic Toxicology&lt;/secondary-title&gt;&lt;/titles&gt;&lt;periodical&gt;&lt;full-title&gt;Aquatic Toxicology&lt;/full-title&gt;&lt;/periodical&gt;&lt;pages&gt;73-83&lt;/pages&gt;&lt;volume&gt;165&lt;/volume&gt;&lt;dates&gt;&lt;year&gt;2015&lt;/year&gt;&lt;pub-dates&gt;&lt;date&gt;8//&lt;/date&gt;&lt;/pub-dates&gt;&lt;/dates&gt;&lt;isbn&gt;0166-445X&lt;/isbn&gt;&lt;urls&gt;&lt;related-urls&gt;&lt;url&gt;http://www.sciencedirect.com/science/article/pii/S0166445X15001459&lt;/url&gt;&lt;/related-urls&gt;&lt;/urls&gt;&lt;electronic-resource-num&gt;http://dx.doi.org/10.1016/j.aquatox.2015.05.007&lt;/electronic-resource-num&gt;&lt;/record&gt;&lt;/Cite&gt;&lt;/EndNote&gt;</w:instrText>
      </w:r>
      <w:r w:rsidRPr="000F4677">
        <w:rPr>
          <w:lang w:val="en-AU"/>
        </w:rPr>
        <w:fldChar w:fldCharType="separate"/>
      </w:r>
      <w:r w:rsidRPr="000F4677">
        <w:rPr>
          <w:lang w:val="en-AU"/>
        </w:rPr>
        <w:t>(Negri et al., 2015)</w:t>
      </w:r>
      <w:r w:rsidRPr="000F4677">
        <w:rPr>
          <w:lang w:val="en-AU"/>
        </w:rPr>
        <w:fldChar w:fldCharType="end"/>
      </w:r>
      <w:r w:rsidRPr="000F4677">
        <w:rPr>
          <w:lang w:val="en-AU"/>
        </w:rPr>
        <w:t xml:space="preserve"> (excluded from previous GVs but of demonstrated local relevance) may improve reliability of the SSDs and confidence in risk classes.</w:t>
      </w:r>
    </w:p>
    <w:p w14:paraId="6DD248A4" w14:textId="77777777" w:rsidR="000F4677" w:rsidRPr="000F4677" w:rsidRDefault="000F4677" w:rsidP="000F4677">
      <w:pPr>
        <w:spacing w:line="360" w:lineRule="auto"/>
        <w:rPr>
          <w:lang w:val="en-AU"/>
        </w:rPr>
      </w:pPr>
    </w:p>
    <w:p w14:paraId="3739C021" w14:textId="77777777" w:rsidR="000F4677" w:rsidRPr="000F4677" w:rsidRDefault="000F4677" w:rsidP="000F4677">
      <w:pPr>
        <w:spacing w:line="360" w:lineRule="auto"/>
        <w:rPr>
          <w:lang w:val="en-AU"/>
        </w:rPr>
      </w:pPr>
      <w:r w:rsidRPr="000F4677">
        <w:rPr>
          <w:lang w:val="en-AU"/>
        </w:rPr>
        <w:t xml:space="preserve">Each method has five risk categories, which are protective of varying percentages of species, with 99% species protection being the benchmark for the Reef. Four of the five risk categories for the PSII-HEq Index are more conservative than the </w:t>
      </w:r>
      <w:bookmarkStart w:id="1067" w:name="OLE_LINK4"/>
      <w:r w:rsidRPr="000F4677">
        <w:rPr>
          <w:lang w:val="en-AU"/>
        </w:rPr>
        <w:t>99% species protection</w:t>
      </w:r>
      <w:bookmarkEnd w:id="1067"/>
      <w:r w:rsidRPr="000F4677">
        <w:rPr>
          <w:lang w:val="en-AU"/>
        </w:rPr>
        <w:t xml:space="preserve"> value (based on diuron equivalent concentrations), whereas four of the five interim ms-PAF risk categories are less conservative than the 99% species protection trigger value. This inconsistency in scaling of the risk categories above/ below the 99 % trigger value means that there is no pre-warning of concentrations that are approaching the trigger value for the ms-PAF method, which is currently present in the PSII-HEq Index.</w:t>
      </w:r>
    </w:p>
    <w:bookmarkEnd w:id="1065"/>
    <w:p w14:paraId="126947B9" w14:textId="77777777" w:rsidR="002B7D0B" w:rsidRDefault="002B7D0B" w:rsidP="000F4677">
      <w:pPr>
        <w:spacing w:line="360" w:lineRule="auto"/>
      </w:pPr>
    </w:p>
    <w:p w14:paraId="43E67E26" w14:textId="77777777" w:rsidR="002B7D0B" w:rsidRPr="000F4677" w:rsidRDefault="002B7D0B" w:rsidP="002B7D0B">
      <w:pPr>
        <w:spacing w:line="360" w:lineRule="auto"/>
        <w:rPr>
          <w:lang w:val="en-AU"/>
        </w:rPr>
      </w:pPr>
      <w:r w:rsidRPr="000F4677">
        <w:rPr>
          <w:lang w:val="en-AU"/>
        </w:rPr>
        <w:t xml:space="preserve">As a case study, the two methods of assessing the environmental hazard of additive herbicide mixtures (the PSII-HEq Index and ms-PAF method) were compared this monitoring year. PSII-HEq concentrations and ms-PAF values were calculated for all fixed monitoring sites (passive samplers) (Table A 33) and for grab samples and passive samplers collected and deployed along transects extending from rivers as part of the </w:t>
      </w:r>
      <w:r w:rsidRPr="000F4677">
        <w:rPr>
          <w:lang w:val="en-AU"/>
        </w:rPr>
        <w:lastRenderedPageBreak/>
        <w:t>terrestrial run-off component of the project (Table A 34). The ms-PAF values were calculated based on the maximum estimated water concentrations of individual herbicides detected (ng L</w:t>
      </w:r>
      <w:r w:rsidRPr="000F4677">
        <w:rPr>
          <w:vertAlign w:val="superscript"/>
          <w:lang w:val="en-AU"/>
        </w:rPr>
        <w:t>-1</w:t>
      </w:r>
      <w:r w:rsidRPr="000F4677">
        <w:rPr>
          <w:lang w:val="en-AU"/>
        </w:rPr>
        <w:t>) during a given monitoring year and not PSII-HEq concentrations.</w:t>
      </w:r>
    </w:p>
    <w:p w14:paraId="3D8C71E7" w14:textId="7C824235" w:rsidR="000F4677" w:rsidRDefault="000F4677" w:rsidP="000F4677">
      <w:pPr>
        <w:spacing w:line="360" w:lineRule="auto"/>
      </w:pPr>
    </w:p>
    <w:p w14:paraId="4FFA826F" w14:textId="77777777" w:rsidR="000F4677" w:rsidRPr="000F4677" w:rsidRDefault="000F4677" w:rsidP="000F4677">
      <w:pPr>
        <w:spacing w:line="360" w:lineRule="auto"/>
        <w:rPr>
          <w:b/>
          <w:bCs/>
        </w:rPr>
      </w:pPr>
      <w:bookmarkStart w:id="1068" w:name="_Toc462652099"/>
      <w:r w:rsidRPr="000F4677">
        <w:rPr>
          <w:b/>
          <w:bCs/>
        </w:rPr>
        <w:t xml:space="preserve">Table A </w:t>
      </w:r>
      <w:r w:rsidRPr="000F4677">
        <w:rPr>
          <w:b/>
          <w:bCs/>
        </w:rPr>
        <w:fldChar w:fldCharType="begin"/>
      </w:r>
      <w:r w:rsidRPr="000F4677">
        <w:rPr>
          <w:b/>
          <w:bCs/>
        </w:rPr>
        <w:instrText xml:space="preserve"> SEQ Table_A \* ARABIC </w:instrText>
      </w:r>
      <w:r w:rsidRPr="000F4677">
        <w:rPr>
          <w:b/>
          <w:bCs/>
        </w:rPr>
        <w:fldChar w:fldCharType="separate"/>
      </w:r>
      <w:r w:rsidR="00E51A34">
        <w:rPr>
          <w:b/>
          <w:bCs/>
          <w:noProof/>
        </w:rPr>
        <w:t>32</w:t>
      </w:r>
      <w:r w:rsidRPr="000F4677">
        <w:rPr>
          <w:lang w:val="en-AU"/>
        </w:rPr>
        <w:fldChar w:fldCharType="end"/>
      </w:r>
      <w:r w:rsidRPr="000F4677">
        <w:rPr>
          <w:b/>
          <w:bCs/>
        </w:rPr>
        <w:t xml:space="preserve"> Interim risk categories for marine waters using the ms-PAF method, (percentage of species potentially affected and the corresponding equivalent diuron concentration (ng L</w:t>
      </w:r>
      <w:r w:rsidRPr="000F4677">
        <w:rPr>
          <w:b/>
          <w:bCs/>
          <w:vertAlign w:val="superscript"/>
        </w:rPr>
        <w:t>-1</w:t>
      </w:r>
      <w:r w:rsidRPr="000F4677">
        <w:rPr>
          <w:b/>
          <w:bCs/>
        </w:rPr>
        <w:t>)</w:t>
      </w:r>
      <w:bookmarkEnd w:id="1068"/>
    </w:p>
    <w:p w14:paraId="586ABC28" w14:textId="77777777" w:rsidR="000F4677" w:rsidRPr="000F4677" w:rsidRDefault="000F4677" w:rsidP="000F4677">
      <w:pPr>
        <w:spacing w:line="360" w:lineRule="auto"/>
        <w:rPr>
          <w:b/>
          <w:bCs/>
          <w:lang w:val="en-AU"/>
        </w:rPr>
      </w:pPr>
      <w:r w:rsidRPr="000F4677">
        <w:rPr>
          <w:noProof/>
          <w:lang w:val="en-AU" w:eastAsia="en-AU" w:bidi="ar-SA"/>
        </w:rPr>
        <w:drawing>
          <wp:inline distT="0" distB="0" distL="0" distR="0" wp14:anchorId="5FE50B59" wp14:editId="70F14DAA">
            <wp:extent cx="6236970" cy="1733550"/>
            <wp:effectExtent l="0" t="0" r="0" b="0"/>
            <wp:docPr id="61" name="Picture 61" descr="Table A 32 Interim risk categories for marine waters using the ms-PAF method, (percentage of species potentially affected and the corresponding equivalent diuron concentration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236970" cy="1733550"/>
                    </a:xfrm>
                    <a:prstGeom prst="rect">
                      <a:avLst/>
                    </a:prstGeom>
                    <a:noFill/>
                    <a:ln>
                      <a:noFill/>
                    </a:ln>
                  </pic:spPr>
                </pic:pic>
              </a:graphicData>
            </a:graphic>
          </wp:inline>
        </w:drawing>
      </w:r>
    </w:p>
    <w:p w14:paraId="11C13096" w14:textId="77777777" w:rsidR="000F4677" w:rsidRPr="000F4677" w:rsidRDefault="000F4677" w:rsidP="000F4677">
      <w:pPr>
        <w:spacing w:line="360" w:lineRule="auto"/>
      </w:pPr>
    </w:p>
    <w:p w14:paraId="1B413A82" w14:textId="77777777" w:rsidR="000F4677" w:rsidRPr="000F4677" w:rsidRDefault="000F4677" w:rsidP="000F4677">
      <w:pPr>
        <w:spacing w:line="360" w:lineRule="auto"/>
        <w:rPr>
          <w:b/>
          <w:bCs/>
        </w:rPr>
      </w:pPr>
      <w:bookmarkStart w:id="1069" w:name="_Toc462652100"/>
      <w:r w:rsidRPr="000F4677">
        <w:rPr>
          <w:b/>
          <w:bCs/>
        </w:rPr>
        <w:t xml:space="preserve">Table A </w:t>
      </w:r>
      <w:r w:rsidRPr="000F4677">
        <w:rPr>
          <w:b/>
          <w:bCs/>
        </w:rPr>
        <w:fldChar w:fldCharType="begin"/>
      </w:r>
      <w:r w:rsidRPr="000F4677">
        <w:rPr>
          <w:b/>
          <w:bCs/>
        </w:rPr>
        <w:instrText xml:space="preserve"> SEQ Table_A \* ARABIC </w:instrText>
      </w:r>
      <w:r w:rsidRPr="000F4677">
        <w:rPr>
          <w:b/>
          <w:bCs/>
        </w:rPr>
        <w:fldChar w:fldCharType="separate"/>
      </w:r>
      <w:r w:rsidR="00E51A34">
        <w:rPr>
          <w:b/>
          <w:bCs/>
          <w:noProof/>
        </w:rPr>
        <w:t>33</w:t>
      </w:r>
      <w:r w:rsidRPr="000F4677">
        <w:rPr>
          <w:lang w:val="en-AU"/>
        </w:rPr>
        <w:fldChar w:fldCharType="end"/>
      </w:r>
      <w:r w:rsidRPr="000F4677">
        <w:rPr>
          <w:b/>
          <w:bCs/>
        </w:rPr>
        <w:t xml:space="preserve"> Comparison of PSII-HEq Max (ng/L) and ms-PAF Max (% species affected) values for all fixed monitoring sites since monitoring commenced.</w:t>
      </w:r>
      <w:bookmarkEnd w:id="1069"/>
    </w:p>
    <w:p w14:paraId="306E5A67" w14:textId="77777777" w:rsidR="000F4677" w:rsidRPr="000F4677" w:rsidRDefault="000F4677" w:rsidP="000F4677">
      <w:pPr>
        <w:spacing w:line="360" w:lineRule="auto"/>
        <w:rPr>
          <w:lang w:val="en-AU"/>
        </w:rPr>
      </w:pPr>
      <w:r w:rsidRPr="000F4677">
        <w:rPr>
          <w:noProof/>
          <w:lang w:val="en-AU" w:eastAsia="en-AU" w:bidi="ar-SA"/>
        </w:rPr>
        <w:drawing>
          <wp:inline distT="0" distB="0" distL="0" distR="0" wp14:anchorId="743D6805" wp14:editId="72CC6BFE">
            <wp:extent cx="6743700" cy="5283332"/>
            <wp:effectExtent l="0" t="0" r="0" b="0"/>
            <wp:docPr id="36" name="Picture 36" descr="Table A 33 Comparison of PSII-HEq Max and ms-PAF Max values for all fixed monitoring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743700" cy="5283332"/>
                    </a:xfrm>
                    <a:prstGeom prst="rect">
                      <a:avLst/>
                    </a:prstGeom>
                    <a:noFill/>
                    <a:ln>
                      <a:noFill/>
                    </a:ln>
                  </pic:spPr>
                </pic:pic>
              </a:graphicData>
            </a:graphic>
          </wp:inline>
        </w:drawing>
      </w:r>
    </w:p>
    <w:p w14:paraId="148EFEB5" w14:textId="77777777" w:rsidR="000F4677" w:rsidRPr="000F4677" w:rsidRDefault="000F4677" w:rsidP="000F4677">
      <w:pPr>
        <w:spacing w:line="360" w:lineRule="auto"/>
        <w:rPr>
          <w:lang w:val="en-AU"/>
        </w:rPr>
      </w:pPr>
    </w:p>
    <w:p w14:paraId="4CCE1EB3" w14:textId="77777777" w:rsidR="000F4677" w:rsidRPr="000F4677" w:rsidRDefault="000F4677" w:rsidP="000F4677">
      <w:pPr>
        <w:spacing w:line="360" w:lineRule="auto"/>
      </w:pPr>
      <w:r w:rsidRPr="000F4677">
        <w:t>For all sites in the Wet Tropics since monitoring commenced (Table A 33, Low Isles – Dunk Island?), the ms-PAF Max values were in the ‘Very Low Risk’ Category, ranging from &lt;0.01 % to 0.16 % of species potentially affected. For the same period, PSII-HEq concentrations ranged from 0.88 to 22 ng L</w:t>
      </w:r>
      <w:r w:rsidRPr="000F4677">
        <w:rPr>
          <w:vertAlign w:val="superscript"/>
        </w:rPr>
        <w:t>-1</w:t>
      </w:r>
      <w:r w:rsidRPr="000F4677">
        <w:t>, corresponding to Categories 4 to 5 on the PSII Index.  In the Burdekin region (Table A 33, Lucinda? – Barratta Creek mouth), the ms-PAF Max values were also in the ‘Very Low Risk’ Category, ranging from &lt;0.01 % to 0.08 % of species potentially affected (excluding the potential outlier at Orpheus Island in 2009-10).</w:t>
      </w:r>
      <w:r w:rsidRPr="000F4677">
        <w:rPr>
          <w:lang w:val="en-AU"/>
        </w:rPr>
        <w:t xml:space="preserve"> This corresponded to PSII-HEq concentrations of 0.67 to 20 ng L</w:t>
      </w:r>
      <w:r w:rsidRPr="000F4677">
        <w:rPr>
          <w:vertAlign w:val="superscript"/>
          <w:lang w:val="en-AU"/>
        </w:rPr>
        <w:t>-1</w:t>
      </w:r>
      <w:r w:rsidRPr="000F4677">
        <w:rPr>
          <w:lang w:val="en-AU"/>
        </w:rPr>
        <w:t xml:space="preserve"> (also Category 4 to 5 on the PSII Index).  Maximum ms-PAF values for this monitoring year were the highest in the Mackay Whitsunday region (Table A 33, Outer Whitsunday – Sarina Inlet) (maximum of 0.55 % at Sandy Creek), historically reaching a maximum of 11 % at Sarina Inlet in 2009 -10. PSII-HEq concentrations ranged from 2.2 to 495 ng L</w:t>
      </w:r>
      <w:r w:rsidRPr="000F4677">
        <w:rPr>
          <w:vertAlign w:val="superscript"/>
          <w:lang w:val="en-AU"/>
        </w:rPr>
        <w:t>-1</w:t>
      </w:r>
      <w:r w:rsidRPr="000F4677">
        <w:rPr>
          <w:lang w:val="en-AU"/>
        </w:rPr>
        <w:t xml:space="preserve">, Category 2 to 5 on the PSII Index. </w:t>
      </w:r>
      <w:r w:rsidRPr="000F4677">
        <w:t xml:space="preserve">Maximum ms-PAF values were also ‘Very Low’ at the single site in the Fitzroy region (Table A 33, North Keppel Island), ranging from &lt;0.01 % to 0.03 %, or Category 4 to 5 on the PSII Index. </w:t>
      </w:r>
    </w:p>
    <w:p w14:paraId="1A7C94AB" w14:textId="77777777" w:rsidR="000F4677" w:rsidRPr="000F4677" w:rsidRDefault="000F4677" w:rsidP="000F4677">
      <w:pPr>
        <w:spacing w:line="360" w:lineRule="auto"/>
      </w:pPr>
    </w:p>
    <w:p w14:paraId="38601D38" w14:textId="77777777" w:rsidR="000F4677" w:rsidRPr="000F4677" w:rsidRDefault="000F4677" w:rsidP="000F4677">
      <w:pPr>
        <w:spacing w:line="360" w:lineRule="auto"/>
        <w:rPr>
          <w:b/>
          <w:bCs/>
        </w:rPr>
      </w:pPr>
      <w:bookmarkStart w:id="1070" w:name="_Toc462652101"/>
      <w:r w:rsidRPr="000F4677">
        <w:rPr>
          <w:b/>
          <w:bCs/>
        </w:rPr>
        <w:t xml:space="preserve">Table A </w:t>
      </w:r>
      <w:r w:rsidRPr="000F4677">
        <w:rPr>
          <w:b/>
          <w:bCs/>
        </w:rPr>
        <w:fldChar w:fldCharType="begin"/>
      </w:r>
      <w:r w:rsidRPr="000F4677">
        <w:rPr>
          <w:b/>
          <w:bCs/>
        </w:rPr>
        <w:instrText xml:space="preserve"> SEQ Table_A \* ARABIC </w:instrText>
      </w:r>
      <w:r w:rsidRPr="000F4677">
        <w:rPr>
          <w:b/>
          <w:bCs/>
        </w:rPr>
        <w:fldChar w:fldCharType="separate"/>
      </w:r>
      <w:r w:rsidR="00E51A34">
        <w:rPr>
          <w:b/>
          <w:bCs/>
          <w:noProof/>
        </w:rPr>
        <w:t>34</w:t>
      </w:r>
      <w:r w:rsidRPr="000F4677">
        <w:rPr>
          <w:lang w:val="en-AU"/>
        </w:rPr>
        <w:fldChar w:fldCharType="end"/>
      </w:r>
      <w:r w:rsidRPr="000F4677">
        <w:rPr>
          <w:b/>
          <w:bCs/>
        </w:rPr>
        <w:t xml:space="preserve"> Comparison of PSII-HEq Max (ng/L) and ms-PAF Max (% species affected) values for passive samplers and grab samples collected on river transects during the 2014-15 wet season.</w:t>
      </w:r>
      <w:bookmarkEnd w:id="1070"/>
    </w:p>
    <w:p w14:paraId="5A4DB08E" w14:textId="77777777" w:rsidR="000F4677" w:rsidRPr="000F4677" w:rsidRDefault="000F4677" w:rsidP="000F4677">
      <w:pPr>
        <w:spacing w:line="360" w:lineRule="auto"/>
      </w:pPr>
      <w:r w:rsidRPr="000F4677">
        <w:rPr>
          <w:noProof/>
          <w:lang w:val="en-AU" w:eastAsia="en-AU" w:bidi="ar-SA"/>
        </w:rPr>
        <w:drawing>
          <wp:inline distT="0" distB="0" distL="0" distR="0" wp14:anchorId="2757E9EF" wp14:editId="72B636A2">
            <wp:extent cx="3824701" cy="3728852"/>
            <wp:effectExtent l="19050" t="19050" r="23495" b="24130"/>
            <wp:docPr id="54" name="Picture 54" descr="Table A 34 Comparison of PSII-HEq Max and ms-PAF Max values for passive samplers and grab samples collected on river transects during the 2014-15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823392" cy="3727576"/>
                    </a:xfrm>
                    <a:prstGeom prst="rect">
                      <a:avLst/>
                    </a:prstGeom>
                    <a:noFill/>
                    <a:ln>
                      <a:solidFill>
                        <a:schemeClr val="tx1"/>
                      </a:solidFill>
                    </a:ln>
                  </pic:spPr>
                </pic:pic>
              </a:graphicData>
            </a:graphic>
          </wp:inline>
        </w:drawing>
      </w:r>
    </w:p>
    <w:p w14:paraId="717B0ECD" w14:textId="77777777" w:rsidR="000F4677" w:rsidRPr="000F4677" w:rsidRDefault="000F4677" w:rsidP="000F4677">
      <w:pPr>
        <w:spacing w:line="360" w:lineRule="auto"/>
        <w:rPr>
          <w:lang w:val="en-AU"/>
        </w:rPr>
      </w:pPr>
    </w:p>
    <w:p w14:paraId="18F3B8CC" w14:textId="77777777" w:rsidR="000F4677" w:rsidRPr="000F4677" w:rsidRDefault="000F4677" w:rsidP="000F4677">
      <w:pPr>
        <w:spacing w:line="360" w:lineRule="auto"/>
      </w:pPr>
      <w:r w:rsidRPr="000F4677">
        <w:rPr>
          <w:lang w:val="en-AU"/>
        </w:rPr>
        <w:t>Passive samplers deployed along river transects (top of Table A 34) reached a maximum of ‘Very Low’ (0.02 % of species potentially affected) or Category 4 (Low) on the PSII Index. Grab samples (bottom of Table A 34) reached a maximum ‘Low’ (4.3 % of species potentially affected) using the ms-PAF method or Category 2 (High) on the PSII Index. Two grab samples exceeded the 1% species protection level (calculated based on ms-PAF) , and one grab sample exceeded the marine IWL for diuron.</w:t>
      </w:r>
    </w:p>
    <w:p w14:paraId="59053A5B" w14:textId="77777777" w:rsidR="000F4677" w:rsidRPr="000F4677" w:rsidRDefault="000F4677" w:rsidP="000F4677">
      <w:pPr>
        <w:spacing w:line="360" w:lineRule="auto"/>
      </w:pPr>
    </w:p>
    <w:p w14:paraId="389CA381" w14:textId="77777777" w:rsidR="000F4677" w:rsidRPr="000F4677" w:rsidRDefault="000F4677" w:rsidP="000F4677">
      <w:pPr>
        <w:spacing w:line="360" w:lineRule="auto"/>
        <w:rPr>
          <w:b/>
          <w:bCs/>
        </w:rPr>
      </w:pPr>
      <w:bookmarkStart w:id="1071" w:name="_Toc462652102"/>
      <w:r w:rsidRPr="000F4677">
        <w:rPr>
          <w:b/>
          <w:bCs/>
        </w:rPr>
        <w:lastRenderedPageBreak/>
        <w:t xml:space="preserve">Table A </w:t>
      </w:r>
      <w:r w:rsidRPr="000F4677">
        <w:rPr>
          <w:b/>
          <w:bCs/>
        </w:rPr>
        <w:fldChar w:fldCharType="begin"/>
      </w:r>
      <w:r w:rsidRPr="000F4677">
        <w:rPr>
          <w:b/>
          <w:bCs/>
        </w:rPr>
        <w:instrText xml:space="preserve"> SEQ Table_A \* ARABIC </w:instrText>
      </w:r>
      <w:r w:rsidRPr="000F4677">
        <w:rPr>
          <w:b/>
          <w:bCs/>
        </w:rPr>
        <w:fldChar w:fldCharType="separate"/>
      </w:r>
      <w:r w:rsidR="00E51A34">
        <w:rPr>
          <w:b/>
          <w:bCs/>
          <w:noProof/>
        </w:rPr>
        <w:t>35</w:t>
      </w:r>
      <w:r w:rsidRPr="000F4677">
        <w:rPr>
          <w:lang w:val="en-AU"/>
        </w:rPr>
        <w:fldChar w:fldCharType="end"/>
      </w:r>
      <w:r w:rsidRPr="000F4677">
        <w:rPr>
          <w:b/>
          <w:bCs/>
        </w:rPr>
        <w:t xml:space="preserve"> Comparison of PSII-HEq Max (ng/L) and ms-PAF Max (% species affected) values for passive samplers deployed in the Barratta Creek</w:t>
      </w:r>
      <w:bookmarkEnd w:id="1071"/>
      <w:r w:rsidRPr="000F4677">
        <w:rPr>
          <w:b/>
          <w:bCs/>
        </w:rPr>
        <w:t xml:space="preserve"> </w:t>
      </w:r>
    </w:p>
    <w:p w14:paraId="6C395BA9" w14:textId="77777777" w:rsidR="000F4677" w:rsidRPr="000F4677" w:rsidRDefault="000F4677" w:rsidP="000F4677">
      <w:pPr>
        <w:spacing w:line="360" w:lineRule="auto"/>
        <w:rPr>
          <w:lang w:val="en-AU"/>
        </w:rPr>
      </w:pPr>
      <w:r w:rsidRPr="000F4677">
        <w:rPr>
          <w:noProof/>
          <w:lang w:val="en-AU" w:eastAsia="en-AU" w:bidi="ar-SA"/>
        </w:rPr>
        <w:drawing>
          <wp:inline distT="0" distB="0" distL="0" distR="0" wp14:anchorId="535AE9A0" wp14:editId="61C173DE">
            <wp:extent cx="2668772" cy="2638605"/>
            <wp:effectExtent l="0" t="0" r="0" b="0"/>
            <wp:docPr id="44" name="Picture 44" descr="Table A 35 Comparison of PSII-HEq Max and ms-PAF Max values for passive samplers deployed in the Barratta Cre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671267" cy="2641072"/>
                    </a:xfrm>
                    <a:prstGeom prst="rect">
                      <a:avLst/>
                    </a:prstGeom>
                    <a:noFill/>
                    <a:ln>
                      <a:noFill/>
                    </a:ln>
                  </pic:spPr>
                </pic:pic>
              </a:graphicData>
            </a:graphic>
          </wp:inline>
        </w:drawing>
      </w:r>
    </w:p>
    <w:p w14:paraId="6F7E4D64" w14:textId="77777777" w:rsidR="000F4677" w:rsidRPr="000F4677" w:rsidRDefault="000F4677" w:rsidP="000F4677">
      <w:pPr>
        <w:spacing w:line="360" w:lineRule="auto"/>
        <w:rPr>
          <w:lang w:val="en-AU"/>
        </w:rPr>
      </w:pPr>
    </w:p>
    <w:p w14:paraId="5B6BDDDA" w14:textId="77777777" w:rsidR="000F4677" w:rsidRPr="000F4677" w:rsidRDefault="000F4677" w:rsidP="000F4677">
      <w:pPr>
        <w:spacing w:line="360" w:lineRule="auto"/>
        <w:rPr>
          <w:lang w:val="en-AU"/>
        </w:rPr>
      </w:pPr>
      <w:r w:rsidRPr="000F4677">
        <w:rPr>
          <w:lang w:val="en-AU"/>
        </w:rPr>
        <w:t>At the Upper Barratta Creek site, up to 79 % of species (Very High) were potentially affected based on the results of the ms-PAF method, corresponding to a Category 1 (Very High) on the PSII Index. A substantial dilution of herbicide concentrations (and thus risk categories) can be seen, moving downstream and into the marine environment. Whilst only a single passive sampler was successfully deployed at the marine site, the ms-PAF value had decreased to below the proposed protection level of 99% species protection (0.02 %  of species).</w:t>
      </w:r>
    </w:p>
    <w:p w14:paraId="542ADD05" w14:textId="77777777" w:rsidR="000F4677" w:rsidRPr="000F4677" w:rsidRDefault="000F4677" w:rsidP="000F4677">
      <w:pPr>
        <w:spacing w:line="360" w:lineRule="auto"/>
        <w:rPr>
          <w:lang w:val="en-AU"/>
        </w:rPr>
      </w:pPr>
    </w:p>
    <w:p w14:paraId="0B6DE714" w14:textId="40D95B4D" w:rsidR="000F4677" w:rsidRPr="000F4677" w:rsidRDefault="000F4677" w:rsidP="000F4677">
      <w:pPr>
        <w:spacing w:line="360" w:lineRule="auto"/>
        <w:rPr>
          <w:lang w:val="en-AU"/>
        </w:rPr>
      </w:pPr>
      <w:r w:rsidRPr="000F4677">
        <w:rPr>
          <w:lang w:val="en-AU"/>
        </w:rPr>
        <w:t>Using the interim ms-PAF risk categories, the majority of herbicide detections using passive samplers (with the exception of Barratta Creek) resulted in a ‘Very Low’ Category, with little visual distinction between sites or sampling periods, despite clearer differences in the concentrations of herbicides when considering raw water concentrations or PSII-HEq concentrations. For example, a site such as the Outer Whitsunday, which has had historical PSII-HEq Max concentrations that range between 3.4 – 42 ng L</w:t>
      </w:r>
      <w:r w:rsidRPr="000F4677">
        <w:rPr>
          <w:vertAlign w:val="superscript"/>
          <w:lang w:val="en-AU"/>
        </w:rPr>
        <w:t xml:space="preserve">-1 </w:t>
      </w:r>
      <w:r w:rsidRPr="000F4677">
        <w:rPr>
          <w:lang w:val="en-AU"/>
        </w:rPr>
        <w:t xml:space="preserve">(Categories 4 and 5 on the PSII Index), correspond to ms-PAF Max values of between &lt;0.01 - 0.20 %.  In this case, the PSII-HEq Max concentrations (ng/L) reach only 5 % of the (current) marine trigger value for diuron yet have triggered a higher level of risk, whereas the ms-PAF Max values reach 20 % of the proposed new National </w:t>
      </w:r>
      <w:r>
        <w:rPr>
          <w:lang w:val="en-AU"/>
        </w:rPr>
        <w:t xml:space="preserve">Water Quality </w:t>
      </w:r>
      <w:r w:rsidRPr="000F4677">
        <w:rPr>
          <w:lang w:val="en-AU"/>
        </w:rPr>
        <w:t xml:space="preserve">GV (under development) but are categorised as Low Risk.  </w:t>
      </w:r>
    </w:p>
    <w:p w14:paraId="1246B113" w14:textId="77777777" w:rsidR="000F4677" w:rsidRPr="000F4677" w:rsidRDefault="000F4677" w:rsidP="000F4677">
      <w:pPr>
        <w:spacing w:line="360" w:lineRule="auto"/>
        <w:rPr>
          <w:lang w:val="en-AU"/>
        </w:rPr>
      </w:pPr>
    </w:p>
    <w:p w14:paraId="3D03F254" w14:textId="77777777" w:rsidR="000F4677" w:rsidRPr="000F4677" w:rsidRDefault="000F4677" w:rsidP="000F4677">
      <w:pPr>
        <w:spacing w:line="360" w:lineRule="auto"/>
        <w:rPr>
          <w:lang w:val="en-AU"/>
        </w:rPr>
      </w:pPr>
      <w:r w:rsidRPr="000F4677">
        <w:rPr>
          <w:lang w:val="en-AU"/>
        </w:rPr>
        <w:t xml:space="preserve">It must be noted that the use of individual herbicide concentrations </w:t>
      </w:r>
      <w:r w:rsidRPr="000F4677">
        <w:rPr>
          <w:i/>
          <w:lang w:val="en-AU"/>
        </w:rPr>
        <w:t>versus</w:t>
      </w:r>
      <w:r w:rsidRPr="000F4677">
        <w:rPr>
          <w:lang w:val="en-AU"/>
        </w:rPr>
        <w:t xml:space="preserve"> diuron equivalent concentrations will produce different ms-PAF values, as each individual herbicide contributes to the beta value or slope of the SSD. For example, each of the samples below have concentrations of herbicides that are equivalent to a PSII-HEq concentration of 500 ng L</w:t>
      </w:r>
      <w:r w:rsidRPr="000F4677">
        <w:rPr>
          <w:vertAlign w:val="superscript"/>
          <w:lang w:val="en-AU"/>
        </w:rPr>
        <w:t>-1</w:t>
      </w:r>
      <w:r w:rsidRPr="000F4677">
        <w:rPr>
          <w:lang w:val="en-AU"/>
        </w:rPr>
        <w:t xml:space="preserve">. When using only the diuron equivalent concentration (example 1), the corresponding ms-PAF value is 6.1 %. If the individual concentrations of each herbicide are considered (examples 2 – 7), the resulting ms-PAF values can range widely (from 6.9 % to 14 %), depending on the profiles of herbicides present. </w:t>
      </w:r>
    </w:p>
    <w:p w14:paraId="5B7464D8" w14:textId="77777777" w:rsidR="000F4677" w:rsidRPr="000F4677" w:rsidRDefault="000F4677" w:rsidP="000F4677">
      <w:pPr>
        <w:spacing w:line="360" w:lineRule="auto"/>
        <w:rPr>
          <w:b/>
          <w:bCs/>
        </w:rPr>
      </w:pPr>
      <w:bookmarkStart w:id="1072" w:name="_Toc462652103"/>
      <w:r w:rsidRPr="000F4677">
        <w:rPr>
          <w:b/>
          <w:bCs/>
        </w:rPr>
        <w:lastRenderedPageBreak/>
        <w:t xml:space="preserve">Table A </w:t>
      </w:r>
      <w:r w:rsidRPr="000F4677">
        <w:rPr>
          <w:b/>
          <w:bCs/>
        </w:rPr>
        <w:fldChar w:fldCharType="begin"/>
      </w:r>
      <w:r w:rsidRPr="000F4677">
        <w:rPr>
          <w:b/>
          <w:bCs/>
        </w:rPr>
        <w:instrText xml:space="preserve"> SEQ Table_A \* ARABIC </w:instrText>
      </w:r>
      <w:r w:rsidRPr="000F4677">
        <w:rPr>
          <w:b/>
          <w:bCs/>
        </w:rPr>
        <w:fldChar w:fldCharType="separate"/>
      </w:r>
      <w:r w:rsidR="00E51A34">
        <w:rPr>
          <w:b/>
          <w:bCs/>
          <w:noProof/>
        </w:rPr>
        <w:t>36</w:t>
      </w:r>
      <w:r w:rsidRPr="000F4677">
        <w:rPr>
          <w:lang w:val="en-AU"/>
        </w:rPr>
        <w:fldChar w:fldCharType="end"/>
      </w:r>
      <w:r w:rsidRPr="000F4677">
        <w:rPr>
          <w:b/>
          <w:bCs/>
        </w:rPr>
        <w:t xml:space="preserve"> Comparison of the ms-PAF values of various hypothetical herbicide profiles (ng L</w:t>
      </w:r>
      <w:r w:rsidRPr="000F4677">
        <w:rPr>
          <w:b/>
          <w:bCs/>
          <w:vertAlign w:val="superscript"/>
        </w:rPr>
        <w:t>-1</w:t>
      </w:r>
      <w:r w:rsidRPr="000F4677">
        <w:rPr>
          <w:b/>
          <w:bCs/>
        </w:rPr>
        <w:t>)</w:t>
      </w:r>
      <w:bookmarkEnd w:id="1072"/>
    </w:p>
    <w:p w14:paraId="1B4D94A1" w14:textId="77777777" w:rsidR="000F4677" w:rsidRPr="000F4677" w:rsidRDefault="000F4677" w:rsidP="000F4677">
      <w:pPr>
        <w:spacing w:line="360" w:lineRule="auto"/>
        <w:rPr>
          <w:lang w:val="en-AU"/>
        </w:rPr>
      </w:pPr>
      <w:r w:rsidRPr="000F4677">
        <w:rPr>
          <w:noProof/>
          <w:lang w:val="en-AU" w:eastAsia="en-AU" w:bidi="ar-SA"/>
        </w:rPr>
        <w:drawing>
          <wp:inline distT="0" distB="0" distL="0" distR="0" wp14:anchorId="5586F632" wp14:editId="359FC13E">
            <wp:extent cx="5595620" cy="1746885"/>
            <wp:effectExtent l="0" t="0" r="5080" b="5715"/>
            <wp:docPr id="25" name="Picture 25" descr="Table A 36 Comparison of the ms-PAF values of various hypothetical herbicide profiles (n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595620" cy="1746885"/>
                    </a:xfrm>
                    <a:prstGeom prst="rect">
                      <a:avLst/>
                    </a:prstGeom>
                    <a:noFill/>
                    <a:ln>
                      <a:noFill/>
                    </a:ln>
                  </pic:spPr>
                </pic:pic>
              </a:graphicData>
            </a:graphic>
          </wp:inline>
        </w:drawing>
      </w:r>
    </w:p>
    <w:p w14:paraId="0A4B9605" w14:textId="77777777" w:rsidR="000F4677" w:rsidRPr="000F4677" w:rsidRDefault="000F4677" w:rsidP="000F4677">
      <w:pPr>
        <w:spacing w:line="360" w:lineRule="auto"/>
        <w:rPr>
          <w:lang w:val="en-AU"/>
        </w:rPr>
      </w:pPr>
    </w:p>
    <w:p w14:paraId="10C6F3C5" w14:textId="77777777" w:rsidR="000F4677" w:rsidRPr="000F4677" w:rsidRDefault="000F4677" w:rsidP="000F4677">
      <w:pPr>
        <w:spacing w:line="360" w:lineRule="auto"/>
        <w:rPr>
          <w:lang w:val="en-AU"/>
        </w:rPr>
      </w:pPr>
      <w:r w:rsidRPr="000F4677">
        <w:rPr>
          <w:lang w:val="en-AU"/>
        </w:rPr>
        <w:t>It is clear that further careful consideration of the risk categories must be undertaken to capture the most ecologically relevant, reasonable and protective tipping points. Over-estimations of herbicide exposure can be politically challenging if imposing increasing regulation onto major industries.. Furthermore, it may unintentionally create difficulties in identifying and prioritising areas of greatest management concern as a higher number of sites may appear to be at risk. An under-estimation of herbicide exposure could be catastrophic for the health and resilience of a fragile ecosystem already subjected to multiple local and global stressors. Risk categories need to link to true change in land management practices (and specific targets set out by Reef Plan), be wide enough to include the inherent uncertainty in the method (which increases as the 99 % protection level is approached) but refined enough to capture improvements in water quality and meet the objectives of Reef Plan. Before adopting the ms-PAF as part of the MMP’s annual reporting, it is pertinent to wait until GVs have been approved and SSDs for all chemicals earmarked for inclusion have been constructed to prevent any retrospective adjustments and a more accurate assessment of the hazard of environmental mixtures present.</w:t>
      </w:r>
    </w:p>
    <w:p w14:paraId="3B8277A7" w14:textId="77777777" w:rsidR="000F4677" w:rsidRPr="000F4677" w:rsidRDefault="000F4677" w:rsidP="000F4677">
      <w:pPr>
        <w:spacing w:line="360" w:lineRule="auto"/>
      </w:pPr>
      <w:bookmarkStart w:id="1073" w:name="_Toc335638633"/>
      <w:bookmarkStart w:id="1074" w:name="_Toc335641243"/>
      <w:bookmarkStart w:id="1075" w:name="_Toc335638634"/>
      <w:bookmarkStart w:id="1076" w:name="_Toc335641244"/>
      <w:bookmarkStart w:id="1077" w:name="_Toc335638635"/>
      <w:bookmarkStart w:id="1078" w:name="_Toc335641245"/>
      <w:bookmarkStart w:id="1079" w:name="_Toc335638636"/>
      <w:bookmarkStart w:id="1080" w:name="_Toc335641246"/>
      <w:bookmarkStart w:id="1081" w:name="_Toc335638637"/>
      <w:bookmarkStart w:id="1082" w:name="_Toc335641247"/>
      <w:bookmarkEnd w:id="1073"/>
      <w:bookmarkEnd w:id="1074"/>
      <w:bookmarkEnd w:id="1075"/>
      <w:bookmarkEnd w:id="1076"/>
      <w:bookmarkEnd w:id="1077"/>
      <w:bookmarkEnd w:id="1078"/>
      <w:bookmarkEnd w:id="1079"/>
      <w:bookmarkEnd w:id="1080"/>
      <w:bookmarkEnd w:id="1081"/>
      <w:bookmarkEnd w:id="1082"/>
    </w:p>
    <w:p w14:paraId="17350628" w14:textId="77777777" w:rsidR="000F4677" w:rsidRPr="000F4677" w:rsidRDefault="000F4677" w:rsidP="000F4677"/>
    <w:p w14:paraId="0C85C399" w14:textId="42B5E9A8" w:rsidR="006130D4" w:rsidRDefault="006130D4"/>
    <w:sectPr w:rsidR="006130D4" w:rsidSect="006130D4">
      <w:type w:val="continuous"/>
      <w:pgSz w:w="11907" w:h="16840" w:code="9"/>
      <w:pgMar w:top="720" w:right="567"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DF5EE2" w14:textId="77777777" w:rsidR="00F5026A" w:rsidRDefault="00F5026A">
      <w:r>
        <w:separator/>
      </w:r>
    </w:p>
  </w:endnote>
  <w:endnote w:type="continuationSeparator" w:id="0">
    <w:p w14:paraId="17455649" w14:textId="77777777" w:rsidR="00F5026A" w:rsidRDefault="00F502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Myriad Pro">
    <w:altName w:val="Arial"/>
    <w:panose1 w:val="00000000000000000000"/>
    <w:charset w:val="00"/>
    <w:family w:val="swiss"/>
    <w:notTrueType/>
    <w:pitch w:val="variable"/>
    <w:sig w:usb0="00000001" w:usb1="5000204B"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2748729"/>
      <w:docPartObj>
        <w:docPartGallery w:val="Page Numbers (Bottom of Page)"/>
        <w:docPartUnique/>
      </w:docPartObj>
    </w:sdtPr>
    <w:sdtEndPr>
      <w:rPr>
        <w:noProof/>
      </w:rPr>
    </w:sdtEndPr>
    <w:sdtContent>
      <w:p w14:paraId="61394231" w14:textId="77777777" w:rsidR="00F5026A" w:rsidRDefault="00F5026A" w:rsidP="00934FAD">
        <w:pPr>
          <w:pStyle w:val="Footer"/>
          <w:pBdr>
            <w:top w:val="single" w:sz="12" w:space="1" w:color="0070C0"/>
          </w:pBdr>
          <w:jc w:val="center"/>
        </w:pPr>
        <w:r>
          <w:fldChar w:fldCharType="begin"/>
        </w:r>
        <w:r>
          <w:instrText xml:space="preserve"> PAGE   \* MERGEFORMAT </w:instrText>
        </w:r>
        <w:r>
          <w:fldChar w:fldCharType="separate"/>
        </w:r>
        <w:r w:rsidR="00F745D3">
          <w:rPr>
            <w:noProof/>
          </w:rPr>
          <w:t>viii</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8384542"/>
      <w:docPartObj>
        <w:docPartGallery w:val="Page Numbers (Bottom of Page)"/>
        <w:docPartUnique/>
      </w:docPartObj>
    </w:sdtPr>
    <w:sdtEndPr>
      <w:rPr>
        <w:noProof/>
      </w:rPr>
    </w:sdtEndPr>
    <w:sdtContent>
      <w:p w14:paraId="4BC614DC" w14:textId="77777777" w:rsidR="00F5026A" w:rsidRDefault="00F5026A" w:rsidP="00934FAD">
        <w:pPr>
          <w:pStyle w:val="Footer"/>
          <w:pBdr>
            <w:top w:val="single" w:sz="12" w:space="1" w:color="0070C0"/>
          </w:pBdr>
          <w:jc w:val="center"/>
        </w:pPr>
        <w:r>
          <w:fldChar w:fldCharType="begin"/>
        </w:r>
        <w:r>
          <w:instrText xml:space="preserve"> PAGE   \* MERGEFORMAT </w:instrText>
        </w:r>
        <w:r>
          <w:fldChar w:fldCharType="separate"/>
        </w:r>
        <w:r w:rsidR="00F745D3">
          <w:rPr>
            <w:noProof/>
          </w:rPr>
          <w:t>130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AF43B7" w14:textId="77777777" w:rsidR="00F5026A" w:rsidRDefault="00F5026A">
      <w:r>
        <w:separator/>
      </w:r>
    </w:p>
  </w:footnote>
  <w:footnote w:type="continuationSeparator" w:id="0">
    <w:p w14:paraId="69070B75" w14:textId="77777777" w:rsidR="00F5026A" w:rsidRDefault="00F502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632F29" w14:textId="77777777" w:rsidR="00F5026A" w:rsidRPr="00123A23" w:rsidRDefault="00F745D3" w:rsidP="007A17C3">
    <w:pPr>
      <w:pStyle w:val="Header"/>
      <w:rPr>
        <w:color w:val="BFBFBF" w:themeColor="background1" w:themeShade="BF"/>
        <w:sz w:val="16"/>
        <w:szCs w:val="16"/>
      </w:rPr>
    </w:pPr>
    <w:sdt>
      <w:sdtPr>
        <w:rPr>
          <w:sz w:val="16"/>
          <w:szCs w:val="16"/>
        </w:rPr>
        <w:id w:val="-1602561933"/>
        <w:docPartObj>
          <w:docPartGallery w:val="Watermarks"/>
          <w:docPartUnique/>
        </w:docPartObj>
      </w:sdtPr>
      <w:sdtEndP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377F" w14:textId="77777777" w:rsidR="00F5026A" w:rsidRPr="00C43B68" w:rsidRDefault="00F745D3" w:rsidP="00737A21">
    <w:pPr>
      <w:pBdr>
        <w:bottom w:val="single" w:sz="12" w:space="1" w:color="0070C0"/>
      </w:pBdr>
      <w:rPr>
        <w:rFonts w:cs="Arial"/>
        <w:sz w:val="18"/>
        <w:lang w:val="en-AU"/>
      </w:rPr>
    </w:pPr>
    <w:sdt>
      <w:sdtPr>
        <w:rPr>
          <w:sz w:val="16"/>
          <w:szCs w:val="16"/>
        </w:rPr>
        <w:id w:val="1166439516"/>
        <w:docPartObj>
          <w:docPartGallery w:val="Watermarks"/>
          <w:docPartUnique/>
        </w:docPartObj>
      </w:sdtPr>
      <w:sdtEndPr/>
      <w:sdtContent/>
    </w:sdt>
    <w:r w:rsidR="00F5026A" w:rsidRPr="00737A21">
      <w:rPr>
        <w:rFonts w:cs="Arial"/>
        <w:sz w:val="18"/>
        <w:lang w:val="en-AU"/>
      </w:rPr>
      <w:t xml:space="preserve"> </w:t>
    </w:r>
    <w:r w:rsidR="00F5026A">
      <w:rPr>
        <w:rFonts w:cs="Arial"/>
        <w:sz w:val="18"/>
        <w:lang w:val="en-AU"/>
      </w:rPr>
      <w:t>Marine Monitoring Program: Annual Report for inshore pesticide monitoring 2014-2015</w:t>
    </w:r>
  </w:p>
  <w:p w14:paraId="6F33E5F7" w14:textId="77777777" w:rsidR="00F5026A" w:rsidRPr="00123A23" w:rsidRDefault="00F5026A" w:rsidP="00737A21">
    <w:pPr>
      <w:pStyle w:val="Header"/>
      <w:rPr>
        <w:color w:val="BFBFBF" w:themeColor="background1" w:themeShade="BF"/>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279"/>
    <w:multiLevelType w:val="hybridMultilevel"/>
    <w:tmpl w:val="139A4CE4"/>
    <w:lvl w:ilvl="0" w:tplc="664A7A1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3590F4D"/>
    <w:multiLevelType w:val="hybridMultilevel"/>
    <w:tmpl w:val="3B36FF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6580598"/>
    <w:multiLevelType w:val="hybridMultilevel"/>
    <w:tmpl w:val="C73E0E76"/>
    <w:lvl w:ilvl="0" w:tplc="61405044">
      <w:numFmt w:val="bullet"/>
      <w:lvlText w:val="-"/>
      <w:lvlJc w:val="left"/>
      <w:pPr>
        <w:ind w:left="720" w:hanging="360"/>
      </w:pPr>
      <w:rPr>
        <w:rFonts w:ascii="Calibri" w:eastAsia="Calibri" w:hAnsi="Calibri" w:cs="Calibri"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0DE36447"/>
    <w:multiLevelType w:val="hybridMultilevel"/>
    <w:tmpl w:val="73727D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0720AC6"/>
    <w:multiLevelType w:val="hybridMultilevel"/>
    <w:tmpl w:val="F4BECA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13C59EF"/>
    <w:multiLevelType w:val="hybridMultilevel"/>
    <w:tmpl w:val="B7CECB88"/>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6">
    <w:nsid w:val="116A54A4"/>
    <w:multiLevelType w:val="hybridMultilevel"/>
    <w:tmpl w:val="AC549E4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32A56A4"/>
    <w:multiLevelType w:val="hybridMultilevel"/>
    <w:tmpl w:val="37AC248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19080D17"/>
    <w:multiLevelType w:val="hybridMultilevel"/>
    <w:tmpl w:val="B8BCA6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B4A0C56"/>
    <w:multiLevelType w:val="hybridMultilevel"/>
    <w:tmpl w:val="C8AE59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1F4711EF"/>
    <w:multiLevelType w:val="hybridMultilevel"/>
    <w:tmpl w:val="70700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4661A83"/>
    <w:multiLevelType w:val="hybridMultilevel"/>
    <w:tmpl w:val="AED4A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24E474A9"/>
    <w:multiLevelType w:val="hybridMultilevel"/>
    <w:tmpl w:val="8926E1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A3C73FE"/>
    <w:multiLevelType w:val="hybridMultilevel"/>
    <w:tmpl w:val="2DA69668"/>
    <w:lvl w:ilvl="0" w:tplc="9A30B9DE">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2B797DB1"/>
    <w:multiLevelType w:val="hybridMultilevel"/>
    <w:tmpl w:val="18607C5C"/>
    <w:lvl w:ilvl="0" w:tplc="739C9F06">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2C4A459C"/>
    <w:multiLevelType w:val="hybridMultilevel"/>
    <w:tmpl w:val="6F162F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2F9771F3"/>
    <w:multiLevelType w:val="hybridMultilevel"/>
    <w:tmpl w:val="8970EF42"/>
    <w:lvl w:ilvl="0" w:tplc="0C090001">
      <w:start w:val="1"/>
      <w:numFmt w:val="bullet"/>
      <w:lvlText w:val=""/>
      <w:lvlJc w:val="left"/>
      <w:pPr>
        <w:ind w:left="750" w:hanging="360"/>
      </w:pPr>
      <w:rPr>
        <w:rFonts w:ascii="Symbol" w:hAnsi="Symbol" w:hint="default"/>
      </w:r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18">
    <w:nsid w:val="31E43B3A"/>
    <w:multiLevelType w:val="hybridMultilevel"/>
    <w:tmpl w:val="7DF48A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37F33400"/>
    <w:multiLevelType w:val="hybridMultilevel"/>
    <w:tmpl w:val="3B0210A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3A905A4E"/>
    <w:multiLevelType w:val="hybridMultilevel"/>
    <w:tmpl w:val="55DC6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43C22FE8"/>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nsid w:val="458B3349"/>
    <w:multiLevelType w:val="hybridMultilevel"/>
    <w:tmpl w:val="55FE86A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5">
    <w:nsid w:val="4B9E3C8F"/>
    <w:multiLevelType w:val="hybridMultilevel"/>
    <w:tmpl w:val="FB626CE8"/>
    <w:lvl w:ilvl="0" w:tplc="0C09001B">
      <w:start w:val="1"/>
      <w:numFmt w:val="lowerRoman"/>
      <w:lvlText w:val="%1."/>
      <w:lvlJc w:val="righ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6">
    <w:nsid w:val="4BDC6957"/>
    <w:multiLevelType w:val="hybridMultilevel"/>
    <w:tmpl w:val="F3C80892"/>
    <w:lvl w:ilvl="0" w:tplc="0C09000F">
      <w:start w:val="1"/>
      <w:numFmt w:val="decimal"/>
      <w:lvlText w:val="%1."/>
      <w:lvlJc w:val="left"/>
      <w:pPr>
        <w:ind w:left="750" w:hanging="360"/>
      </w:p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27">
    <w:nsid w:val="4FAA7F53"/>
    <w:multiLevelType w:val="hybridMultilevel"/>
    <w:tmpl w:val="AA10D2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95E3C8A"/>
    <w:multiLevelType w:val="hybridMultilevel"/>
    <w:tmpl w:val="578C24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5A5D6986"/>
    <w:multiLevelType w:val="hybridMultilevel"/>
    <w:tmpl w:val="1E0054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65F52D56"/>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nsid w:val="673B0772"/>
    <w:multiLevelType w:val="hybridMultilevel"/>
    <w:tmpl w:val="3EA6F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A21301D"/>
    <w:multiLevelType w:val="multilevel"/>
    <w:tmpl w:val="92426A56"/>
    <w:lvl w:ilvl="0">
      <w:start w:val="1"/>
      <w:numFmt w:val="decimal"/>
      <w:pStyle w:val="Heading1"/>
      <w:lvlText w:val="%1"/>
      <w:lvlJc w:val="left"/>
      <w:pPr>
        <w:ind w:left="432" w:hanging="432"/>
      </w:pPr>
      <w:rPr>
        <w:rFonts w:hint="default"/>
        <w:sz w:val="32"/>
      </w:rPr>
    </w:lvl>
    <w:lvl w:ilvl="1">
      <w:start w:val="1"/>
      <w:numFmt w:val="decimal"/>
      <w:pStyle w:val="Heading2"/>
      <w:lvlText w:val="%1.%2"/>
      <w:lvlJc w:val="left"/>
      <w:pPr>
        <w:ind w:left="4971" w:hanging="576"/>
      </w:pPr>
      <w:rPr>
        <w:rFonts w:hint="default"/>
      </w:rPr>
    </w:lvl>
    <w:lvl w:ilvl="2">
      <w:start w:val="1"/>
      <w:numFmt w:val="decimal"/>
      <w:pStyle w:val="Heading3"/>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3">
    <w:nsid w:val="6AEB0AFB"/>
    <w:multiLevelType w:val="hybridMultilevel"/>
    <w:tmpl w:val="D624A662"/>
    <w:lvl w:ilvl="0" w:tplc="7FAA456A">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729E59D8"/>
    <w:multiLevelType w:val="hybridMultilevel"/>
    <w:tmpl w:val="0046F43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nsid w:val="72B85B57"/>
    <w:multiLevelType w:val="hybridMultilevel"/>
    <w:tmpl w:val="DF3A37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nsid w:val="73595CB0"/>
    <w:multiLevelType w:val="hybridMultilevel"/>
    <w:tmpl w:val="856C274C"/>
    <w:lvl w:ilvl="0" w:tplc="0C090001">
      <w:start w:val="1"/>
      <w:numFmt w:val="bullet"/>
      <w:lvlText w:val=""/>
      <w:lvlJc w:val="left"/>
      <w:pPr>
        <w:ind w:left="784" w:hanging="360"/>
      </w:pPr>
      <w:rPr>
        <w:rFonts w:ascii="Symbol" w:hAnsi="Symbol" w:hint="default"/>
      </w:rPr>
    </w:lvl>
    <w:lvl w:ilvl="1" w:tplc="0C090003" w:tentative="1">
      <w:start w:val="1"/>
      <w:numFmt w:val="bullet"/>
      <w:lvlText w:val="o"/>
      <w:lvlJc w:val="left"/>
      <w:pPr>
        <w:ind w:left="1504" w:hanging="360"/>
      </w:pPr>
      <w:rPr>
        <w:rFonts w:ascii="Courier New" w:hAnsi="Courier New" w:cs="Courier New" w:hint="default"/>
      </w:rPr>
    </w:lvl>
    <w:lvl w:ilvl="2" w:tplc="0C090005" w:tentative="1">
      <w:start w:val="1"/>
      <w:numFmt w:val="bullet"/>
      <w:lvlText w:val=""/>
      <w:lvlJc w:val="left"/>
      <w:pPr>
        <w:ind w:left="2224" w:hanging="360"/>
      </w:pPr>
      <w:rPr>
        <w:rFonts w:ascii="Wingdings" w:hAnsi="Wingdings" w:hint="default"/>
      </w:rPr>
    </w:lvl>
    <w:lvl w:ilvl="3" w:tplc="0C090001" w:tentative="1">
      <w:start w:val="1"/>
      <w:numFmt w:val="bullet"/>
      <w:lvlText w:val=""/>
      <w:lvlJc w:val="left"/>
      <w:pPr>
        <w:ind w:left="2944" w:hanging="360"/>
      </w:pPr>
      <w:rPr>
        <w:rFonts w:ascii="Symbol" w:hAnsi="Symbol" w:hint="default"/>
      </w:rPr>
    </w:lvl>
    <w:lvl w:ilvl="4" w:tplc="0C090003" w:tentative="1">
      <w:start w:val="1"/>
      <w:numFmt w:val="bullet"/>
      <w:lvlText w:val="o"/>
      <w:lvlJc w:val="left"/>
      <w:pPr>
        <w:ind w:left="3664" w:hanging="360"/>
      </w:pPr>
      <w:rPr>
        <w:rFonts w:ascii="Courier New" w:hAnsi="Courier New" w:cs="Courier New" w:hint="default"/>
      </w:rPr>
    </w:lvl>
    <w:lvl w:ilvl="5" w:tplc="0C090005" w:tentative="1">
      <w:start w:val="1"/>
      <w:numFmt w:val="bullet"/>
      <w:lvlText w:val=""/>
      <w:lvlJc w:val="left"/>
      <w:pPr>
        <w:ind w:left="4384" w:hanging="360"/>
      </w:pPr>
      <w:rPr>
        <w:rFonts w:ascii="Wingdings" w:hAnsi="Wingdings" w:hint="default"/>
      </w:rPr>
    </w:lvl>
    <w:lvl w:ilvl="6" w:tplc="0C090001" w:tentative="1">
      <w:start w:val="1"/>
      <w:numFmt w:val="bullet"/>
      <w:lvlText w:val=""/>
      <w:lvlJc w:val="left"/>
      <w:pPr>
        <w:ind w:left="5104" w:hanging="360"/>
      </w:pPr>
      <w:rPr>
        <w:rFonts w:ascii="Symbol" w:hAnsi="Symbol" w:hint="default"/>
      </w:rPr>
    </w:lvl>
    <w:lvl w:ilvl="7" w:tplc="0C090003" w:tentative="1">
      <w:start w:val="1"/>
      <w:numFmt w:val="bullet"/>
      <w:lvlText w:val="o"/>
      <w:lvlJc w:val="left"/>
      <w:pPr>
        <w:ind w:left="5824" w:hanging="360"/>
      </w:pPr>
      <w:rPr>
        <w:rFonts w:ascii="Courier New" w:hAnsi="Courier New" w:cs="Courier New" w:hint="default"/>
      </w:rPr>
    </w:lvl>
    <w:lvl w:ilvl="8" w:tplc="0C090005" w:tentative="1">
      <w:start w:val="1"/>
      <w:numFmt w:val="bullet"/>
      <w:lvlText w:val=""/>
      <w:lvlJc w:val="left"/>
      <w:pPr>
        <w:ind w:left="6544" w:hanging="360"/>
      </w:pPr>
      <w:rPr>
        <w:rFonts w:ascii="Wingdings" w:hAnsi="Wingdings" w:hint="default"/>
      </w:rPr>
    </w:lvl>
  </w:abstractNum>
  <w:abstractNum w:abstractNumId="37">
    <w:nsid w:val="7391525B"/>
    <w:multiLevelType w:val="hybridMultilevel"/>
    <w:tmpl w:val="6C86B4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57440D0"/>
    <w:multiLevelType w:val="hybridMultilevel"/>
    <w:tmpl w:val="63AC458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nsid w:val="76CE1EAC"/>
    <w:multiLevelType w:val="hybridMultilevel"/>
    <w:tmpl w:val="A5E6D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nsid w:val="79311701"/>
    <w:multiLevelType w:val="hybridMultilevel"/>
    <w:tmpl w:val="5E6A6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7B320669"/>
    <w:multiLevelType w:val="hybridMultilevel"/>
    <w:tmpl w:val="4B14D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2"/>
  </w:num>
  <w:num w:numId="2">
    <w:abstractNumId w:val="32"/>
  </w:num>
  <w:num w:numId="3">
    <w:abstractNumId w:val="32"/>
  </w:num>
  <w:num w:numId="4">
    <w:abstractNumId w:val="32"/>
  </w:num>
  <w:num w:numId="5">
    <w:abstractNumId w:val="32"/>
  </w:num>
  <w:num w:numId="6">
    <w:abstractNumId w:val="32"/>
  </w:num>
  <w:num w:numId="7">
    <w:abstractNumId w:val="32"/>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16"/>
  </w:num>
  <w:num w:numId="12">
    <w:abstractNumId w:val="42"/>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7"/>
  </w:num>
  <w:num w:numId="15">
    <w:abstractNumId w:val="26"/>
  </w:num>
  <w:num w:numId="16">
    <w:abstractNumId w:val="25"/>
  </w:num>
  <w:num w:numId="17">
    <w:abstractNumId w:val="7"/>
  </w:num>
  <w:num w:numId="18">
    <w:abstractNumId w:val="2"/>
  </w:num>
  <w:num w:numId="19">
    <w:abstractNumId w:val="5"/>
  </w:num>
  <w:num w:numId="20">
    <w:abstractNumId w:val="19"/>
  </w:num>
  <w:num w:numId="21">
    <w:abstractNumId w:val="21"/>
  </w:num>
  <w:num w:numId="22">
    <w:abstractNumId w:val="30"/>
  </w:num>
  <w:num w:numId="23">
    <w:abstractNumId w:val="1"/>
  </w:num>
  <w:num w:numId="24">
    <w:abstractNumId w:val="0"/>
  </w:num>
  <w:num w:numId="25">
    <w:abstractNumId w:val="39"/>
  </w:num>
  <w:num w:numId="26">
    <w:abstractNumId w:val="38"/>
  </w:num>
  <w:num w:numId="27">
    <w:abstractNumId w:val="17"/>
  </w:num>
  <w:num w:numId="28">
    <w:abstractNumId w:val="20"/>
  </w:num>
  <w:num w:numId="29">
    <w:abstractNumId w:val="31"/>
  </w:num>
  <w:num w:numId="30">
    <w:abstractNumId w:val="29"/>
  </w:num>
  <w:num w:numId="31">
    <w:abstractNumId w:val="41"/>
  </w:num>
  <w:num w:numId="32">
    <w:abstractNumId w:val="11"/>
  </w:num>
  <w:num w:numId="33">
    <w:abstractNumId w:val="35"/>
  </w:num>
  <w:num w:numId="34">
    <w:abstractNumId w:val="9"/>
  </w:num>
  <w:num w:numId="35">
    <w:abstractNumId w:val="22"/>
  </w:num>
  <w:num w:numId="36">
    <w:abstractNumId w:val="33"/>
  </w:num>
  <w:num w:numId="37">
    <w:abstractNumId w:val="28"/>
  </w:num>
  <w:num w:numId="38">
    <w:abstractNumId w:val="14"/>
  </w:num>
  <w:num w:numId="39">
    <w:abstractNumId w:val="15"/>
  </w:num>
  <w:num w:numId="40">
    <w:abstractNumId w:val="10"/>
  </w:num>
  <w:num w:numId="41">
    <w:abstractNumId w:val="6"/>
  </w:num>
  <w:num w:numId="42">
    <w:abstractNumId w:val="13"/>
  </w:num>
  <w:num w:numId="43">
    <w:abstractNumId w:val="18"/>
  </w:num>
  <w:num w:numId="44">
    <w:abstractNumId w:val="36"/>
  </w:num>
  <w:num w:numId="45">
    <w:abstractNumId w:val="8"/>
  </w:num>
  <w:num w:numId="46">
    <w:abstractNumId w:val="3"/>
  </w:num>
  <w:num w:numId="47">
    <w:abstractNumId w:val="12"/>
  </w:num>
  <w:num w:numId="48">
    <w:abstractNumId w:val="27"/>
  </w:num>
  <w:num w:numId="49">
    <w:abstractNumId w:val="4"/>
  </w:num>
  <w:num w:numId="50">
    <w:abstractNumId w:val="34"/>
  </w:num>
  <w:num w:numId="51">
    <w:abstractNumId w:val="4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zzrztwe5p59skesdrqpsfeu2s0xt5zd5v9p&quot;&gt;Christie&amp;apos;s EndNote Library&lt;record-ids&gt;&lt;item&gt;24&lt;/item&gt;&lt;item&gt;129&lt;/item&gt;&lt;item&gt;185&lt;/item&gt;&lt;item&gt;186&lt;/item&gt;&lt;item&gt;220&lt;/item&gt;&lt;item&gt;221&lt;/item&gt;&lt;item&gt;222&lt;/item&gt;&lt;item&gt;224&lt;/item&gt;&lt;item&gt;284&lt;/item&gt;&lt;item&gt;285&lt;/item&gt;&lt;item&gt;286&lt;/item&gt;&lt;item&gt;288&lt;/item&gt;&lt;item&gt;289&lt;/item&gt;&lt;item&gt;293&lt;/item&gt;&lt;item&gt;297&lt;/item&gt;&lt;item&gt;298&lt;/item&gt;&lt;item&gt;299&lt;/item&gt;&lt;item&gt;300&lt;/item&gt;&lt;item&gt;302&lt;/item&gt;&lt;item&gt;303&lt;/item&gt;&lt;item&gt;304&lt;/item&gt;&lt;item&gt;305&lt;/item&gt;&lt;item&gt;306&lt;/item&gt;&lt;item&gt;307&lt;/item&gt;&lt;item&gt;315&lt;/item&gt;&lt;item&gt;319&lt;/item&gt;&lt;item&gt;322&lt;/item&gt;&lt;item&gt;323&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5&lt;/item&gt;&lt;item&gt;366&lt;/item&gt;&lt;item&gt;367&lt;/item&gt;&lt;item&gt;368&lt;/item&gt;&lt;item&gt;369&lt;/item&gt;&lt;item&gt;370&lt;/item&gt;&lt;item&gt;371&lt;/item&gt;&lt;item&gt;372&lt;/item&gt;&lt;item&gt;373&lt;/item&gt;&lt;item&gt;374&lt;/item&gt;&lt;/record-ids&gt;&lt;/item&gt;&lt;/Libraries&gt;"/>
  </w:docVars>
  <w:rsids>
    <w:rsidRoot w:val="0059608E"/>
    <w:rsid w:val="000001D7"/>
    <w:rsid w:val="00003CF2"/>
    <w:rsid w:val="000070BE"/>
    <w:rsid w:val="00010DAB"/>
    <w:rsid w:val="00013663"/>
    <w:rsid w:val="000138A8"/>
    <w:rsid w:val="000157EF"/>
    <w:rsid w:val="00017A34"/>
    <w:rsid w:val="00021622"/>
    <w:rsid w:val="00024097"/>
    <w:rsid w:val="00025878"/>
    <w:rsid w:val="00027377"/>
    <w:rsid w:val="0003095A"/>
    <w:rsid w:val="00033D0E"/>
    <w:rsid w:val="000363B8"/>
    <w:rsid w:val="00037E71"/>
    <w:rsid w:val="00042332"/>
    <w:rsid w:val="00044334"/>
    <w:rsid w:val="0004744A"/>
    <w:rsid w:val="00057A40"/>
    <w:rsid w:val="00063699"/>
    <w:rsid w:val="00064328"/>
    <w:rsid w:val="0006758A"/>
    <w:rsid w:val="00070AD6"/>
    <w:rsid w:val="00071755"/>
    <w:rsid w:val="00072562"/>
    <w:rsid w:val="000739B0"/>
    <w:rsid w:val="00073C4E"/>
    <w:rsid w:val="00077F7F"/>
    <w:rsid w:val="00080CCC"/>
    <w:rsid w:val="00091338"/>
    <w:rsid w:val="00091AC3"/>
    <w:rsid w:val="000926F0"/>
    <w:rsid w:val="00092762"/>
    <w:rsid w:val="000968C6"/>
    <w:rsid w:val="000A4BE1"/>
    <w:rsid w:val="000A4E92"/>
    <w:rsid w:val="000C1191"/>
    <w:rsid w:val="000C31AA"/>
    <w:rsid w:val="000D05E0"/>
    <w:rsid w:val="000D22D5"/>
    <w:rsid w:val="000D347F"/>
    <w:rsid w:val="000D4DA6"/>
    <w:rsid w:val="000E1DE5"/>
    <w:rsid w:val="000F04BC"/>
    <w:rsid w:val="000F4677"/>
    <w:rsid w:val="000F7A33"/>
    <w:rsid w:val="001018CD"/>
    <w:rsid w:val="00101FCA"/>
    <w:rsid w:val="00106CE5"/>
    <w:rsid w:val="00116D87"/>
    <w:rsid w:val="00116E95"/>
    <w:rsid w:val="001176C7"/>
    <w:rsid w:val="001243CD"/>
    <w:rsid w:val="00126EC3"/>
    <w:rsid w:val="00134D0C"/>
    <w:rsid w:val="00136467"/>
    <w:rsid w:val="00142FDE"/>
    <w:rsid w:val="0014321B"/>
    <w:rsid w:val="001445C6"/>
    <w:rsid w:val="001472CF"/>
    <w:rsid w:val="001474A3"/>
    <w:rsid w:val="00154E42"/>
    <w:rsid w:val="001572EB"/>
    <w:rsid w:val="00160436"/>
    <w:rsid w:val="00165BFA"/>
    <w:rsid w:val="00173558"/>
    <w:rsid w:val="00173793"/>
    <w:rsid w:val="00183D48"/>
    <w:rsid w:val="00184D34"/>
    <w:rsid w:val="001926A3"/>
    <w:rsid w:val="00197A1A"/>
    <w:rsid w:val="001A06D9"/>
    <w:rsid w:val="001A16CC"/>
    <w:rsid w:val="001A2D80"/>
    <w:rsid w:val="001A2E6B"/>
    <w:rsid w:val="001A402B"/>
    <w:rsid w:val="001A441D"/>
    <w:rsid w:val="001B2B4A"/>
    <w:rsid w:val="001B5463"/>
    <w:rsid w:val="001B634A"/>
    <w:rsid w:val="001B7372"/>
    <w:rsid w:val="001C60B7"/>
    <w:rsid w:val="001C7496"/>
    <w:rsid w:val="001C768E"/>
    <w:rsid w:val="001C7A9D"/>
    <w:rsid w:val="001D1EBC"/>
    <w:rsid w:val="001D2B79"/>
    <w:rsid w:val="001D2C8C"/>
    <w:rsid w:val="001D5523"/>
    <w:rsid w:val="001D71F3"/>
    <w:rsid w:val="001E2115"/>
    <w:rsid w:val="001E4F85"/>
    <w:rsid w:val="001E64BD"/>
    <w:rsid w:val="001F3C67"/>
    <w:rsid w:val="001F6E6F"/>
    <w:rsid w:val="001F6F89"/>
    <w:rsid w:val="001F7866"/>
    <w:rsid w:val="001F7FD5"/>
    <w:rsid w:val="002024B3"/>
    <w:rsid w:val="002075A3"/>
    <w:rsid w:val="00210186"/>
    <w:rsid w:val="00210DB6"/>
    <w:rsid w:val="00211973"/>
    <w:rsid w:val="00211ECA"/>
    <w:rsid w:val="0021409B"/>
    <w:rsid w:val="00214465"/>
    <w:rsid w:val="0021595B"/>
    <w:rsid w:val="00216278"/>
    <w:rsid w:val="0021703F"/>
    <w:rsid w:val="002257D2"/>
    <w:rsid w:val="00226BA6"/>
    <w:rsid w:val="00227C91"/>
    <w:rsid w:val="002333F3"/>
    <w:rsid w:val="00234ADB"/>
    <w:rsid w:val="00244ECD"/>
    <w:rsid w:val="00251429"/>
    <w:rsid w:val="0025254D"/>
    <w:rsid w:val="0025341A"/>
    <w:rsid w:val="00255D58"/>
    <w:rsid w:val="00256759"/>
    <w:rsid w:val="00262F51"/>
    <w:rsid w:val="0026338B"/>
    <w:rsid w:val="0026563F"/>
    <w:rsid w:val="00272C48"/>
    <w:rsid w:val="00282F1C"/>
    <w:rsid w:val="002831E3"/>
    <w:rsid w:val="0029088E"/>
    <w:rsid w:val="00294EE0"/>
    <w:rsid w:val="002957D6"/>
    <w:rsid w:val="002A1175"/>
    <w:rsid w:val="002A4623"/>
    <w:rsid w:val="002A4CF4"/>
    <w:rsid w:val="002A54BA"/>
    <w:rsid w:val="002A6493"/>
    <w:rsid w:val="002A70ED"/>
    <w:rsid w:val="002A7759"/>
    <w:rsid w:val="002B1C8E"/>
    <w:rsid w:val="002B221B"/>
    <w:rsid w:val="002B7D0B"/>
    <w:rsid w:val="002C09A3"/>
    <w:rsid w:val="002C0F70"/>
    <w:rsid w:val="002D1A1F"/>
    <w:rsid w:val="002D3975"/>
    <w:rsid w:val="002D66EC"/>
    <w:rsid w:val="002D69E3"/>
    <w:rsid w:val="002D7706"/>
    <w:rsid w:val="002D7D11"/>
    <w:rsid w:val="002E0DBE"/>
    <w:rsid w:val="002E31D7"/>
    <w:rsid w:val="002E50D5"/>
    <w:rsid w:val="002F1196"/>
    <w:rsid w:val="002F2B0F"/>
    <w:rsid w:val="002F5AD2"/>
    <w:rsid w:val="003023DF"/>
    <w:rsid w:val="00304720"/>
    <w:rsid w:val="0030520A"/>
    <w:rsid w:val="00310F2D"/>
    <w:rsid w:val="003115C8"/>
    <w:rsid w:val="0031409D"/>
    <w:rsid w:val="00314F72"/>
    <w:rsid w:val="003169FC"/>
    <w:rsid w:val="00317F75"/>
    <w:rsid w:val="003211C1"/>
    <w:rsid w:val="003222BD"/>
    <w:rsid w:val="00322C1E"/>
    <w:rsid w:val="00322E2A"/>
    <w:rsid w:val="00325C57"/>
    <w:rsid w:val="0033013C"/>
    <w:rsid w:val="00331023"/>
    <w:rsid w:val="00333736"/>
    <w:rsid w:val="00336D86"/>
    <w:rsid w:val="00340463"/>
    <w:rsid w:val="00341670"/>
    <w:rsid w:val="00341C40"/>
    <w:rsid w:val="00352CEF"/>
    <w:rsid w:val="0035466C"/>
    <w:rsid w:val="00354760"/>
    <w:rsid w:val="0036022C"/>
    <w:rsid w:val="00360637"/>
    <w:rsid w:val="00366908"/>
    <w:rsid w:val="00371ED5"/>
    <w:rsid w:val="003726A6"/>
    <w:rsid w:val="0037490D"/>
    <w:rsid w:val="00380C15"/>
    <w:rsid w:val="003818D1"/>
    <w:rsid w:val="00384558"/>
    <w:rsid w:val="00384BD6"/>
    <w:rsid w:val="00386D0B"/>
    <w:rsid w:val="00393453"/>
    <w:rsid w:val="003957B7"/>
    <w:rsid w:val="003965F0"/>
    <w:rsid w:val="003A0CB5"/>
    <w:rsid w:val="003A6B8E"/>
    <w:rsid w:val="003A76CE"/>
    <w:rsid w:val="003B1094"/>
    <w:rsid w:val="003B7611"/>
    <w:rsid w:val="003C044A"/>
    <w:rsid w:val="003C12B5"/>
    <w:rsid w:val="003C20CC"/>
    <w:rsid w:val="003C39F3"/>
    <w:rsid w:val="003D3B76"/>
    <w:rsid w:val="003E00CF"/>
    <w:rsid w:val="003E123F"/>
    <w:rsid w:val="003E46D4"/>
    <w:rsid w:val="003E6474"/>
    <w:rsid w:val="003F2CEF"/>
    <w:rsid w:val="003F3F70"/>
    <w:rsid w:val="0040186D"/>
    <w:rsid w:val="00406531"/>
    <w:rsid w:val="00406CB8"/>
    <w:rsid w:val="004119AE"/>
    <w:rsid w:val="0041428E"/>
    <w:rsid w:val="004148D2"/>
    <w:rsid w:val="004149C8"/>
    <w:rsid w:val="00415EB6"/>
    <w:rsid w:val="00416651"/>
    <w:rsid w:val="00417119"/>
    <w:rsid w:val="00420835"/>
    <w:rsid w:val="004216B6"/>
    <w:rsid w:val="00424B10"/>
    <w:rsid w:val="00427244"/>
    <w:rsid w:val="00434A56"/>
    <w:rsid w:val="00437E42"/>
    <w:rsid w:val="00437F9C"/>
    <w:rsid w:val="004404AE"/>
    <w:rsid w:val="00441B7F"/>
    <w:rsid w:val="00444BDE"/>
    <w:rsid w:val="004476C4"/>
    <w:rsid w:val="0045011E"/>
    <w:rsid w:val="00454ECC"/>
    <w:rsid w:val="00457EF8"/>
    <w:rsid w:val="00461163"/>
    <w:rsid w:val="004638BA"/>
    <w:rsid w:val="00464B07"/>
    <w:rsid w:val="00466E31"/>
    <w:rsid w:val="00466EAE"/>
    <w:rsid w:val="004725CE"/>
    <w:rsid w:val="00482572"/>
    <w:rsid w:val="00483FF1"/>
    <w:rsid w:val="00484C84"/>
    <w:rsid w:val="00490189"/>
    <w:rsid w:val="00494440"/>
    <w:rsid w:val="00494EEE"/>
    <w:rsid w:val="004966B3"/>
    <w:rsid w:val="004A0239"/>
    <w:rsid w:val="004A1037"/>
    <w:rsid w:val="004A356A"/>
    <w:rsid w:val="004A4184"/>
    <w:rsid w:val="004A4B59"/>
    <w:rsid w:val="004A796E"/>
    <w:rsid w:val="004B0D66"/>
    <w:rsid w:val="004B2181"/>
    <w:rsid w:val="004B265F"/>
    <w:rsid w:val="004B3227"/>
    <w:rsid w:val="004C0982"/>
    <w:rsid w:val="004C7831"/>
    <w:rsid w:val="004D2460"/>
    <w:rsid w:val="004D4B0A"/>
    <w:rsid w:val="004E1449"/>
    <w:rsid w:val="004E644A"/>
    <w:rsid w:val="004F6451"/>
    <w:rsid w:val="004F6F15"/>
    <w:rsid w:val="005001A1"/>
    <w:rsid w:val="005006B0"/>
    <w:rsid w:val="00502D22"/>
    <w:rsid w:val="00503D58"/>
    <w:rsid w:val="0050579D"/>
    <w:rsid w:val="00505B13"/>
    <w:rsid w:val="00506FED"/>
    <w:rsid w:val="0050764C"/>
    <w:rsid w:val="005122BC"/>
    <w:rsid w:val="005167FF"/>
    <w:rsid w:val="00520266"/>
    <w:rsid w:val="0053288D"/>
    <w:rsid w:val="00532FEB"/>
    <w:rsid w:val="00535FB5"/>
    <w:rsid w:val="00536699"/>
    <w:rsid w:val="00537818"/>
    <w:rsid w:val="005421FE"/>
    <w:rsid w:val="005442CE"/>
    <w:rsid w:val="005462D6"/>
    <w:rsid w:val="00555C2C"/>
    <w:rsid w:val="005644DD"/>
    <w:rsid w:val="00581B7C"/>
    <w:rsid w:val="005837E4"/>
    <w:rsid w:val="0058761E"/>
    <w:rsid w:val="0059020F"/>
    <w:rsid w:val="00590F0F"/>
    <w:rsid w:val="00591353"/>
    <w:rsid w:val="00593816"/>
    <w:rsid w:val="00595104"/>
    <w:rsid w:val="0059608E"/>
    <w:rsid w:val="005A1DD8"/>
    <w:rsid w:val="005A262E"/>
    <w:rsid w:val="005A75FD"/>
    <w:rsid w:val="005B5472"/>
    <w:rsid w:val="005D4778"/>
    <w:rsid w:val="005D5E09"/>
    <w:rsid w:val="005E2835"/>
    <w:rsid w:val="005E28AA"/>
    <w:rsid w:val="005E2EA7"/>
    <w:rsid w:val="005E3E51"/>
    <w:rsid w:val="005F31CE"/>
    <w:rsid w:val="0060015A"/>
    <w:rsid w:val="0060513C"/>
    <w:rsid w:val="00611004"/>
    <w:rsid w:val="006130D4"/>
    <w:rsid w:val="00613561"/>
    <w:rsid w:val="0061405D"/>
    <w:rsid w:val="006178B2"/>
    <w:rsid w:val="00626797"/>
    <w:rsid w:val="00632501"/>
    <w:rsid w:val="00633295"/>
    <w:rsid w:val="00641DE5"/>
    <w:rsid w:val="00643F78"/>
    <w:rsid w:val="00650C96"/>
    <w:rsid w:val="00653DF2"/>
    <w:rsid w:val="006562FD"/>
    <w:rsid w:val="00665500"/>
    <w:rsid w:val="0066689E"/>
    <w:rsid w:val="00670FAC"/>
    <w:rsid w:val="00677694"/>
    <w:rsid w:val="00677C31"/>
    <w:rsid w:val="0068091B"/>
    <w:rsid w:val="00684ACA"/>
    <w:rsid w:val="0069064A"/>
    <w:rsid w:val="00694FD9"/>
    <w:rsid w:val="006A27D8"/>
    <w:rsid w:val="006A36C6"/>
    <w:rsid w:val="006A3795"/>
    <w:rsid w:val="006A5ED0"/>
    <w:rsid w:val="006B023E"/>
    <w:rsid w:val="006B18F6"/>
    <w:rsid w:val="006B209B"/>
    <w:rsid w:val="006B4A8A"/>
    <w:rsid w:val="006C2A7B"/>
    <w:rsid w:val="006C2C7F"/>
    <w:rsid w:val="006C60D9"/>
    <w:rsid w:val="006D1033"/>
    <w:rsid w:val="006D17B3"/>
    <w:rsid w:val="006D2F0C"/>
    <w:rsid w:val="006D6377"/>
    <w:rsid w:val="006E3A14"/>
    <w:rsid w:val="006E46D0"/>
    <w:rsid w:val="006F1F1C"/>
    <w:rsid w:val="0070057F"/>
    <w:rsid w:val="00701860"/>
    <w:rsid w:val="00702ADA"/>
    <w:rsid w:val="00705FCA"/>
    <w:rsid w:val="007077DE"/>
    <w:rsid w:val="007129D8"/>
    <w:rsid w:val="00714FA4"/>
    <w:rsid w:val="0071596A"/>
    <w:rsid w:val="00716921"/>
    <w:rsid w:val="00716EBD"/>
    <w:rsid w:val="00720890"/>
    <w:rsid w:val="0072558F"/>
    <w:rsid w:val="00730D4C"/>
    <w:rsid w:val="007325C0"/>
    <w:rsid w:val="007352E0"/>
    <w:rsid w:val="00737592"/>
    <w:rsid w:val="00737A21"/>
    <w:rsid w:val="007428EC"/>
    <w:rsid w:val="00742EA8"/>
    <w:rsid w:val="00750276"/>
    <w:rsid w:val="00751277"/>
    <w:rsid w:val="00753900"/>
    <w:rsid w:val="00762E11"/>
    <w:rsid w:val="007640C7"/>
    <w:rsid w:val="00767CCA"/>
    <w:rsid w:val="0078173C"/>
    <w:rsid w:val="00781D8A"/>
    <w:rsid w:val="0078228C"/>
    <w:rsid w:val="00782C2A"/>
    <w:rsid w:val="007838C2"/>
    <w:rsid w:val="00783C11"/>
    <w:rsid w:val="00785D01"/>
    <w:rsid w:val="00790446"/>
    <w:rsid w:val="00796EDC"/>
    <w:rsid w:val="007A030A"/>
    <w:rsid w:val="007A17C3"/>
    <w:rsid w:val="007B3F2E"/>
    <w:rsid w:val="007B75A5"/>
    <w:rsid w:val="007C2E61"/>
    <w:rsid w:val="007D0D29"/>
    <w:rsid w:val="007D189C"/>
    <w:rsid w:val="007E433D"/>
    <w:rsid w:val="007E5C5B"/>
    <w:rsid w:val="007E638C"/>
    <w:rsid w:val="007E759B"/>
    <w:rsid w:val="007E772C"/>
    <w:rsid w:val="007F4128"/>
    <w:rsid w:val="007F74D7"/>
    <w:rsid w:val="00801E6E"/>
    <w:rsid w:val="00802639"/>
    <w:rsid w:val="008039F8"/>
    <w:rsid w:val="00804582"/>
    <w:rsid w:val="00806149"/>
    <w:rsid w:val="00806B12"/>
    <w:rsid w:val="00807AA9"/>
    <w:rsid w:val="008107C1"/>
    <w:rsid w:val="00811F65"/>
    <w:rsid w:val="00812E6E"/>
    <w:rsid w:val="0081303E"/>
    <w:rsid w:val="00813584"/>
    <w:rsid w:val="00816B9A"/>
    <w:rsid w:val="008178BF"/>
    <w:rsid w:val="00821598"/>
    <w:rsid w:val="0082357F"/>
    <w:rsid w:val="0082629E"/>
    <w:rsid w:val="00826963"/>
    <w:rsid w:val="008326B4"/>
    <w:rsid w:val="00835531"/>
    <w:rsid w:val="00844149"/>
    <w:rsid w:val="00844558"/>
    <w:rsid w:val="00846C01"/>
    <w:rsid w:val="00847741"/>
    <w:rsid w:val="008540BD"/>
    <w:rsid w:val="00856D18"/>
    <w:rsid w:val="00857BB3"/>
    <w:rsid w:val="00860956"/>
    <w:rsid w:val="00862D10"/>
    <w:rsid w:val="00862FAD"/>
    <w:rsid w:val="00867C3D"/>
    <w:rsid w:val="0087150E"/>
    <w:rsid w:val="008722A3"/>
    <w:rsid w:val="008740FC"/>
    <w:rsid w:val="008748E8"/>
    <w:rsid w:val="00875ED1"/>
    <w:rsid w:val="008809D9"/>
    <w:rsid w:val="00880CBB"/>
    <w:rsid w:val="00896914"/>
    <w:rsid w:val="00897641"/>
    <w:rsid w:val="008A0FE9"/>
    <w:rsid w:val="008A31F2"/>
    <w:rsid w:val="008B0D5D"/>
    <w:rsid w:val="008B5E72"/>
    <w:rsid w:val="008B7BC8"/>
    <w:rsid w:val="008B7E3B"/>
    <w:rsid w:val="008C46E3"/>
    <w:rsid w:val="008C549E"/>
    <w:rsid w:val="008D1183"/>
    <w:rsid w:val="008D2447"/>
    <w:rsid w:val="008D3809"/>
    <w:rsid w:val="008D661E"/>
    <w:rsid w:val="008E1687"/>
    <w:rsid w:val="008E3722"/>
    <w:rsid w:val="008E4507"/>
    <w:rsid w:val="008F6702"/>
    <w:rsid w:val="0090002A"/>
    <w:rsid w:val="00901026"/>
    <w:rsid w:val="0090140D"/>
    <w:rsid w:val="00902D1F"/>
    <w:rsid w:val="00907B55"/>
    <w:rsid w:val="009156B6"/>
    <w:rsid w:val="00916836"/>
    <w:rsid w:val="009174C3"/>
    <w:rsid w:val="00921EBA"/>
    <w:rsid w:val="009243A1"/>
    <w:rsid w:val="00924C30"/>
    <w:rsid w:val="00930285"/>
    <w:rsid w:val="00932C06"/>
    <w:rsid w:val="00933132"/>
    <w:rsid w:val="00934496"/>
    <w:rsid w:val="00934FAD"/>
    <w:rsid w:val="00942A45"/>
    <w:rsid w:val="00943472"/>
    <w:rsid w:val="009455AF"/>
    <w:rsid w:val="00945A0D"/>
    <w:rsid w:val="0095301B"/>
    <w:rsid w:val="00954B8A"/>
    <w:rsid w:val="00957FD9"/>
    <w:rsid w:val="0096374B"/>
    <w:rsid w:val="00970B76"/>
    <w:rsid w:val="00971CF1"/>
    <w:rsid w:val="00974995"/>
    <w:rsid w:val="00980E52"/>
    <w:rsid w:val="00984A2B"/>
    <w:rsid w:val="00986476"/>
    <w:rsid w:val="009872D6"/>
    <w:rsid w:val="0099328C"/>
    <w:rsid w:val="00993DBE"/>
    <w:rsid w:val="009962BE"/>
    <w:rsid w:val="00996637"/>
    <w:rsid w:val="009A2CE5"/>
    <w:rsid w:val="009A48D9"/>
    <w:rsid w:val="009A6E54"/>
    <w:rsid w:val="009B52DA"/>
    <w:rsid w:val="009C1453"/>
    <w:rsid w:val="009C14F8"/>
    <w:rsid w:val="009C33B1"/>
    <w:rsid w:val="009C64DC"/>
    <w:rsid w:val="009C6D4A"/>
    <w:rsid w:val="009D24D5"/>
    <w:rsid w:val="009D546E"/>
    <w:rsid w:val="009E4C71"/>
    <w:rsid w:val="009E74D5"/>
    <w:rsid w:val="009E7DF8"/>
    <w:rsid w:val="009F24AA"/>
    <w:rsid w:val="009F2CC4"/>
    <w:rsid w:val="009F79C8"/>
    <w:rsid w:val="00A00DDD"/>
    <w:rsid w:val="00A15308"/>
    <w:rsid w:val="00A27FC7"/>
    <w:rsid w:val="00A31472"/>
    <w:rsid w:val="00A3485C"/>
    <w:rsid w:val="00A357D8"/>
    <w:rsid w:val="00A3637E"/>
    <w:rsid w:val="00A45354"/>
    <w:rsid w:val="00A463B1"/>
    <w:rsid w:val="00A472EE"/>
    <w:rsid w:val="00A527ED"/>
    <w:rsid w:val="00A53E67"/>
    <w:rsid w:val="00A553D2"/>
    <w:rsid w:val="00A604A6"/>
    <w:rsid w:val="00A6169B"/>
    <w:rsid w:val="00A65DBE"/>
    <w:rsid w:val="00A677E3"/>
    <w:rsid w:val="00A71740"/>
    <w:rsid w:val="00A73290"/>
    <w:rsid w:val="00A74CDB"/>
    <w:rsid w:val="00A7538A"/>
    <w:rsid w:val="00A802A4"/>
    <w:rsid w:val="00A813BB"/>
    <w:rsid w:val="00A832D8"/>
    <w:rsid w:val="00A84E6A"/>
    <w:rsid w:val="00A95A14"/>
    <w:rsid w:val="00AA46BF"/>
    <w:rsid w:val="00AA7D7E"/>
    <w:rsid w:val="00AB1277"/>
    <w:rsid w:val="00AB13B4"/>
    <w:rsid w:val="00AB245E"/>
    <w:rsid w:val="00AB5E0E"/>
    <w:rsid w:val="00AD0038"/>
    <w:rsid w:val="00AD0D74"/>
    <w:rsid w:val="00AD3134"/>
    <w:rsid w:val="00AD370A"/>
    <w:rsid w:val="00AE4056"/>
    <w:rsid w:val="00AE5800"/>
    <w:rsid w:val="00AE6CE1"/>
    <w:rsid w:val="00AE7E8B"/>
    <w:rsid w:val="00AF0648"/>
    <w:rsid w:val="00AF19CB"/>
    <w:rsid w:val="00AF476B"/>
    <w:rsid w:val="00AF6046"/>
    <w:rsid w:val="00B045E5"/>
    <w:rsid w:val="00B04CEC"/>
    <w:rsid w:val="00B07F1D"/>
    <w:rsid w:val="00B11AE3"/>
    <w:rsid w:val="00B270FB"/>
    <w:rsid w:val="00B35642"/>
    <w:rsid w:val="00B41027"/>
    <w:rsid w:val="00B4125B"/>
    <w:rsid w:val="00B42281"/>
    <w:rsid w:val="00B43C1E"/>
    <w:rsid w:val="00B43E6B"/>
    <w:rsid w:val="00B448E2"/>
    <w:rsid w:val="00B45A8F"/>
    <w:rsid w:val="00B507AD"/>
    <w:rsid w:val="00B527B2"/>
    <w:rsid w:val="00B55F44"/>
    <w:rsid w:val="00B62C31"/>
    <w:rsid w:val="00B71256"/>
    <w:rsid w:val="00B863B1"/>
    <w:rsid w:val="00B8648C"/>
    <w:rsid w:val="00B92CD7"/>
    <w:rsid w:val="00B93419"/>
    <w:rsid w:val="00B936CA"/>
    <w:rsid w:val="00B94462"/>
    <w:rsid w:val="00BA4759"/>
    <w:rsid w:val="00BA689A"/>
    <w:rsid w:val="00BB19B4"/>
    <w:rsid w:val="00BB2442"/>
    <w:rsid w:val="00BB256E"/>
    <w:rsid w:val="00BC136A"/>
    <w:rsid w:val="00BC1CE3"/>
    <w:rsid w:val="00BC3B48"/>
    <w:rsid w:val="00BC70B2"/>
    <w:rsid w:val="00BC7A83"/>
    <w:rsid w:val="00BD41B9"/>
    <w:rsid w:val="00BD7D2A"/>
    <w:rsid w:val="00BE5F83"/>
    <w:rsid w:val="00BF15E5"/>
    <w:rsid w:val="00BF204F"/>
    <w:rsid w:val="00BF4F25"/>
    <w:rsid w:val="00C1071B"/>
    <w:rsid w:val="00C1296A"/>
    <w:rsid w:val="00C15B77"/>
    <w:rsid w:val="00C206FC"/>
    <w:rsid w:val="00C2404E"/>
    <w:rsid w:val="00C31EEA"/>
    <w:rsid w:val="00C3450F"/>
    <w:rsid w:val="00C34E72"/>
    <w:rsid w:val="00C36509"/>
    <w:rsid w:val="00C43CC7"/>
    <w:rsid w:val="00C4701D"/>
    <w:rsid w:val="00C5106C"/>
    <w:rsid w:val="00C5227A"/>
    <w:rsid w:val="00C53E0C"/>
    <w:rsid w:val="00C564DC"/>
    <w:rsid w:val="00C61E18"/>
    <w:rsid w:val="00C62365"/>
    <w:rsid w:val="00C637BB"/>
    <w:rsid w:val="00C647F4"/>
    <w:rsid w:val="00C649F5"/>
    <w:rsid w:val="00C70F32"/>
    <w:rsid w:val="00C71BA7"/>
    <w:rsid w:val="00C72B0E"/>
    <w:rsid w:val="00C76D7B"/>
    <w:rsid w:val="00C80DA2"/>
    <w:rsid w:val="00C8222B"/>
    <w:rsid w:val="00C82E7A"/>
    <w:rsid w:val="00C85E58"/>
    <w:rsid w:val="00C90397"/>
    <w:rsid w:val="00CA50AB"/>
    <w:rsid w:val="00CB0C0F"/>
    <w:rsid w:val="00CB3603"/>
    <w:rsid w:val="00CB3859"/>
    <w:rsid w:val="00CB3BE5"/>
    <w:rsid w:val="00CB7989"/>
    <w:rsid w:val="00CC166B"/>
    <w:rsid w:val="00CC1775"/>
    <w:rsid w:val="00CC411F"/>
    <w:rsid w:val="00CD1EAB"/>
    <w:rsid w:val="00CD24D2"/>
    <w:rsid w:val="00CD4670"/>
    <w:rsid w:val="00CD61CC"/>
    <w:rsid w:val="00CD6549"/>
    <w:rsid w:val="00CD7BDF"/>
    <w:rsid w:val="00CE0587"/>
    <w:rsid w:val="00CE14D3"/>
    <w:rsid w:val="00CE558D"/>
    <w:rsid w:val="00CF0524"/>
    <w:rsid w:val="00CF3118"/>
    <w:rsid w:val="00CF6839"/>
    <w:rsid w:val="00D0237E"/>
    <w:rsid w:val="00D066B2"/>
    <w:rsid w:val="00D109FD"/>
    <w:rsid w:val="00D14900"/>
    <w:rsid w:val="00D1553B"/>
    <w:rsid w:val="00D15A42"/>
    <w:rsid w:val="00D162E8"/>
    <w:rsid w:val="00D23382"/>
    <w:rsid w:val="00D27592"/>
    <w:rsid w:val="00D319F5"/>
    <w:rsid w:val="00D35437"/>
    <w:rsid w:val="00D37225"/>
    <w:rsid w:val="00D40EBE"/>
    <w:rsid w:val="00D4189B"/>
    <w:rsid w:val="00D4195D"/>
    <w:rsid w:val="00D45989"/>
    <w:rsid w:val="00D54AF8"/>
    <w:rsid w:val="00D61889"/>
    <w:rsid w:val="00D6358F"/>
    <w:rsid w:val="00D63C45"/>
    <w:rsid w:val="00D74133"/>
    <w:rsid w:val="00D75811"/>
    <w:rsid w:val="00D82C82"/>
    <w:rsid w:val="00D85E41"/>
    <w:rsid w:val="00D86380"/>
    <w:rsid w:val="00D9085F"/>
    <w:rsid w:val="00D9728A"/>
    <w:rsid w:val="00DA1A1E"/>
    <w:rsid w:val="00DA289B"/>
    <w:rsid w:val="00DA39CA"/>
    <w:rsid w:val="00DA6B6F"/>
    <w:rsid w:val="00DA7F76"/>
    <w:rsid w:val="00DB5835"/>
    <w:rsid w:val="00DB6AD0"/>
    <w:rsid w:val="00DD3C09"/>
    <w:rsid w:val="00DD7C4F"/>
    <w:rsid w:val="00DE1661"/>
    <w:rsid w:val="00DE2258"/>
    <w:rsid w:val="00DE2720"/>
    <w:rsid w:val="00DE4A32"/>
    <w:rsid w:val="00DE79F4"/>
    <w:rsid w:val="00DF2C51"/>
    <w:rsid w:val="00DF2E91"/>
    <w:rsid w:val="00DF5CD0"/>
    <w:rsid w:val="00DF6D4A"/>
    <w:rsid w:val="00E01A55"/>
    <w:rsid w:val="00E01DC5"/>
    <w:rsid w:val="00E03CE8"/>
    <w:rsid w:val="00E04174"/>
    <w:rsid w:val="00E05AC4"/>
    <w:rsid w:val="00E11D49"/>
    <w:rsid w:val="00E166B3"/>
    <w:rsid w:val="00E27B76"/>
    <w:rsid w:val="00E30957"/>
    <w:rsid w:val="00E313FF"/>
    <w:rsid w:val="00E35596"/>
    <w:rsid w:val="00E37DC1"/>
    <w:rsid w:val="00E37E7E"/>
    <w:rsid w:val="00E4208E"/>
    <w:rsid w:val="00E42DA6"/>
    <w:rsid w:val="00E4500C"/>
    <w:rsid w:val="00E51A34"/>
    <w:rsid w:val="00E546FA"/>
    <w:rsid w:val="00E56338"/>
    <w:rsid w:val="00E56686"/>
    <w:rsid w:val="00E56D43"/>
    <w:rsid w:val="00E672AE"/>
    <w:rsid w:val="00E74C41"/>
    <w:rsid w:val="00E86481"/>
    <w:rsid w:val="00E8664D"/>
    <w:rsid w:val="00E9057F"/>
    <w:rsid w:val="00E91F4F"/>
    <w:rsid w:val="00E9614A"/>
    <w:rsid w:val="00E96B59"/>
    <w:rsid w:val="00E97A1B"/>
    <w:rsid w:val="00EA1B13"/>
    <w:rsid w:val="00EA5EC0"/>
    <w:rsid w:val="00EA673C"/>
    <w:rsid w:val="00EB2940"/>
    <w:rsid w:val="00EB2A15"/>
    <w:rsid w:val="00EB48FA"/>
    <w:rsid w:val="00EB58CA"/>
    <w:rsid w:val="00EC1007"/>
    <w:rsid w:val="00EC21B7"/>
    <w:rsid w:val="00EC64C3"/>
    <w:rsid w:val="00EC6710"/>
    <w:rsid w:val="00EC733D"/>
    <w:rsid w:val="00ED0501"/>
    <w:rsid w:val="00ED0FB7"/>
    <w:rsid w:val="00ED3A30"/>
    <w:rsid w:val="00ED6B0C"/>
    <w:rsid w:val="00ED6B8F"/>
    <w:rsid w:val="00ED70FE"/>
    <w:rsid w:val="00ED7102"/>
    <w:rsid w:val="00ED739B"/>
    <w:rsid w:val="00EE5DF9"/>
    <w:rsid w:val="00EE6E4E"/>
    <w:rsid w:val="00EF4A8F"/>
    <w:rsid w:val="00EF79CB"/>
    <w:rsid w:val="00F02C61"/>
    <w:rsid w:val="00F04044"/>
    <w:rsid w:val="00F051A4"/>
    <w:rsid w:val="00F10265"/>
    <w:rsid w:val="00F10B0D"/>
    <w:rsid w:val="00F1201F"/>
    <w:rsid w:val="00F1220E"/>
    <w:rsid w:val="00F20753"/>
    <w:rsid w:val="00F22EB4"/>
    <w:rsid w:val="00F262FB"/>
    <w:rsid w:val="00F27146"/>
    <w:rsid w:val="00F30B7B"/>
    <w:rsid w:val="00F314AD"/>
    <w:rsid w:val="00F31B77"/>
    <w:rsid w:val="00F36D83"/>
    <w:rsid w:val="00F4187C"/>
    <w:rsid w:val="00F427DE"/>
    <w:rsid w:val="00F4359C"/>
    <w:rsid w:val="00F44C2E"/>
    <w:rsid w:val="00F45DF4"/>
    <w:rsid w:val="00F5026A"/>
    <w:rsid w:val="00F5153B"/>
    <w:rsid w:val="00F51BAA"/>
    <w:rsid w:val="00F5271E"/>
    <w:rsid w:val="00F5345D"/>
    <w:rsid w:val="00F5466A"/>
    <w:rsid w:val="00F60C1C"/>
    <w:rsid w:val="00F656B9"/>
    <w:rsid w:val="00F72A75"/>
    <w:rsid w:val="00F745D3"/>
    <w:rsid w:val="00F74607"/>
    <w:rsid w:val="00F8763E"/>
    <w:rsid w:val="00F87784"/>
    <w:rsid w:val="00F920E8"/>
    <w:rsid w:val="00F9246A"/>
    <w:rsid w:val="00F93B77"/>
    <w:rsid w:val="00F9416B"/>
    <w:rsid w:val="00F97529"/>
    <w:rsid w:val="00FA16EA"/>
    <w:rsid w:val="00FA66BD"/>
    <w:rsid w:val="00FB0400"/>
    <w:rsid w:val="00FB5EAD"/>
    <w:rsid w:val="00FB731C"/>
    <w:rsid w:val="00FC1472"/>
    <w:rsid w:val="00FC1ED2"/>
    <w:rsid w:val="00FC465A"/>
    <w:rsid w:val="00FC7779"/>
    <w:rsid w:val="00FD1F73"/>
    <w:rsid w:val="00FE1116"/>
    <w:rsid w:val="00FE1A75"/>
    <w:rsid w:val="00FE2C9F"/>
    <w:rsid w:val="00FE75C6"/>
    <w:rsid w:val="00FF07A4"/>
    <w:rsid w:val="00FF334D"/>
    <w:rsid w:val="00FF48C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D9A1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08E"/>
    <w:pPr>
      <w:ind w:firstLine="0"/>
      <w:jc w:val="both"/>
    </w:pPr>
    <w:rPr>
      <w:rFonts w:ascii="Arial" w:eastAsiaTheme="minorEastAsia" w:hAnsi="Arial"/>
      <w:lang w:val="en-US" w:bidi="en-US"/>
    </w:rPr>
  </w:style>
  <w:style w:type="paragraph" w:styleId="Heading1">
    <w:name w:val="heading 1"/>
    <w:basedOn w:val="Normal"/>
    <w:next w:val="Normal"/>
    <w:link w:val="Heading1Char"/>
    <w:uiPriority w:val="9"/>
    <w:qFormat/>
    <w:rsid w:val="0066689E"/>
    <w:pPr>
      <w:numPr>
        <w:numId w:val="2"/>
      </w:numPr>
      <w:spacing w:before="80" w:after="80" w:line="276" w:lineRule="auto"/>
      <w:jc w:val="left"/>
      <w:outlineLvl w:val="0"/>
    </w:pPr>
    <w:rPr>
      <w:rFonts w:eastAsiaTheme="majorEastAsia" w:cstheme="majorBidi"/>
      <w:b/>
      <w:bCs/>
      <w:caps/>
      <w:sz w:val="32"/>
      <w:szCs w:val="32"/>
      <w:lang w:val="en-AU" w:eastAsia="en-AU"/>
    </w:rPr>
  </w:style>
  <w:style w:type="paragraph" w:styleId="Heading2">
    <w:name w:val="heading 2"/>
    <w:basedOn w:val="Normal"/>
    <w:next w:val="Normal"/>
    <w:link w:val="Heading2Char"/>
    <w:uiPriority w:val="9"/>
    <w:unhideWhenUsed/>
    <w:qFormat/>
    <w:rsid w:val="0059608E"/>
    <w:pPr>
      <w:numPr>
        <w:ilvl w:val="1"/>
        <w:numId w:val="1"/>
      </w:numPr>
      <w:pBdr>
        <w:bottom w:val="single" w:sz="4" w:space="1" w:color="95B3D7" w:themeColor="accent1" w:themeTint="99"/>
      </w:pBdr>
      <w:spacing w:before="160" w:after="80"/>
      <w:ind w:left="4688"/>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59608E"/>
    <w:pPr>
      <w:numPr>
        <w:ilvl w:val="2"/>
        <w:numId w:val="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59608E"/>
    <w:pPr>
      <w:outlineLvl w:val="3"/>
    </w:pPr>
  </w:style>
  <w:style w:type="paragraph" w:styleId="Heading5">
    <w:name w:val="heading 5"/>
    <w:basedOn w:val="Normal"/>
    <w:next w:val="Normal"/>
    <w:link w:val="Heading5Char"/>
    <w:uiPriority w:val="9"/>
    <w:unhideWhenUsed/>
    <w:qFormat/>
    <w:rsid w:val="0059608E"/>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59608E"/>
    <w:pPr>
      <w:numPr>
        <w:ilvl w:val="5"/>
        <w:numId w:val="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59608E"/>
    <w:pPr>
      <w:numPr>
        <w:ilvl w:val="6"/>
        <w:numId w:val="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rsid w:val="0059608E"/>
    <w:pPr>
      <w:numPr>
        <w:ilvl w:val="7"/>
        <w:numId w:val="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rsid w:val="0059608E"/>
    <w:pPr>
      <w:numPr>
        <w:ilvl w:val="8"/>
        <w:numId w:val="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689E"/>
    <w:rPr>
      <w:rFonts w:ascii="Arial" w:eastAsiaTheme="majorEastAsia" w:hAnsi="Arial" w:cstheme="majorBidi"/>
      <w:b/>
      <w:bCs/>
      <w:caps/>
      <w:sz w:val="32"/>
      <w:szCs w:val="32"/>
      <w:lang w:eastAsia="en-AU" w:bidi="en-US"/>
    </w:rPr>
  </w:style>
  <w:style w:type="character" w:customStyle="1" w:styleId="Heading2Char">
    <w:name w:val="Heading 2 Char"/>
    <w:basedOn w:val="DefaultParagraphFont"/>
    <w:link w:val="Heading2"/>
    <w:uiPriority w:val="9"/>
    <w:rsid w:val="0059608E"/>
    <w:rPr>
      <w:rFonts w:ascii="Arial" w:eastAsiaTheme="majorEastAsia" w:hAnsi="Arial" w:cstheme="majorBidi"/>
      <w:b/>
      <w:sz w:val="28"/>
      <w:szCs w:val="28"/>
      <w:lang w:val="en-US" w:eastAsia="en-AU" w:bidi="en-US"/>
    </w:rPr>
  </w:style>
  <w:style w:type="character" w:customStyle="1" w:styleId="Heading3Char">
    <w:name w:val="Heading 3 Char"/>
    <w:basedOn w:val="DefaultParagraphFont"/>
    <w:link w:val="Heading3"/>
    <w:uiPriority w:val="9"/>
    <w:rsid w:val="0059608E"/>
    <w:rPr>
      <w:rFonts w:ascii="Arial" w:eastAsiaTheme="majorEastAsia" w:hAnsi="Arial" w:cstheme="majorBidi"/>
      <w:b/>
      <w:color w:val="548DD4" w:themeColor="text2" w:themeTint="99"/>
      <w:sz w:val="24"/>
      <w:szCs w:val="24"/>
      <w:lang w:val="en-GB" w:eastAsia="en-AU" w:bidi="en-US"/>
    </w:rPr>
  </w:style>
  <w:style w:type="character" w:customStyle="1" w:styleId="Heading4Char">
    <w:name w:val="Heading 4 Char"/>
    <w:basedOn w:val="DefaultParagraphFont"/>
    <w:link w:val="Heading4"/>
    <w:uiPriority w:val="9"/>
    <w:rsid w:val="0059608E"/>
    <w:rPr>
      <w:rFonts w:asciiTheme="majorHAnsi" w:eastAsiaTheme="majorEastAsia" w:hAnsiTheme="majorHAnsi" w:cstheme="majorBidi"/>
      <w:b/>
      <w:sz w:val="20"/>
      <w:szCs w:val="20"/>
      <w:lang w:val="en-US" w:eastAsia="ja-JP" w:bidi="en-US"/>
    </w:rPr>
  </w:style>
  <w:style w:type="character" w:customStyle="1" w:styleId="Heading5Char">
    <w:name w:val="Heading 5 Char"/>
    <w:basedOn w:val="DefaultParagraphFont"/>
    <w:link w:val="Heading5"/>
    <w:uiPriority w:val="9"/>
    <w:rsid w:val="0059608E"/>
    <w:rPr>
      <w:rFonts w:asciiTheme="majorHAnsi" w:eastAsiaTheme="majorEastAsia" w:hAnsiTheme="majorHAnsi" w:cstheme="majorBidi"/>
      <w:b/>
      <w:sz w:val="20"/>
      <w:szCs w:val="20"/>
      <w:lang w:val="en-US" w:eastAsia="ja-JP" w:bidi="en-US"/>
    </w:rPr>
  </w:style>
  <w:style w:type="character" w:customStyle="1" w:styleId="Heading6Char">
    <w:name w:val="Heading 6 Char"/>
    <w:basedOn w:val="DefaultParagraphFont"/>
    <w:link w:val="Heading6"/>
    <w:uiPriority w:val="9"/>
    <w:rsid w:val="0059608E"/>
    <w:rPr>
      <w:rFonts w:asciiTheme="majorHAnsi" w:eastAsiaTheme="majorEastAsia" w:hAnsiTheme="majorHAnsi" w:cstheme="majorBidi"/>
      <w:b/>
      <w:i/>
      <w:iCs/>
      <w:sz w:val="20"/>
      <w:szCs w:val="20"/>
      <w:lang w:val="en-GB" w:bidi="en-US"/>
    </w:rPr>
  </w:style>
  <w:style w:type="character" w:customStyle="1" w:styleId="Heading7Char">
    <w:name w:val="Heading 7 Char"/>
    <w:basedOn w:val="DefaultParagraphFont"/>
    <w:link w:val="Heading7"/>
    <w:uiPriority w:val="9"/>
    <w:rsid w:val="0059608E"/>
    <w:rPr>
      <w:rFonts w:asciiTheme="majorHAnsi" w:eastAsiaTheme="majorEastAsia" w:hAnsiTheme="majorHAnsi" w:cstheme="majorBidi"/>
      <w:b/>
      <w:bCs/>
      <w:color w:val="9BBB59" w:themeColor="accent3"/>
      <w:sz w:val="20"/>
      <w:szCs w:val="20"/>
      <w:lang w:val="en-US" w:bidi="en-US"/>
    </w:rPr>
  </w:style>
  <w:style w:type="character" w:customStyle="1" w:styleId="Heading8Char">
    <w:name w:val="Heading 8 Char"/>
    <w:basedOn w:val="DefaultParagraphFont"/>
    <w:link w:val="Heading8"/>
    <w:uiPriority w:val="9"/>
    <w:semiHidden/>
    <w:rsid w:val="0059608E"/>
    <w:rPr>
      <w:rFonts w:asciiTheme="majorHAnsi" w:eastAsiaTheme="majorEastAsia" w:hAnsiTheme="majorHAnsi" w:cstheme="majorBidi"/>
      <w:b/>
      <w:bCs/>
      <w:i/>
      <w:iCs/>
      <w:color w:val="9BBB59" w:themeColor="accent3"/>
      <w:sz w:val="20"/>
      <w:szCs w:val="20"/>
      <w:lang w:val="en-US" w:bidi="en-US"/>
    </w:rPr>
  </w:style>
  <w:style w:type="character" w:customStyle="1" w:styleId="Heading9Char">
    <w:name w:val="Heading 9 Char"/>
    <w:basedOn w:val="DefaultParagraphFont"/>
    <w:link w:val="Heading9"/>
    <w:uiPriority w:val="9"/>
    <w:semiHidden/>
    <w:rsid w:val="0059608E"/>
    <w:rPr>
      <w:rFonts w:asciiTheme="majorHAnsi" w:eastAsiaTheme="majorEastAsia" w:hAnsiTheme="majorHAnsi" w:cstheme="majorBidi"/>
      <w:i/>
      <w:iCs/>
      <w:color w:val="9BBB59" w:themeColor="accent3"/>
      <w:sz w:val="20"/>
      <w:szCs w:val="20"/>
      <w:lang w:val="en-US" w:bidi="en-US"/>
    </w:rPr>
  </w:style>
  <w:style w:type="paragraph" w:styleId="TOC1">
    <w:name w:val="toc 1"/>
    <w:basedOn w:val="Normal"/>
    <w:next w:val="Normal"/>
    <w:link w:val="TOC1Char"/>
    <w:autoRedefine/>
    <w:uiPriority w:val="39"/>
    <w:qFormat/>
    <w:rsid w:val="0059608E"/>
    <w:pPr>
      <w:spacing w:before="240" w:after="120"/>
      <w:jc w:val="left"/>
    </w:pPr>
    <w:rPr>
      <w:rFonts w:asciiTheme="minorHAnsi" w:hAnsiTheme="minorHAnsi"/>
      <w:b/>
      <w:bCs/>
      <w:sz w:val="20"/>
      <w:szCs w:val="20"/>
    </w:rPr>
  </w:style>
  <w:style w:type="paragraph" w:styleId="TOC3">
    <w:name w:val="toc 3"/>
    <w:basedOn w:val="Normal"/>
    <w:next w:val="Normal"/>
    <w:autoRedefine/>
    <w:uiPriority w:val="39"/>
    <w:qFormat/>
    <w:rsid w:val="0059608E"/>
    <w:pPr>
      <w:ind w:left="440"/>
      <w:jc w:val="left"/>
    </w:pPr>
    <w:rPr>
      <w:rFonts w:asciiTheme="minorHAnsi" w:hAnsiTheme="minorHAnsi"/>
      <w:sz w:val="20"/>
      <w:szCs w:val="20"/>
    </w:rPr>
  </w:style>
  <w:style w:type="paragraph" w:styleId="Caption">
    <w:name w:val="caption"/>
    <w:aliases w:val="Tables"/>
    <w:basedOn w:val="Normal"/>
    <w:next w:val="Normal"/>
    <w:link w:val="CaptionChar"/>
    <w:uiPriority w:val="35"/>
    <w:unhideWhenUsed/>
    <w:qFormat/>
    <w:rsid w:val="0059608E"/>
    <w:pPr>
      <w:jc w:val="left"/>
    </w:pPr>
    <w:rPr>
      <w:b/>
      <w:bCs/>
      <w:sz w:val="18"/>
      <w:szCs w:val="18"/>
    </w:rPr>
  </w:style>
  <w:style w:type="character" w:customStyle="1" w:styleId="CaptionChar">
    <w:name w:val="Caption Char"/>
    <w:aliases w:val="Tables Char"/>
    <w:basedOn w:val="DefaultParagraphFont"/>
    <w:link w:val="Caption"/>
    <w:uiPriority w:val="35"/>
    <w:locked/>
    <w:rsid w:val="0059608E"/>
    <w:rPr>
      <w:rFonts w:ascii="Arial" w:eastAsiaTheme="minorEastAsia" w:hAnsi="Arial"/>
      <w:b/>
      <w:bCs/>
      <w:sz w:val="18"/>
      <w:szCs w:val="18"/>
      <w:lang w:val="en-US" w:bidi="en-US"/>
    </w:rPr>
  </w:style>
  <w:style w:type="paragraph" w:styleId="Title">
    <w:name w:val="Title"/>
    <w:basedOn w:val="Normal"/>
    <w:next w:val="Normal"/>
    <w:link w:val="TitleChar"/>
    <w:uiPriority w:val="10"/>
    <w:qFormat/>
    <w:rsid w:val="0059608E"/>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59608E"/>
    <w:rPr>
      <w:rFonts w:asciiTheme="majorHAnsi" w:eastAsiaTheme="majorEastAsia" w:hAnsiTheme="majorHAnsi" w:cstheme="majorBidi"/>
      <w:i/>
      <w:iCs/>
      <w:color w:val="243F60" w:themeColor="accent1" w:themeShade="7F"/>
      <w:sz w:val="60"/>
      <w:szCs w:val="60"/>
      <w:lang w:val="en-US" w:bidi="en-US"/>
    </w:rPr>
  </w:style>
  <w:style w:type="paragraph" w:styleId="Subtitle">
    <w:name w:val="Subtitle"/>
    <w:basedOn w:val="Normal"/>
    <w:next w:val="Normal"/>
    <w:link w:val="SubtitleChar"/>
    <w:uiPriority w:val="11"/>
    <w:qFormat/>
    <w:rsid w:val="0059608E"/>
    <w:pPr>
      <w:spacing w:before="200" w:after="900"/>
      <w:jc w:val="right"/>
    </w:pPr>
    <w:rPr>
      <w:i/>
      <w:iCs/>
      <w:sz w:val="24"/>
      <w:szCs w:val="24"/>
    </w:rPr>
  </w:style>
  <w:style w:type="character" w:customStyle="1" w:styleId="SubtitleChar">
    <w:name w:val="Subtitle Char"/>
    <w:basedOn w:val="DefaultParagraphFont"/>
    <w:link w:val="Subtitle"/>
    <w:uiPriority w:val="11"/>
    <w:rsid w:val="0059608E"/>
    <w:rPr>
      <w:rFonts w:ascii="Arial" w:eastAsiaTheme="minorEastAsia" w:hAnsi="Arial"/>
      <w:i/>
      <w:iCs/>
      <w:sz w:val="24"/>
      <w:szCs w:val="24"/>
      <w:lang w:val="en-US" w:bidi="en-US"/>
    </w:rPr>
  </w:style>
  <w:style w:type="character" w:styleId="Strong">
    <w:name w:val="Strong"/>
    <w:basedOn w:val="DefaultParagraphFont"/>
    <w:uiPriority w:val="22"/>
    <w:qFormat/>
    <w:rsid w:val="0059608E"/>
    <w:rPr>
      <w:b/>
      <w:bCs/>
      <w:spacing w:val="0"/>
    </w:rPr>
  </w:style>
  <w:style w:type="character" w:styleId="Emphasis">
    <w:name w:val="Emphasis"/>
    <w:uiPriority w:val="20"/>
    <w:qFormat/>
    <w:rsid w:val="0059608E"/>
    <w:rPr>
      <w:b/>
      <w:bCs/>
      <w:i/>
      <w:iCs/>
      <w:color w:val="5A5A5A" w:themeColor="text1" w:themeTint="A5"/>
    </w:rPr>
  </w:style>
  <w:style w:type="paragraph" w:styleId="NoSpacing">
    <w:name w:val="No Spacing"/>
    <w:basedOn w:val="Normal"/>
    <w:link w:val="NoSpacingChar"/>
    <w:uiPriority w:val="1"/>
    <w:qFormat/>
    <w:rsid w:val="0059608E"/>
  </w:style>
  <w:style w:type="character" w:customStyle="1" w:styleId="NoSpacingChar">
    <w:name w:val="No Spacing Char"/>
    <w:basedOn w:val="DefaultParagraphFont"/>
    <w:link w:val="NoSpacing"/>
    <w:uiPriority w:val="1"/>
    <w:rsid w:val="0059608E"/>
    <w:rPr>
      <w:rFonts w:ascii="Arial" w:eastAsiaTheme="minorEastAsia" w:hAnsi="Arial"/>
      <w:lang w:val="en-US" w:bidi="en-US"/>
    </w:rPr>
  </w:style>
  <w:style w:type="paragraph" w:styleId="ListParagraph">
    <w:name w:val="List Paragraph"/>
    <w:basedOn w:val="Normal"/>
    <w:link w:val="ListParagraphChar"/>
    <w:uiPriority w:val="34"/>
    <w:qFormat/>
    <w:rsid w:val="0059608E"/>
    <w:pPr>
      <w:ind w:left="720"/>
      <w:contextualSpacing/>
    </w:pPr>
  </w:style>
  <w:style w:type="paragraph" w:styleId="Quote">
    <w:name w:val="Quote"/>
    <w:basedOn w:val="Normal"/>
    <w:next w:val="Normal"/>
    <w:link w:val="QuoteChar"/>
    <w:uiPriority w:val="29"/>
    <w:qFormat/>
    <w:rsid w:val="0059608E"/>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59608E"/>
    <w:rPr>
      <w:rFonts w:asciiTheme="majorHAnsi" w:eastAsiaTheme="majorEastAsia" w:hAnsiTheme="majorHAnsi" w:cstheme="majorBidi"/>
      <w:i/>
      <w:iCs/>
      <w:color w:val="5A5A5A" w:themeColor="text1" w:themeTint="A5"/>
      <w:lang w:val="en-US" w:bidi="en-US"/>
    </w:rPr>
  </w:style>
  <w:style w:type="paragraph" w:styleId="IntenseQuote">
    <w:name w:val="Intense Quote"/>
    <w:basedOn w:val="Normal"/>
    <w:next w:val="Normal"/>
    <w:link w:val="IntenseQuoteChar"/>
    <w:uiPriority w:val="30"/>
    <w:qFormat/>
    <w:rsid w:val="0059608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59608E"/>
    <w:rPr>
      <w:rFonts w:asciiTheme="majorHAnsi" w:eastAsiaTheme="majorEastAsia" w:hAnsiTheme="majorHAnsi" w:cstheme="majorBidi"/>
      <w:i/>
      <w:iCs/>
      <w:color w:val="FFFFFF" w:themeColor="background1"/>
      <w:sz w:val="24"/>
      <w:szCs w:val="24"/>
      <w:shd w:val="clear" w:color="auto" w:fill="4F81BD" w:themeFill="accent1"/>
      <w:lang w:val="en-US" w:bidi="en-US"/>
    </w:rPr>
  </w:style>
  <w:style w:type="character" w:styleId="SubtleEmphasis">
    <w:name w:val="Subtle Emphasis"/>
    <w:uiPriority w:val="19"/>
    <w:qFormat/>
    <w:rsid w:val="0059608E"/>
    <w:rPr>
      <w:i/>
      <w:iCs/>
      <w:color w:val="5A5A5A" w:themeColor="text1" w:themeTint="A5"/>
    </w:rPr>
  </w:style>
  <w:style w:type="character" w:styleId="IntenseEmphasis">
    <w:name w:val="Intense Emphasis"/>
    <w:uiPriority w:val="21"/>
    <w:qFormat/>
    <w:rsid w:val="0059608E"/>
    <w:rPr>
      <w:b/>
      <w:bCs/>
      <w:i/>
      <w:iCs/>
      <w:color w:val="4F81BD" w:themeColor="accent1"/>
      <w:sz w:val="22"/>
      <w:szCs w:val="22"/>
    </w:rPr>
  </w:style>
  <w:style w:type="character" w:styleId="SubtleReference">
    <w:name w:val="Subtle Reference"/>
    <w:uiPriority w:val="31"/>
    <w:qFormat/>
    <w:rsid w:val="0059608E"/>
    <w:rPr>
      <w:color w:val="auto"/>
      <w:u w:val="single" w:color="9BBB59" w:themeColor="accent3"/>
    </w:rPr>
  </w:style>
  <w:style w:type="character" w:styleId="IntenseReference">
    <w:name w:val="Intense Reference"/>
    <w:basedOn w:val="DefaultParagraphFont"/>
    <w:uiPriority w:val="32"/>
    <w:qFormat/>
    <w:rsid w:val="0059608E"/>
    <w:rPr>
      <w:b/>
      <w:bCs/>
      <w:color w:val="76923C" w:themeColor="accent3" w:themeShade="BF"/>
      <w:u w:val="single" w:color="9BBB59" w:themeColor="accent3"/>
    </w:rPr>
  </w:style>
  <w:style w:type="character" w:styleId="BookTitle">
    <w:name w:val="Book Title"/>
    <w:basedOn w:val="DefaultParagraphFont"/>
    <w:uiPriority w:val="33"/>
    <w:qFormat/>
    <w:rsid w:val="0059608E"/>
    <w:rPr>
      <w:rFonts w:asciiTheme="majorHAnsi" w:eastAsiaTheme="majorEastAsia" w:hAnsiTheme="majorHAnsi" w:cstheme="majorBidi"/>
      <w:b/>
      <w:bCs/>
      <w:i/>
      <w:iCs/>
      <w:color w:val="auto"/>
    </w:rPr>
  </w:style>
  <w:style w:type="paragraph" w:styleId="TOCHeading">
    <w:name w:val="TOC Heading"/>
    <w:basedOn w:val="Heading1"/>
    <w:next w:val="Normal"/>
    <w:uiPriority w:val="39"/>
    <w:unhideWhenUsed/>
    <w:qFormat/>
    <w:rsid w:val="0059608E"/>
    <w:pPr>
      <w:outlineLvl w:val="9"/>
    </w:pPr>
  </w:style>
  <w:style w:type="paragraph" w:customStyle="1" w:styleId="ReportCoverPage">
    <w:name w:val="Report Cover Page"/>
    <w:basedOn w:val="Normal"/>
    <w:next w:val="Normal"/>
    <w:uiPriority w:val="99"/>
    <w:rsid w:val="0059608E"/>
    <w:rPr>
      <w:sz w:val="32"/>
    </w:rPr>
  </w:style>
  <w:style w:type="character" w:customStyle="1" w:styleId="Reporttitle">
    <w:name w:val="Report title"/>
    <w:basedOn w:val="DefaultParagraphFont"/>
    <w:uiPriority w:val="99"/>
    <w:rsid w:val="0059608E"/>
    <w:rPr>
      <w:rFonts w:ascii="Palatino Linotype" w:hAnsi="Palatino Linotype" w:cs="Times New Roman"/>
      <w:b/>
      <w:sz w:val="40"/>
    </w:rPr>
  </w:style>
  <w:style w:type="paragraph" w:styleId="TOC2">
    <w:name w:val="toc 2"/>
    <w:basedOn w:val="Normal"/>
    <w:next w:val="Normal"/>
    <w:autoRedefine/>
    <w:uiPriority w:val="39"/>
    <w:rsid w:val="0059608E"/>
    <w:pPr>
      <w:spacing w:before="120"/>
      <w:ind w:left="220"/>
      <w:jc w:val="left"/>
    </w:pPr>
    <w:rPr>
      <w:rFonts w:asciiTheme="minorHAnsi" w:hAnsiTheme="minorHAnsi"/>
      <w:i/>
      <w:iCs/>
      <w:sz w:val="20"/>
      <w:szCs w:val="20"/>
    </w:rPr>
  </w:style>
  <w:style w:type="table" w:customStyle="1" w:styleId="TableStyleAnita">
    <w:name w:val="Table Style Anita"/>
    <w:uiPriority w:val="99"/>
    <w:rsid w:val="0059608E"/>
    <w:pPr>
      <w:jc w:val="right"/>
    </w:pPr>
    <w:rPr>
      <w:rFonts w:ascii="Tahoma" w:eastAsiaTheme="minorEastAsia" w:hAnsi="Tahoma"/>
      <w:lang w:val="en-US" w:bidi="en-US"/>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4">
    <w:name w:val="toc 4"/>
    <w:basedOn w:val="Normal"/>
    <w:next w:val="Normal"/>
    <w:autoRedefine/>
    <w:uiPriority w:val="39"/>
    <w:rsid w:val="0059608E"/>
    <w:pPr>
      <w:ind w:left="660"/>
      <w:jc w:val="left"/>
    </w:pPr>
    <w:rPr>
      <w:rFonts w:asciiTheme="minorHAnsi" w:hAnsiTheme="minorHAnsi"/>
      <w:sz w:val="20"/>
      <w:szCs w:val="20"/>
    </w:rPr>
  </w:style>
  <w:style w:type="paragraph" w:styleId="TOC5">
    <w:name w:val="toc 5"/>
    <w:basedOn w:val="Normal"/>
    <w:next w:val="Normal"/>
    <w:autoRedefine/>
    <w:uiPriority w:val="39"/>
    <w:rsid w:val="0059608E"/>
    <w:pPr>
      <w:ind w:left="880"/>
      <w:jc w:val="left"/>
    </w:pPr>
    <w:rPr>
      <w:rFonts w:asciiTheme="minorHAnsi" w:hAnsiTheme="minorHAnsi"/>
      <w:sz w:val="20"/>
      <w:szCs w:val="20"/>
    </w:rPr>
  </w:style>
  <w:style w:type="paragraph" w:styleId="TOC6">
    <w:name w:val="toc 6"/>
    <w:basedOn w:val="Normal"/>
    <w:next w:val="Normal"/>
    <w:autoRedefine/>
    <w:uiPriority w:val="39"/>
    <w:rsid w:val="0059608E"/>
    <w:pPr>
      <w:ind w:left="1100"/>
      <w:jc w:val="left"/>
    </w:pPr>
    <w:rPr>
      <w:rFonts w:asciiTheme="minorHAnsi" w:hAnsiTheme="minorHAnsi"/>
      <w:sz w:val="20"/>
      <w:szCs w:val="20"/>
    </w:rPr>
  </w:style>
  <w:style w:type="paragraph" w:styleId="TOC7">
    <w:name w:val="toc 7"/>
    <w:basedOn w:val="Normal"/>
    <w:next w:val="Normal"/>
    <w:autoRedefine/>
    <w:uiPriority w:val="39"/>
    <w:rsid w:val="0059608E"/>
    <w:pPr>
      <w:ind w:left="1320"/>
      <w:jc w:val="left"/>
    </w:pPr>
    <w:rPr>
      <w:rFonts w:asciiTheme="minorHAnsi" w:hAnsiTheme="minorHAnsi"/>
      <w:sz w:val="20"/>
      <w:szCs w:val="20"/>
    </w:rPr>
  </w:style>
  <w:style w:type="paragraph" w:styleId="TOC8">
    <w:name w:val="toc 8"/>
    <w:basedOn w:val="Normal"/>
    <w:next w:val="Normal"/>
    <w:autoRedefine/>
    <w:uiPriority w:val="39"/>
    <w:rsid w:val="0059608E"/>
    <w:pPr>
      <w:ind w:left="1540"/>
      <w:jc w:val="left"/>
    </w:pPr>
    <w:rPr>
      <w:rFonts w:asciiTheme="minorHAnsi" w:hAnsiTheme="minorHAnsi"/>
      <w:sz w:val="20"/>
      <w:szCs w:val="20"/>
    </w:rPr>
  </w:style>
  <w:style w:type="paragraph" w:styleId="TOC9">
    <w:name w:val="toc 9"/>
    <w:basedOn w:val="Normal"/>
    <w:next w:val="Normal"/>
    <w:autoRedefine/>
    <w:uiPriority w:val="39"/>
    <w:rsid w:val="0059608E"/>
    <w:pPr>
      <w:ind w:left="1760"/>
      <w:jc w:val="left"/>
    </w:pPr>
    <w:rPr>
      <w:rFonts w:asciiTheme="minorHAnsi" w:hAnsiTheme="minorHAnsi"/>
      <w:sz w:val="20"/>
      <w:szCs w:val="20"/>
    </w:rPr>
  </w:style>
  <w:style w:type="character" w:styleId="Hyperlink">
    <w:name w:val="Hyperlink"/>
    <w:basedOn w:val="DefaultParagraphFont"/>
    <w:uiPriority w:val="99"/>
    <w:rsid w:val="0059608E"/>
    <w:rPr>
      <w:rFonts w:cs="Times New Roman"/>
      <w:color w:val="0000FF"/>
      <w:u w:val="single"/>
    </w:rPr>
  </w:style>
  <w:style w:type="paragraph" w:styleId="BodyText3">
    <w:name w:val="Body Text 3"/>
    <w:basedOn w:val="Normal"/>
    <w:link w:val="BodyText3Char"/>
    <w:uiPriority w:val="99"/>
    <w:rsid w:val="0059608E"/>
    <w:pPr>
      <w:spacing w:after="120"/>
    </w:pPr>
    <w:rPr>
      <w:sz w:val="16"/>
      <w:szCs w:val="16"/>
    </w:rPr>
  </w:style>
  <w:style w:type="character" w:customStyle="1" w:styleId="BodyText3Char">
    <w:name w:val="Body Text 3 Char"/>
    <w:basedOn w:val="DefaultParagraphFont"/>
    <w:link w:val="BodyText3"/>
    <w:uiPriority w:val="99"/>
    <w:rsid w:val="0059608E"/>
    <w:rPr>
      <w:rFonts w:ascii="Arial" w:eastAsiaTheme="minorEastAsia" w:hAnsi="Arial"/>
      <w:sz w:val="16"/>
      <w:szCs w:val="16"/>
      <w:lang w:val="en-US" w:bidi="en-US"/>
    </w:rPr>
  </w:style>
  <w:style w:type="character" w:styleId="CommentReference">
    <w:name w:val="annotation reference"/>
    <w:basedOn w:val="DefaultParagraphFont"/>
    <w:uiPriority w:val="99"/>
    <w:rsid w:val="0059608E"/>
    <w:rPr>
      <w:rFonts w:cs="Times New Roman"/>
      <w:sz w:val="16"/>
      <w:szCs w:val="16"/>
    </w:rPr>
  </w:style>
  <w:style w:type="paragraph" w:styleId="CommentText">
    <w:name w:val="annotation text"/>
    <w:basedOn w:val="Normal"/>
    <w:link w:val="CommentTextChar"/>
    <w:uiPriority w:val="99"/>
    <w:rsid w:val="0059608E"/>
    <w:rPr>
      <w:sz w:val="20"/>
      <w:szCs w:val="20"/>
    </w:rPr>
  </w:style>
  <w:style w:type="character" w:customStyle="1" w:styleId="CommentTextChar">
    <w:name w:val="Comment Text Char"/>
    <w:basedOn w:val="DefaultParagraphFont"/>
    <w:link w:val="CommentText"/>
    <w:uiPriority w:val="99"/>
    <w:rsid w:val="0059608E"/>
    <w:rPr>
      <w:rFonts w:ascii="Arial" w:eastAsiaTheme="minorEastAsia" w:hAnsi="Arial"/>
      <w:sz w:val="20"/>
      <w:szCs w:val="20"/>
      <w:lang w:val="en-US" w:bidi="en-US"/>
    </w:rPr>
  </w:style>
  <w:style w:type="paragraph" w:styleId="CommentSubject">
    <w:name w:val="annotation subject"/>
    <w:basedOn w:val="CommentText"/>
    <w:next w:val="CommentText"/>
    <w:link w:val="CommentSubjectChar"/>
    <w:uiPriority w:val="99"/>
    <w:semiHidden/>
    <w:rsid w:val="0059608E"/>
    <w:rPr>
      <w:b/>
      <w:bCs/>
    </w:rPr>
  </w:style>
  <w:style w:type="character" w:customStyle="1" w:styleId="CommentSubjectChar">
    <w:name w:val="Comment Subject Char"/>
    <w:basedOn w:val="CommentTextChar"/>
    <w:link w:val="CommentSubject"/>
    <w:uiPriority w:val="99"/>
    <w:semiHidden/>
    <w:rsid w:val="0059608E"/>
    <w:rPr>
      <w:rFonts w:ascii="Arial" w:eastAsiaTheme="minorEastAsia" w:hAnsi="Arial"/>
      <w:b/>
      <w:bCs/>
      <w:sz w:val="20"/>
      <w:szCs w:val="20"/>
      <w:lang w:val="en-US" w:bidi="en-US"/>
    </w:rPr>
  </w:style>
  <w:style w:type="paragraph" w:styleId="BalloonText">
    <w:name w:val="Balloon Text"/>
    <w:basedOn w:val="Normal"/>
    <w:link w:val="BalloonTextChar"/>
    <w:uiPriority w:val="99"/>
    <w:semiHidden/>
    <w:rsid w:val="0059608E"/>
    <w:rPr>
      <w:rFonts w:cs="Tahoma"/>
      <w:sz w:val="16"/>
      <w:szCs w:val="16"/>
    </w:rPr>
  </w:style>
  <w:style w:type="character" w:customStyle="1" w:styleId="BalloonTextChar">
    <w:name w:val="Balloon Text Char"/>
    <w:basedOn w:val="DefaultParagraphFont"/>
    <w:link w:val="BalloonText"/>
    <w:uiPriority w:val="99"/>
    <w:semiHidden/>
    <w:rsid w:val="0059608E"/>
    <w:rPr>
      <w:rFonts w:ascii="Arial" w:eastAsiaTheme="minorEastAsia" w:hAnsi="Arial" w:cs="Tahoma"/>
      <w:sz w:val="16"/>
      <w:szCs w:val="16"/>
      <w:lang w:val="en-US" w:bidi="en-US"/>
    </w:rPr>
  </w:style>
  <w:style w:type="paragraph" w:styleId="TableofFigures">
    <w:name w:val="table of figures"/>
    <w:basedOn w:val="Normal"/>
    <w:next w:val="Normal"/>
    <w:uiPriority w:val="99"/>
    <w:rsid w:val="0059608E"/>
    <w:rPr>
      <w:i/>
      <w:iCs/>
      <w:sz w:val="20"/>
      <w:szCs w:val="20"/>
    </w:rPr>
  </w:style>
  <w:style w:type="paragraph" w:styleId="Header">
    <w:name w:val="header"/>
    <w:basedOn w:val="Normal"/>
    <w:link w:val="HeaderChar"/>
    <w:uiPriority w:val="99"/>
    <w:rsid w:val="0059608E"/>
    <w:pPr>
      <w:tabs>
        <w:tab w:val="center" w:pos="4320"/>
        <w:tab w:val="right" w:pos="8640"/>
      </w:tabs>
    </w:pPr>
  </w:style>
  <w:style w:type="character" w:customStyle="1" w:styleId="HeaderChar">
    <w:name w:val="Header Char"/>
    <w:basedOn w:val="DefaultParagraphFont"/>
    <w:link w:val="Header"/>
    <w:uiPriority w:val="99"/>
    <w:rsid w:val="0059608E"/>
    <w:rPr>
      <w:rFonts w:ascii="Arial" w:eastAsiaTheme="minorEastAsia" w:hAnsi="Arial"/>
      <w:lang w:val="en-US" w:bidi="en-US"/>
    </w:rPr>
  </w:style>
  <w:style w:type="paragraph" w:styleId="Footer">
    <w:name w:val="footer"/>
    <w:basedOn w:val="Normal"/>
    <w:link w:val="FooterChar"/>
    <w:uiPriority w:val="99"/>
    <w:rsid w:val="0059608E"/>
    <w:pPr>
      <w:tabs>
        <w:tab w:val="center" w:pos="4320"/>
        <w:tab w:val="right" w:pos="8640"/>
      </w:tabs>
    </w:pPr>
  </w:style>
  <w:style w:type="character" w:customStyle="1" w:styleId="FooterChar">
    <w:name w:val="Footer Char"/>
    <w:basedOn w:val="DefaultParagraphFont"/>
    <w:link w:val="Footer"/>
    <w:uiPriority w:val="99"/>
    <w:rsid w:val="0059608E"/>
    <w:rPr>
      <w:rFonts w:ascii="Arial" w:eastAsiaTheme="minorEastAsia" w:hAnsi="Arial"/>
      <w:lang w:val="en-US" w:bidi="en-US"/>
    </w:rPr>
  </w:style>
  <w:style w:type="character" w:styleId="PageNumber">
    <w:name w:val="page number"/>
    <w:basedOn w:val="DefaultParagraphFont"/>
    <w:rsid w:val="0059608E"/>
    <w:rPr>
      <w:rFonts w:cs="Times New Roman"/>
    </w:rPr>
  </w:style>
  <w:style w:type="table" w:styleId="TableList1">
    <w:name w:val="Table List 1"/>
    <w:aliases w:val="Anita rows shaded"/>
    <w:basedOn w:val="TableNormal"/>
    <w:uiPriority w:val="99"/>
    <w:rsid w:val="0059608E"/>
    <w:rPr>
      <w:rFonts w:ascii="Tahoma" w:eastAsiaTheme="minorEastAsia" w:hAnsi="Tahoma"/>
      <w:lang w:val="en-US"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59608E"/>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59608E"/>
    <w:rPr>
      <w:b/>
      <w:sz w:val="32"/>
    </w:rPr>
  </w:style>
  <w:style w:type="paragraph" w:customStyle="1" w:styleId="HeadingB">
    <w:name w:val="Heading B"/>
    <w:basedOn w:val="Normal"/>
    <w:next w:val="Normal"/>
    <w:uiPriority w:val="99"/>
    <w:rsid w:val="0059608E"/>
    <w:rPr>
      <w:b/>
      <w:sz w:val="28"/>
    </w:rPr>
  </w:style>
  <w:style w:type="paragraph" w:customStyle="1" w:styleId="name">
    <w:name w:val="name"/>
    <w:basedOn w:val="Normal"/>
    <w:uiPriority w:val="99"/>
    <w:rsid w:val="0059608E"/>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59608E"/>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rsid w:val="0059608E"/>
    <w:rPr>
      <w:rFonts w:ascii="Arial" w:eastAsiaTheme="minorEastAsia" w:hAnsi="Arial" w:cs="Tahoma"/>
      <w:sz w:val="20"/>
      <w:szCs w:val="20"/>
      <w:shd w:val="clear" w:color="auto" w:fill="000080"/>
      <w:lang w:val="en-US" w:bidi="en-US"/>
    </w:rPr>
  </w:style>
  <w:style w:type="table" w:styleId="TableGrid">
    <w:name w:val="Table Grid"/>
    <w:basedOn w:val="TableNormal"/>
    <w:uiPriority w:val="59"/>
    <w:rsid w:val="0059608E"/>
    <w:rPr>
      <w:rFonts w:eastAsiaTheme="minorEastAsia"/>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59608E"/>
    <w:rPr>
      <w:rFonts w:eastAsiaTheme="minorEastAsia"/>
      <w:lang w:val="en-US" w:bidi="en-US"/>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References">
    <w:name w:val="References"/>
    <w:basedOn w:val="Normal"/>
    <w:uiPriority w:val="99"/>
    <w:rsid w:val="0059608E"/>
    <w:pPr>
      <w:ind w:left="284" w:hanging="284"/>
    </w:pPr>
    <w:rPr>
      <w:rFonts w:ascii="Times New Roman" w:hAnsi="Times New Roman"/>
      <w:sz w:val="24"/>
    </w:rPr>
  </w:style>
  <w:style w:type="paragraph" w:styleId="BodyTextIndent">
    <w:name w:val="Body Text Indent"/>
    <w:basedOn w:val="Normal"/>
    <w:link w:val="BodyTextIndentChar"/>
    <w:uiPriority w:val="99"/>
    <w:rsid w:val="0059608E"/>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rsid w:val="0059608E"/>
    <w:rPr>
      <w:rFonts w:ascii="Times New Roman" w:eastAsiaTheme="minorEastAsia" w:hAnsi="Times New Roman"/>
      <w:sz w:val="24"/>
      <w:lang w:val="en-US" w:eastAsia="en-AU" w:bidi="en-US"/>
    </w:rPr>
  </w:style>
  <w:style w:type="table" w:styleId="TableGrid7">
    <w:name w:val="Table Grid 7"/>
    <w:basedOn w:val="TableNormal"/>
    <w:uiPriority w:val="99"/>
    <w:rsid w:val="0059608E"/>
    <w:rPr>
      <w:rFonts w:eastAsiaTheme="minorEastAsia"/>
      <w:b/>
      <w:bCs/>
      <w:lang w:val="en-US" w:bidi="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59608E"/>
    <w:rPr>
      <w:rFonts w:cs="Times New Roman"/>
      <w:color w:val="800080"/>
      <w:u w:val="single"/>
    </w:rPr>
  </w:style>
  <w:style w:type="paragraph" w:customStyle="1" w:styleId="Normal-GBR">
    <w:name w:val="Normal - GBR"/>
    <w:basedOn w:val="Normal"/>
    <w:uiPriority w:val="99"/>
    <w:rsid w:val="0059608E"/>
    <w:rPr>
      <w:rFonts w:ascii="Times New Roman" w:hAnsi="Times New Roman"/>
      <w:sz w:val="24"/>
    </w:rPr>
  </w:style>
  <w:style w:type="paragraph" w:styleId="Revision">
    <w:name w:val="Revision"/>
    <w:hidden/>
    <w:uiPriority w:val="99"/>
    <w:semiHidden/>
    <w:rsid w:val="0059608E"/>
    <w:rPr>
      <w:rFonts w:ascii="Tahoma" w:eastAsiaTheme="minorEastAsia" w:hAnsi="Tahoma"/>
      <w:szCs w:val="24"/>
      <w:lang w:bidi="en-US"/>
    </w:rPr>
  </w:style>
  <w:style w:type="paragraph" w:styleId="PlainText">
    <w:name w:val="Plain Text"/>
    <w:basedOn w:val="Normal"/>
    <w:link w:val="PlainTextChar"/>
    <w:uiPriority w:val="99"/>
    <w:rsid w:val="0059608E"/>
    <w:rPr>
      <w:rFonts w:ascii="Consolas" w:hAnsi="Consolas"/>
      <w:sz w:val="21"/>
      <w:szCs w:val="21"/>
    </w:rPr>
  </w:style>
  <w:style w:type="character" w:customStyle="1" w:styleId="PlainTextChar">
    <w:name w:val="Plain Text Char"/>
    <w:basedOn w:val="DefaultParagraphFont"/>
    <w:link w:val="PlainText"/>
    <w:uiPriority w:val="99"/>
    <w:rsid w:val="0059608E"/>
    <w:rPr>
      <w:rFonts w:ascii="Consolas" w:eastAsiaTheme="minorEastAsia" w:hAnsi="Consolas"/>
      <w:sz w:val="21"/>
      <w:szCs w:val="21"/>
      <w:lang w:val="en-US" w:bidi="en-US"/>
    </w:rPr>
  </w:style>
  <w:style w:type="paragraph" w:styleId="NormalWeb">
    <w:name w:val="Normal (Web)"/>
    <w:basedOn w:val="Normal"/>
    <w:uiPriority w:val="99"/>
    <w:unhideWhenUsed/>
    <w:rsid w:val="0059608E"/>
    <w:pPr>
      <w:spacing w:before="100" w:beforeAutospacing="1" w:after="100" w:afterAutospacing="1"/>
    </w:pPr>
    <w:rPr>
      <w:rFonts w:ascii="Times New Roman" w:hAnsi="Times New Roman"/>
      <w:sz w:val="24"/>
      <w:lang w:eastAsia="en-AU"/>
    </w:rPr>
  </w:style>
  <w:style w:type="paragraph" w:customStyle="1" w:styleId="normaltext">
    <w:name w:val="normal text"/>
    <w:basedOn w:val="Normal"/>
    <w:rsid w:val="0059608E"/>
  </w:style>
  <w:style w:type="paragraph" w:customStyle="1" w:styleId="authors1">
    <w:name w:val="authors1"/>
    <w:basedOn w:val="Normal"/>
    <w:rsid w:val="0059608E"/>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59608E"/>
  </w:style>
  <w:style w:type="table" w:customStyle="1" w:styleId="LightShading-Accent11">
    <w:name w:val="Light Shading - Accent 11"/>
    <w:basedOn w:val="TableNormal"/>
    <w:uiPriority w:val="60"/>
    <w:rsid w:val="0059608E"/>
    <w:rPr>
      <w:rFonts w:eastAsiaTheme="minorEastAsia"/>
      <w:color w:val="365F91" w:themeColor="accent1" w:themeShade="BF"/>
      <w:lang w:val="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59608E"/>
    <w:rPr>
      <w:rFonts w:eastAsiaTheme="minorEastAsia"/>
      <w:color w:val="31849B" w:themeColor="accent5" w:themeShade="BF"/>
      <w:lang w:val="en-US"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59608E"/>
    <w:rPr>
      <w:rFonts w:eastAsiaTheme="minorEastAsia"/>
      <w:lang w:val="en-US" w:bidi="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59608E"/>
    <w:pPr>
      <w:ind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59608E"/>
    <w:pPr>
      <w:autoSpaceDE w:val="0"/>
      <w:autoSpaceDN w:val="0"/>
      <w:adjustRightInd w:val="0"/>
      <w:ind w:firstLine="0"/>
    </w:pPr>
    <w:rPr>
      <w:rFonts w:ascii="Gill Sans MT" w:eastAsiaTheme="minorEastAsia" w:hAnsi="Gill Sans MT" w:cs="Gill Sans MT"/>
      <w:color w:val="000000"/>
      <w:sz w:val="24"/>
      <w:szCs w:val="24"/>
    </w:rPr>
  </w:style>
  <w:style w:type="table" w:customStyle="1" w:styleId="MediumShading2-Accent13">
    <w:name w:val="Medium Shading 2 - Accent 1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59608E"/>
    <w:rPr>
      <w:rFonts w:eastAsiaTheme="minorEastAsia"/>
      <w:lang w:val="en-US" w:bidi="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59608E"/>
    <w:rPr>
      <w:rFonts w:eastAsiaTheme="minorEastAsia"/>
      <w:lang w:val="en-US" w:bidi="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59608E"/>
  </w:style>
  <w:style w:type="paragraph" w:customStyle="1" w:styleId="Figures">
    <w:name w:val="Figures"/>
    <w:basedOn w:val="TOC1"/>
    <w:link w:val="FiguresChar"/>
    <w:qFormat/>
    <w:rsid w:val="0059608E"/>
    <w:rPr>
      <w:rFonts w:ascii="Arial" w:hAnsi="Arial"/>
      <w:sz w:val="18"/>
    </w:rPr>
  </w:style>
  <w:style w:type="character" w:customStyle="1" w:styleId="TOC1Char">
    <w:name w:val="TOC 1 Char"/>
    <w:basedOn w:val="DefaultParagraphFont"/>
    <w:link w:val="TOC1"/>
    <w:uiPriority w:val="39"/>
    <w:rsid w:val="0059608E"/>
    <w:rPr>
      <w:rFonts w:eastAsiaTheme="minorEastAsia"/>
      <w:b/>
      <w:bCs/>
      <w:sz w:val="20"/>
      <w:szCs w:val="20"/>
      <w:lang w:val="en-US" w:bidi="en-US"/>
    </w:rPr>
  </w:style>
  <w:style w:type="character" w:customStyle="1" w:styleId="FiguresChar">
    <w:name w:val="Figures Char"/>
    <w:basedOn w:val="TOC1Char"/>
    <w:link w:val="Figures"/>
    <w:rsid w:val="0059608E"/>
    <w:rPr>
      <w:rFonts w:ascii="Arial" w:eastAsiaTheme="minorEastAsia" w:hAnsi="Arial"/>
      <w:b/>
      <w:bCs/>
      <w:sz w:val="18"/>
      <w:szCs w:val="20"/>
      <w:lang w:val="en-US" w:bidi="en-US"/>
    </w:rPr>
  </w:style>
  <w:style w:type="table" w:styleId="MediumShading1">
    <w:name w:val="Medium Shading 1"/>
    <w:basedOn w:val="TableNormal"/>
    <w:uiPriority w:val="63"/>
    <w:rsid w:val="0059608E"/>
    <w:rPr>
      <w:rFonts w:eastAsiaTheme="minorEastAsia"/>
      <w:lang w:val="en-US" w:bidi="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
    <w:name w:val="Table Grid1"/>
    <w:basedOn w:val="TableNormal"/>
    <w:next w:val="TableGrid"/>
    <w:rsid w:val="0059608E"/>
    <w:pPr>
      <w:ind w:firstLine="0"/>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59608E"/>
  </w:style>
  <w:style w:type="paragraph" w:customStyle="1" w:styleId="EndNoteBibliographyTitle">
    <w:name w:val="EndNote Bibliography Title"/>
    <w:basedOn w:val="Normal"/>
    <w:link w:val="EndNoteBibliographyTitleChar"/>
    <w:rsid w:val="0059608E"/>
    <w:pPr>
      <w:jc w:val="center"/>
    </w:pPr>
    <w:rPr>
      <w:rFonts w:cs="Arial"/>
      <w:noProof/>
    </w:rPr>
  </w:style>
  <w:style w:type="character" w:customStyle="1" w:styleId="ListParagraphChar">
    <w:name w:val="List Paragraph Char"/>
    <w:basedOn w:val="DefaultParagraphFont"/>
    <w:link w:val="ListParagraph"/>
    <w:uiPriority w:val="34"/>
    <w:rsid w:val="0059608E"/>
    <w:rPr>
      <w:rFonts w:ascii="Arial" w:eastAsiaTheme="minorEastAsia" w:hAnsi="Arial"/>
      <w:lang w:val="en-US" w:bidi="en-US"/>
    </w:rPr>
  </w:style>
  <w:style w:type="character" w:customStyle="1" w:styleId="EndNoteBibliographyTitleChar">
    <w:name w:val="EndNote Bibliography Title Char"/>
    <w:basedOn w:val="ListParagraphChar"/>
    <w:link w:val="EndNoteBibliographyTitle"/>
    <w:rsid w:val="0059608E"/>
    <w:rPr>
      <w:rFonts w:ascii="Arial" w:eastAsiaTheme="minorEastAsia" w:hAnsi="Arial" w:cs="Arial"/>
      <w:noProof/>
      <w:lang w:val="en-US" w:bidi="en-US"/>
    </w:rPr>
  </w:style>
  <w:style w:type="paragraph" w:customStyle="1" w:styleId="EndNoteBibliography">
    <w:name w:val="EndNote Bibliography"/>
    <w:basedOn w:val="Normal"/>
    <w:link w:val="EndNoteBibliographyChar"/>
    <w:rsid w:val="0059608E"/>
    <w:rPr>
      <w:rFonts w:cs="Arial"/>
      <w:noProof/>
    </w:rPr>
  </w:style>
  <w:style w:type="character" w:customStyle="1" w:styleId="EndNoteBibliographyChar">
    <w:name w:val="EndNote Bibliography Char"/>
    <w:basedOn w:val="ListParagraphChar"/>
    <w:link w:val="EndNoteBibliography"/>
    <w:rsid w:val="0059608E"/>
    <w:rPr>
      <w:rFonts w:ascii="Arial" w:eastAsiaTheme="minorEastAsia" w:hAnsi="Arial" w:cs="Arial"/>
      <w:noProof/>
      <w:lang w:val="en-US" w:bidi="en-US"/>
    </w:rPr>
  </w:style>
  <w:style w:type="paragraph" w:customStyle="1" w:styleId="Infopage">
    <w:name w:val="Info page"/>
    <w:basedOn w:val="Normal"/>
    <w:uiPriority w:val="99"/>
    <w:rsid w:val="00461163"/>
    <w:pPr>
      <w:spacing w:after="120"/>
    </w:pPr>
    <w:rPr>
      <w:rFonts w:ascii="Arial Narrow" w:eastAsia="Times New Roman" w:hAnsi="Arial Narrow" w:cs="Times New Roman"/>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ind w:firstLine="35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08E"/>
    <w:pPr>
      <w:ind w:firstLine="0"/>
      <w:jc w:val="both"/>
    </w:pPr>
    <w:rPr>
      <w:rFonts w:ascii="Arial" w:eastAsiaTheme="minorEastAsia" w:hAnsi="Arial"/>
      <w:lang w:val="en-US" w:bidi="en-US"/>
    </w:rPr>
  </w:style>
  <w:style w:type="paragraph" w:styleId="Heading1">
    <w:name w:val="heading 1"/>
    <w:basedOn w:val="Normal"/>
    <w:next w:val="Normal"/>
    <w:link w:val="Heading1Char"/>
    <w:uiPriority w:val="9"/>
    <w:qFormat/>
    <w:rsid w:val="0066689E"/>
    <w:pPr>
      <w:numPr>
        <w:numId w:val="2"/>
      </w:numPr>
      <w:spacing w:before="80" w:after="80" w:line="276" w:lineRule="auto"/>
      <w:jc w:val="left"/>
      <w:outlineLvl w:val="0"/>
    </w:pPr>
    <w:rPr>
      <w:rFonts w:eastAsiaTheme="majorEastAsia" w:cstheme="majorBidi"/>
      <w:b/>
      <w:bCs/>
      <w:caps/>
      <w:sz w:val="32"/>
      <w:szCs w:val="32"/>
      <w:lang w:val="en-AU" w:eastAsia="en-AU"/>
    </w:rPr>
  </w:style>
  <w:style w:type="paragraph" w:styleId="Heading2">
    <w:name w:val="heading 2"/>
    <w:basedOn w:val="Normal"/>
    <w:next w:val="Normal"/>
    <w:link w:val="Heading2Char"/>
    <w:uiPriority w:val="9"/>
    <w:unhideWhenUsed/>
    <w:qFormat/>
    <w:rsid w:val="0059608E"/>
    <w:pPr>
      <w:numPr>
        <w:ilvl w:val="1"/>
        <w:numId w:val="1"/>
      </w:numPr>
      <w:pBdr>
        <w:bottom w:val="single" w:sz="4" w:space="1" w:color="95B3D7" w:themeColor="accent1" w:themeTint="99"/>
      </w:pBdr>
      <w:spacing w:before="160" w:after="80"/>
      <w:ind w:left="4688"/>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59608E"/>
    <w:pPr>
      <w:numPr>
        <w:ilvl w:val="2"/>
        <w:numId w:val="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59608E"/>
    <w:pPr>
      <w:outlineLvl w:val="3"/>
    </w:pPr>
  </w:style>
  <w:style w:type="paragraph" w:styleId="Heading5">
    <w:name w:val="heading 5"/>
    <w:basedOn w:val="Normal"/>
    <w:next w:val="Normal"/>
    <w:link w:val="Heading5Char"/>
    <w:uiPriority w:val="9"/>
    <w:unhideWhenUsed/>
    <w:qFormat/>
    <w:rsid w:val="0059608E"/>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59608E"/>
    <w:pPr>
      <w:numPr>
        <w:ilvl w:val="5"/>
        <w:numId w:val="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59608E"/>
    <w:pPr>
      <w:numPr>
        <w:ilvl w:val="6"/>
        <w:numId w:val="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rsid w:val="0059608E"/>
    <w:pPr>
      <w:numPr>
        <w:ilvl w:val="7"/>
        <w:numId w:val="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rsid w:val="0059608E"/>
    <w:pPr>
      <w:numPr>
        <w:ilvl w:val="8"/>
        <w:numId w:val="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689E"/>
    <w:rPr>
      <w:rFonts w:ascii="Arial" w:eastAsiaTheme="majorEastAsia" w:hAnsi="Arial" w:cstheme="majorBidi"/>
      <w:b/>
      <w:bCs/>
      <w:caps/>
      <w:sz w:val="32"/>
      <w:szCs w:val="32"/>
      <w:lang w:eastAsia="en-AU" w:bidi="en-US"/>
    </w:rPr>
  </w:style>
  <w:style w:type="character" w:customStyle="1" w:styleId="Heading2Char">
    <w:name w:val="Heading 2 Char"/>
    <w:basedOn w:val="DefaultParagraphFont"/>
    <w:link w:val="Heading2"/>
    <w:uiPriority w:val="9"/>
    <w:rsid w:val="0059608E"/>
    <w:rPr>
      <w:rFonts w:ascii="Arial" w:eastAsiaTheme="majorEastAsia" w:hAnsi="Arial" w:cstheme="majorBidi"/>
      <w:b/>
      <w:sz w:val="28"/>
      <w:szCs w:val="28"/>
      <w:lang w:val="en-US" w:eastAsia="en-AU" w:bidi="en-US"/>
    </w:rPr>
  </w:style>
  <w:style w:type="character" w:customStyle="1" w:styleId="Heading3Char">
    <w:name w:val="Heading 3 Char"/>
    <w:basedOn w:val="DefaultParagraphFont"/>
    <w:link w:val="Heading3"/>
    <w:uiPriority w:val="9"/>
    <w:rsid w:val="0059608E"/>
    <w:rPr>
      <w:rFonts w:ascii="Arial" w:eastAsiaTheme="majorEastAsia" w:hAnsi="Arial" w:cstheme="majorBidi"/>
      <w:b/>
      <w:color w:val="548DD4" w:themeColor="text2" w:themeTint="99"/>
      <w:sz w:val="24"/>
      <w:szCs w:val="24"/>
      <w:lang w:val="en-GB" w:eastAsia="en-AU" w:bidi="en-US"/>
    </w:rPr>
  </w:style>
  <w:style w:type="character" w:customStyle="1" w:styleId="Heading4Char">
    <w:name w:val="Heading 4 Char"/>
    <w:basedOn w:val="DefaultParagraphFont"/>
    <w:link w:val="Heading4"/>
    <w:uiPriority w:val="9"/>
    <w:rsid w:val="0059608E"/>
    <w:rPr>
      <w:rFonts w:asciiTheme="majorHAnsi" w:eastAsiaTheme="majorEastAsia" w:hAnsiTheme="majorHAnsi" w:cstheme="majorBidi"/>
      <w:b/>
      <w:sz w:val="20"/>
      <w:szCs w:val="20"/>
      <w:lang w:val="en-US" w:eastAsia="ja-JP" w:bidi="en-US"/>
    </w:rPr>
  </w:style>
  <w:style w:type="character" w:customStyle="1" w:styleId="Heading5Char">
    <w:name w:val="Heading 5 Char"/>
    <w:basedOn w:val="DefaultParagraphFont"/>
    <w:link w:val="Heading5"/>
    <w:uiPriority w:val="9"/>
    <w:rsid w:val="0059608E"/>
    <w:rPr>
      <w:rFonts w:asciiTheme="majorHAnsi" w:eastAsiaTheme="majorEastAsia" w:hAnsiTheme="majorHAnsi" w:cstheme="majorBidi"/>
      <w:b/>
      <w:sz w:val="20"/>
      <w:szCs w:val="20"/>
      <w:lang w:val="en-US" w:eastAsia="ja-JP" w:bidi="en-US"/>
    </w:rPr>
  </w:style>
  <w:style w:type="character" w:customStyle="1" w:styleId="Heading6Char">
    <w:name w:val="Heading 6 Char"/>
    <w:basedOn w:val="DefaultParagraphFont"/>
    <w:link w:val="Heading6"/>
    <w:uiPriority w:val="9"/>
    <w:rsid w:val="0059608E"/>
    <w:rPr>
      <w:rFonts w:asciiTheme="majorHAnsi" w:eastAsiaTheme="majorEastAsia" w:hAnsiTheme="majorHAnsi" w:cstheme="majorBidi"/>
      <w:b/>
      <w:i/>
      <w:iCs/>
      <w:sz w:val="20"/>
      <w:szCs w:val="20"/>
      <w:lang w:val="en-GB" w:bidi="en-US"/>
    </w:rPr>
  </w:style>
  <w:style w:type="character" w:customStyle="1" w:styleId="Heading7Char">
    <w:name w:val="Heading 7 Char"/>
    <w:basedOn w:val="DefaultParagraphFont"/>
    <w:link w:val="Heading7"/>
    <w:uiPriority w:val="9"/>
    <w:rsid w:val="0059608E"/>
    <w:rPr>
      <w:rFonts w:asciiTheme="majorHAnsi" w:eastAsiaTheme="majorEastAsia" w:hAnsiTheme="majorHAnsi" w:cstheme="majorBidi"/>
      <w:b/>
      <w:bCs/>
      <w:color w:val="9BBB59" w:themeColor="accent3"/>
      <w:sz w:val="20"/>
      <w:szCs w:val="20"/>
      <w:lang w:val="en-US" w:bidi="en-US"/>
    </w:rPr>
  </w:style>
  <w:style w:type="character" w:customStyle="1" w:styleId="Heading8Char">
    <w:name w:val="Heading 8 Char"/>
    <w:basedOn w:val="DefaultParagraphFont"/>
    <w:link w:val="Heading8"/>
    <w:uiPriority w:val="9"/>
    <w:semiHidden/>
    <w:rsid w:val="0059608E"/>
    <w:rPr>
      <w:rFonts w:asciiTheme="majorHAnsi" w:eastAsiaTheme="majorEastAsia" w:hAnsiTheme="majorHAnsi" w:cstheme="majorBidi"/>
      <w:b/>
      <w:bCs/>
      <w:i/>
      <w:iCs/>
      <w:color w:val="9BBB59" w:themeColor="accent3"/>
      <w:sz w:val="20"/>
      <w:szCs w:val="20"/>
      <w:lang w:val="en-US" w:bidi="en-US"/>
    </w:rPr>
  </w:style>
  <w:style w:type="character" w:customStyle="1" w:styleId="Heading9Char">
    <w:name w:val="Heading 9 Char"/>
    <w:basedOn w:val="DefaultParagraphFont"/>
    <w:link w:val="Heading9"/>
    <w:uiPriority w:val="9"/>
    <w:semiHidden/>
    <w:rsid w:val="0059608E"/>
    <w:rPr>
      <w:rFonts w:asciiTheme="majorHAnsi" w:eastAsiaTheme="majorEastAsia" w:hAnsiTheme="majorHAnsi" w:cstheme="majorBidi"/>
      <w:i/>
      <w:iCs/>
      <w:color w:val="9BBB59" w:themeColor="accent3"/>
      <w:sz w:val="20"/>
      <w:szCs w:val="20"/>
      <w:lang w:val="en-US" w:bidi="en-US"/>
    </w:rPr>
  </w:style>
  <w:style w:type="paragraph" w:styleId="TOC1">
    <w:name w:val="toc 1"/>
    <w:basedOn w:val="Normal"/>
    <w:next w:val="Normal"/>
    <w:link w:val="TOC1Char"/>
    <w:autoRedefine/>
    <w:uiPriority w:val="39"/>
    <w:qFormat/>
    <w:rsid w:val="0059608E"/>
    <w:pPr>
      <w:spacing w:before="240" w:after="120"/>
      <w:jc w:val="left"/>
    </w:pPr>
    <w:rPr>
      <w:rFonts w:asciiTheme="minorHAnsi" w:hAnsiTheme="minorHAnsi"/>
      <w:b/>
      <w:bCs/>
      <w:sz w:val="20"/>
      <w:szCs w:val="20"/>
    </w:rPr>
  </w:style>
  <w:style w:type="paragraph" w:styleId="TOC3">
    <w:name w:val="toc 3"/>
    <w:basedOn w:val="Normal"/>
    <w:next w:val="Normal"/>
    <w:autoRedefine/>
    <w:uiPriority w:val="39"/>
    <w:qFormat/>
    <w:rsid w:val="0059608E"/>
    <w:pPr>
      <w:ind w:left="440"/>
      <w:jc w:val="left"/>
    </w:pPr>
    <w:rPr>
      <w:rFonts w:asciiTheme="minorHAnsi" w:hAnsiTheme="minorHAnsi"/>
      <w:sz w:val="20"/>
      <w:szCs w:val="20"/>
    </w:rPr>
  </w:style>
  <w:style w:type="paragraph" w:styleId="Caption">
    <w:name w:val="caption"/>
    <w:aliases w:val="Tables"/>
    <w:basedOn w:val="Normal"/>
    <w:next w:val="Normal"/>
    <w:link w:val="CaptionChar"/>
    <w:uiPriority w:val="35"/>
    <w:unhideWhenUsed/>
    <w:qFormat/>
    <w:rsid w:val="0059608E"/>
    <w:pPr>
      <w:jc w:val="left"/>
    </w:pPr>
    <w:rPr>
      <w:b/>
      <w:bCs/>
      <w:sz w:val="18"/>
      <w:szCs w:val="18"/>
    </w:rPr>
  </w:style>
  <w:style w:type="character" w:customStyle="1" w:styleId="CaptionChar">
    <w:name w:val="Caption Char"/>
    <w:aliases w:val="Tables Char"/>
    <w:basedOn w:val="DefaultParagraphFont"/>
    <w:link w:val="Caption"/>
    <w:uiPriority w:val="35"/>
    <w:locked/>
    <w:rsid w:val="0059608E"/>
    <w:rPr>
      <w:rFonts w:ascii="Arial" w:eastAsiaTheme="minorEastAsia" w:hAnsi="Arial"/>
      <w:b/>
      <w:bCs/>
      <w:sz w:val="18"/>
      <w:szCs w:val="18"/>
      <w:lang w:val="en-US" w:bidi="en-US"/>
    </w:rPr>
  </w:style>
  <w:style w:type="paragraph" w:styleId="Title">
    <w:name w:val="Title"/>
    <w:basedOn w:val="Normal"/>
    <w:next w:val="Normal"/>
    <w:link w:val="TitleChar"/>
    <w:uiPriority w:val="10"/>
    <w:qFormat/>
    <w:rsid w:val="0059608E"/>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59608E"/>
    <w:rPr>
      <w:rFonts w:asciiTheme="majorHAnsi" w:eastAsiaTheme="majorEastAsia" w:hAnsiTheme="majorHAnsi" w:cstheme="majorBidi"/>
      <w:i/>
      <w:iCs/>
      <w:color w:val="243F60" w:themeColor="accent1" w:themeShade="7F"/>
      <w:sz w:val="60"/>
      <w:szCs w:val="60"/>
      <w:lang w:val="en-US" w:bidi="en-US"/>
    </w:rPr>
  </w:style>
  <w:style w:type="paragraph" w:styleId="Subtitle">
    <w:name w:val="Subtitle"/>
    <w:basedOn w:val="Normal"/>
    <w:next w:val="Normal"/>
    <w:link w:val="SubtitleChar"/>
    <w:uiPriority w:val="11"/>
    <w:qFormat/>
    <w:rsid w:val="0059608E"/>
    <w:pPr>
      <w:spacing w:before="200" w:after="900"/>
      <w:jc w:val="right"/>
    </w:pPr>
    <w:rPr>
      <w:i/>
      <w:iCs/>
      <w:sz w:val="24"/>
      <w:szCs w:val="24"/>
    </w:rPr>
  </w:style>
  <w:style w:type="character" w:customStyle="1" w:styleId="SubtitleChar">
    <w:name w:val="Subtitle Char"/>
    <w:basedOn w:val="DefaultParagraphFont"/>
    <w:link w:val="Subtitle"/>
    <w:uiPriority w:val="11"/>
    <w:rsid w:val="0059608E"/>
    <w:rPr>
      <w:rFonts w:ascii="Arial" w:eastAsiaTheme="minorEastAsia" w:hAnsi="Arial"/>
      <w:i/>
      <w:iCs/>
      <w:sz w:val="24"/>
      <w:szCs w:val="24"/>
      <w:lang w:val="en-US" w:bidi="en-US"/>
    </w:rPr>
  </w:style>
  <w:style w:type="character" w:styleId="Strong">
    <w:name w:val="Strong"/>
    <w:basedOn w:val="DefaultParagraphFont"/>
    <w:uiPriority w:val="22"/>
    <w:qFormat/>
    <w:rsid w:val="0059608E"/>
    <w:rPr>
      <w:b/>
      <w:bCs/>
      <w:spacing w:val="0"/>
    </w:rPr>
  </w:style>
  <w:style w:type="character" w:styleId="Emphasis">
    <w:name w:val="Emphasis"/>
    <w:uiPriority w:val="20"/>
    <w:qFormat/>
    <w:rsid w:val="0059608E"/>
    <w:rPr>
      <w:b/>
      <w:bCs/>
      <w:i/>
      <w:iCs/>
      <w:color w:val="5A5A5A" w:themeColor="text1" w:themeTint="A5"/>
    </w:rPr>
  </w:style>
  <w:style w:type="paragraph" w:styleId="NoSpacing">
    <w:name w:val="No Spacing"/>
    <w:basedOn w:val="Normal"/>
    <w:link w:val="NoSpacingChar"/>
    <w:uiPriority w:val="1"/>
    <w:qFormat/>
    <w:rsid w:val="0059608E"/>
  </w:style>
  <w:style w:type="character" w:customStyle="1" w:styleId="NoSpacingChar">
    <w:name w:val="No Spacing Char"/>
    <w:basedOn w:val="DefaultParagraphFont"/>
    <w:link w:val="NoSpacing"/>
    <w:uiPriority w:val="1"/>
    <w:rsid w:val="0059608E"/>
    <w:rPr>
      <w:rFonts w:ascii="Arial" w:eastAsiaTheme="minorEastAsia" w:hAnsi="Arial"/>
      <w:lang w:val="en-US" w:bidi="en-US"/>
    </w:rPr>
  </w:style>
  <w:style w:type="paragraph" w:styleId="ListParagraph">
    <w:name w:val="List Paragraph"/>
    <w:basedOn w:val="Normal"/>
    <w:link w:val="ListParagraphChar"/>
    <w:uiPriority w:val="34"/>
    <w:qFormat/>
    <w:rsid w:val="0059608E"/>
    <w:pPr>
      <w:ind w:left="720"/>
      <w:contextualSpacing/>
    </w:pPr>
  </w:style>
  <w:style w:type="paragraph" w:styleId="Quote">
    <w:name w:val="Quote"/>
    <w:basedOn w:val="Normal"/>
    <w:next w:val="Normal"/>
    <w:link w:val="QuoteChar"/>
    <w:uiPriority w:val="29"/>
    <w:qFormat/>
    <w:rsid w:val="0059608E"/>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59608E"/>
    <w:rPr>
      <w:rFonts w:asciiTheme="majorHAnsi" w:eastAsiaTheme="majorEastAsia" w:hAnsiTheme="majorHAnsi" w:cstheme="majorBidi"/>
      <w:i/>
      <w:iCs/>
      <w:color w:val="5A5A5A" w:themeColor="text1" w:themeTint="A5"/>
      <w:lang w:val="en-US" w:bidi="en-US"/>
    </w:rPr>
  </w:style>
  <w:style w:type="paragraph" w:styleId="IntenseQuote">
    <w:name w:val="Intense Quote"/>
    <w:basedOn w:val="Normal"/>
    <w:next w:val="Normal"/>
    <w:link w:val="IntenseQuoteChar"/>
    <w:uiPriority w:val="30"/>
    <w:qFormat/>
    <w:rsid w:val="0059608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59608E"/>
    <w:rPr>
      <w:rFonts w:asciiTheme="majorHAnsi" w:eastAsiaTheme="majorEastAsia" w:hAnsiTheme="majorHAnsi" w:cstheme="majorBidi"/>
      <w:i/>
      <w:iCs/>
      <w:color w:val="FFFFFF" w:themeColor="background1"/>
      <w:sz w:val="24"/>
      <w:szCs w:val="24"/>
      <w:shd w:val="clear" w:color="auto" w:fill="4F81BD" w:themeFill="accent1"/>
      <w:lang w:val="en-US" w:bidi="en-US"/>
    </w:rPr>
  </w:style>
  <w:style w:type="character" w:styleId="SubtleEmphasis">
    <w:name w:val="Subtle Emphasis"/>
    <w:uiPriority w:val="19"/>
    <w:qFormat/>
    <w:rsid w:val="0059608E"/>
    <w:rPr>
      <w:i/>
      <w:iCs/>
      <w:color w:val="5A5A5A" w:themeColor="text1" w:themeTint="A5"/>
    </w:rPr>
  </w:style>
  <w:style w:type="character" w:styleId="IntenseEmphasis">
    <w:name w:val="Intense Emphasis"/>
    <w:uiPriority w:val="21"/>
    <w:qFormat/>
    <w:rsid w:val="0059608E"/>
    <w:rPr>
      <w:b/>
      <w:bCs/>
      <w:i/>
      <w:iCs/>
      <w:color w:val="4F81BD" w:themeColor="accent1"/>
      <w:sz w:val="22"/>
      <w:szCs w:val="22"/>
    </w:rPr>
  </w:style>
  <w:style w:type="character" w:styleId="SubtleReference">
    <w:name w:val="Subtle Reference"/>
    <w:uiPriority w:val="31"/>
    <w:qFormat/>
    <w:rsid w:val="0059608E"/>
    <w:rPr>
      <w:color w:val="auto"/>
      <w:u w:val="single" w:color="9BBB59" w:themeColor="accent3"/>
    </w:rPr>
  </w:style>
  <w:style w:type="character" w:styleId="IntenseReference">
    <w:name w:val="Intense Reference"/>
    <w:basedOn w:val="DefaultParagraphFont"/>
    <w:uiPriority w:val="32"/>
    <w:qFormat/>
    <w:rsid w:val="0059608E"/>
    <w:rPr>
      <w:b/>
      <w:bCs/>
      <w:color w:val="76923C" w:themeColor="accent3" w:themeShade="BF"/>
      <w:u w:val="single" w:color="9BBB59" w:themeColor="accent3"/>
    </w:rPr>
  </w:style>
  <w:style w:type="character" w:styleId="BookTitle">
    <w:name w:val="Book Title"/>
    <w:basedOn w:val="DefaultParagraphFont"/>
    <w:uiPriority w:val="33"/>
    <w:qFormat/>
    <w:rsid w:val="0059608E"/>
    <w:rPr>
      <w:rFonts w:asciiTheme="majorHAnsi" w:eastAsiaTheme="majorEastAsia" w:hAnsiTheme="majorHAnsi" w:cstheme="majorBidi"/>
      <w:b/>
      <w:bCs/>
      <w:i/>
      <w:iCs/>
      <w:color w:val="auto"/>
    </w:rPr>
  </w:style>
  <w:style w:type="paragraph" w:styleId="TOCHeading">
    <w:name w:val="TOC Heading"/>
    <w:basedOn w:val="Heading1"/>
    <w:next w:val="Normal"/>
    <w:uiPriority w:val="39"/>
    <w:unhideWhenUsed/>
    <w:qFormat/>
    <w:rsid w:val="0059608E"/>
    <w:pPr>
      <w:outlineLvl w:val="9"/>
    </w:pPr>
  </w:style>
  <w:style w:type="paragraph" w:customStyle="1" w:styleId="ReportCoverPage">
    <w:name w:val="Report Cover Page"/>
    <w:basedOn w:val="Normal"/>
    <w:next w:val="Normal"/>
    <w:uiPriority w:val="99"/>
    <w:rsid w:val="0059608E"/>
    <w:rPr>
      <w:sz w:val="32"/>
    </w:rPr>
  </w:style>
  <w:style w:type="character" w:customStyle="1" w:styleId="Reporttitle">
    <w:name w:val="Report title"/>
    <w:basedOn w:val="DefaultParagraphFont"/>
    <w:uiPriority w:val="99"/>
    <w:rsid w:val="0059608E"/>
    <w:rPr>
      <w:rFonts w:ascii="Palatino Linotype" w:hAnsi="Palatino Linotype" w:cs="Times New Roman"/>
      <w:b/>
      <w:sz w:val="40"/>
    </w:rPr>
  </w:style>
  <w:style w:type="paragraph" w:styleId="TOC2">
    <w:name w:val="toc 2"/>
    <w:basedOn w:val="Normal"/>
    <w:next w:val="Normal"/>
    <w:autoRedefine/>
    <w:uiPriority w:val="39"/>
    <w:rsid w:val="0059608E"/>
    <w:pPr>
      <w:spacing w:before="120"/>
      <w:ind w:left="220"/>
      <w:jc w:val="left"/>
    </w:pPr>
    <w:rPr>
      <w:rFonts w:asciiTheme="minorHAnsi" w:hAnsiTheme="minorHAnsi"/>
      <w:i/>
      <w:iCs/>
      <w:sz w:val="20"/>
      <w:szCs w:val="20"/>
    </w:rPr>
  </w:style>
  <w:style w:type="table" w:customStyle="1" w:styleId="TableStyleAnita">
    <w:name w:val="Table Style Anita"/>
    <w:uiPriority w:val="99"/>
    <w:rsid w:val="0059608E"/>
    <w:pPr>
      <w:jc w:val="right"/>
    </w:pPr>
    <w:rPr>
      <w:rFonts w:ascii="Tahoma" w:eastAsiaTheme="minorEastAsia" w:hAnsi="Tahoma"/>
      <w:lang w:val="en-US" w:bidi="en-US"/>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4">
    <w:name w:val="toc 4"/>
    <w:basedOn w:val="Normal"/>
    <w:next w:val="Normal"/>
    <w:autoRedefine/>
    <w:uiPriority w:val="39"/>
    <w:rsid w:val="0059608E"/>
    <w:pPr>
      <w:ind w:left="660"/>
      <w:jc w:val="left"/>
    </w:pPr>
    <w:rPr>
      <w:rFonts w:asciiTheme="minorHAnsi" w:hAnsiTheme="minorHAnsi"/>
      <w:sz w:val="20"/>
      <w:szCs w:val="20"/>
    </w:rPr>
  </w:style>
  <w:style w:type="paragraph" w:styleId="TOC5">
    <w:name w:val="toc 5"/>
    <w:basedOn w:val="Normal"/>
    <w:next w:val="Normal"/>
    <w:autoRedefine/>
    <w:uiPriority w:val="39"/>
    <w:rsid w:val="0059608E"/>
    <w:pPr>
      <w:ind w:left="880"/>
      <w:jc w:val="left"/>
    </w:pPr>
    <w:rPr>
      <w:rFonts w:asciiTheme="minorHAnsi" w:hAnsiTheme="minorHAnsi"/>
      <w:sz w:val="20"/>
      <w:szCs w:val="20"/>
    </w:rPr>
  </w:style>
  <w:style w:type="paragraph" w:styleId="TOC6">
    <w:name w:val="toc 6"/>
    <w:basedOn w:val="Normal"/>
    <w:next w:val="Normal"/>
    <w:autoRedefine/>
    <w:uiPriority w:val="39"/>
    <w:rsid w:val="0059608E"/>
    <w:pPr>
      <w:ind w:left="1100"/>
      <w:jc w:val="left"/>
    </w:pPr>
    <w:rPr>
      <w:rFonts w:asciiTheme="minorHAnsi" w:hAnsiTheme="minorHAnsi"/>
      <w:sz w:val="20"/>
      <w:szCs w:val="20"/>
    </w:rPr>
  </w:style>
  <w:style w:type="paragraph" w:styleId="TOC7">
    <w:name w:val="toc 7"/>
    <w:basedOn w:val="Normal"/>
    <w:next w:val="Normal"/>
    <w:autoRedefine/>
    <w:uiPriority w:val="39"/>
    <w:rsid w:val="0059608E"/>
    <w:pPr>
      <w:ind w:left="1320"/>
      <w:jc w:val="left"/>
    </w:pPr>
    <w:rPr>
      <w:rFonts w:asciiTheme="minorHAnsi" w:hAnsiTheme="minorHAnsi"/>
      <w:sz w:val="20"/>
      <w:szCs w:val="20"/>
    </w:rPr>
  </w:style>
  <w:style w:type="paragraph" w:styleId="TOC8">
    <w:name w:val="toc 8"/>
    <w:basedOn w:val="Normal"/>
    <w:next w:val="Normal"/>
    <w:autoRedefine/>
    <w:uiPriority w:val="39"/>
    <w:rsid w:val="0059608E"/>
    <w:pPr>
      <w:ind w:left="1540"/>
      <w:jc w:val="left"/>
    </w:pPr>
    <w:rPr>
      <w:rFonts w:asciiTheme="minorHAnsi" w:hAnsiTheme="minorHAnsi"/>
      <w:sz w:val="20"/>
      <w:szCs w:val="20"/>
    </w:rPr>
  </w:style>
  <w:style w:type="paragraph" w:styleId="TOC9">
    <w:name w:val="toc 9"/>
    <w:basedOn w:val="Normal"/>
    <w:next w:val="Normal"/>
    <w:autoRedefine/>
    <w:uiPriority w:val="39"/>
    <w:rsid w:val="0059608E"/>
    <w:pPr>
      <w:ind w:left="1760"/>
      <w:jc w:val="left"/>
    </w:pPr>
    <w:rPr>
      <w:rFonts w:asciiTheme="minorHAnsi" w:hAnsiTheme="minorHAnsi"/>
      <w:sz w:val="20"/>
      <w:szCs w:val="20"/>
    </w:rPr>
  </w:style>
  <w:style w:type="character" w:styleId="Hyperlink">
    <w:name w:val="Hyperlink"/>
    <w:basedOn w:val="DefaultParagraphFont"/>
    <w:uiPriority w:val="99"/>
    <w:rsid w:val="0059608E"/>
    <w:rPr>
      <w:rFonts w:cs="Times New Roman"/>
      <w:color w:val="0000FF"/>
      <w:u w:val="single"/>
    </w:rPr>
  </w:style>
  <w:style w:type="paragraph" w:styleId="BodyText3">
    <w:name w:val="Body Text 3"/>
    <w:basedOn w:val="Normal"/>
    <w:link w:val="BodyText3Char"/>
    <w:uiPriority w:val="99"/>
    <w:rsid w:val="0059608E"/>
    <w:pPr>
      <w:spacing w:after="120"/>
    </w:pPr>
    <w:rPr>
      <w:sz w:val="16"/>
      <w:szCs w:val="16"/>
    </w:rPr>
  </w:style>
  <w:style w:type="character" w:customStyle="1" w:styleId="BodyText3Char">
    <w:name w:val="Body Text 3 Char"/>
    <w:basedOn w:val="DefaultParagraphFont"/>
    <w:link w:val="BodyText3"/>
    <w:uiPriority w:val="99"/>
    <w:rsid w:val="0059608E"/>
    <w:rPr>
      <w:rFonts w:ascii="Arial" w:eastAsiaTheme="minorEastAsia" w:hAnsi="Arial"/>
      <w:sz w:val="16"/>
      <w:szCs w:val="16"/>
      <w:lang w:val="en-US" w:bidi="en-US"/>
    </w:rPr>
  </w:style>
  <w:style w:type="character" w:styleId="CommentReference">
    <w:name w:val="annotation reference"/>
    <w:basedOn w:val="DefaultParagraphFont"/>
    <w:uiPriority w:val="99"/>
    <w:rsid w:val="0059608E"/>
    <w:rPr>
      <w:rFonts w:cs="Times New Roman"/>
      <w:sz w:val="16"/>
      <w:szCs w:val="16"/>
    </w:rPr>
  </w:style>
  <w:style w:type="paragraph" w:styleId="CommentText">
    <w:name w:val="annotation text"/>
    <w:basedOn w:val="Normal"/>
    <w:link w:val="CommentTextChar"/>
    <w:uiPriority w:val="99"/>
    <w:rsid w:val="0059608E"/>
    <w:rPr>
      <w:sz w:val="20"/>
      <w:szCs w:val="20"/>
    </w:rPr>
  </w:style>
  <w:style w:type="character" w:customStyle="1" w:styleId="CommentTextChar">
    <w:name w:val="Comment Text Char"/>
    <w:basedOn w:val="DefaultParagraphFont"/>
    <w:link w:val="CommentText"/>
    <w:uiPriority w:val="99"/>
    <w:rsid w:val="0059608E"/>
    <w:rPr>
      <w:rFonts w:ascii="Arial" w:eastAsiaTheme="minorEastAsia" w:hAnsi="Arial"/>
      <w:sz w:val="20"/>
      <w:szCs w:val="20"/>
      <w:lang w:val="en-US" w:bidi="en-US"/>
    </w:rPr>
  </w:style>
  <w:style w:type="paragraph" w:styleId="CommentSubject">
    <w:name w:val="annotation subject"/>
    <w:basedOn w:val="CommentText"/>
    <w:next w:val="CommentText"/>
    <w:link w:val="CommentSubjectChar"/>
    <w:uiPriority w:val="99"/>
    <w:semiHidden/>
    <w:rsid w:val="0059608E"/>
    <w:rPr>
      <w:b/>
      <w:bCs/>
    </w:rPr>
  </w:style>
  <w:style w:type="character" w:customStyle="1" w:styleId="CommentSubjectChar">
    <w:name w:val="Comment Subject Char"/>
    <w:basedOn w:val="CommentTextChar"/>
    <w:link w:val="CommentSubject"/>
    <w:uiPriority w:val="99"/>
    <w:semiHidden/>
    <w:rsid w:val="0059608E"/>
    <w:rPr>
      <w:rFonts w:ascii="Arial" w:eastAsiaTheme="minorEastAsia" w:hAnsi="Arial"/>
      <w:b/>
      <w:bCs/>
      <w:sz w:val="20"/>
      <w:szCs w:val="20"/>
      <w:lang w:val="en-US" w:bidi="en-US"/>
    </w:rPr>
  </w:style>
  <w:style w:type="paragraph" w:styleId="BalloonText">
    <w:name w:val="Balloon Text"/>
    <w:basedOn w:val="Normal"/>
    <w:link w:val="BalloonTextChar"/>
    <w:uiPriority w:val="99"/>
    <w:semiHidden/>
    <w:rsid w:val="0059608E"/>
    <w:rPr>
      <w:rFonts w:cs="Tahoma"/>
      <w:sz w:val="16"/>
      <w:szCs w:val="16"/>
    </w:rPr>
  </w:style>
  <w:style w:type="character" w:customStyle="1" w:styleId="BalloonTextChar">
    <w:name w:val="Balloon Text Char"/>
    <w:basedOn w:val="DefaultParagraphFont"/>
    <w:link w:val="BalloonText"/>
    <w:uiPriority w:val="99"/>
    <w:semiHidden/>
    <w:rsid w:val="0059608E"/>
    <w:rPr>
      <w:rFonts w:ascii="Arial" w:eastAsiaTheme="minorEastAsia" w:hAnsi="Arial" w:cs="Tahoma"/>
      <w:sz w:val="16"/>
      <w:szCs w:val="16"/>
      <w:lang w:val="en-US" w:bidi="en-US"/>
    </w:rPr>
  </w:style>
  <w:style w:type="paragraph" w:styleId="TableofFigures">
    <w:name w:val="table of figures"/>
    <w:basedOn w:val="Normal"/>
    <w:next w:val="Normal"/>
    <w:uiPriority w:val="99"/>
    <w:rsid w:val="0059608E"/>
    <w:rPr>
      <w:i/>
      <w:iCs/>
      <w:sz w:val="20"/>
      <w:szCs w:val="20"/>
    </w:rPr>
  </w:style>
  <w:style w:type="paragraph" w:styleId="Header">
    <w:name w:val="header"/>
    <w:basedOn w:val="Normal"/>
    <w:link w:val="HeaderChar"/>
    <w:uiPriority w:val="99"/>
    <w:rsid w:val="0059608E"/>
    <w:pPr>
      <w:tabs>
        <w:tab w:val="center" w:pos="4320"/>
        <w:tab w:val="right" w:pos="8640"/>
      </w:tabs>
    </w:pPr>
  </w:style>
  <w:style w:type="character" w:customStyle="1" w:styleId="HeaderChar">
    <w:name w:val="Header Char"/>
    <w:basedOn w:val="DefaultParagraphFont"/>
    <w:link w:val="Header"/>
    <w:uiPriority w:val="99"/>
    <w:rsid w:val="0059608E"/>
    <w:rPr>
      <w:rFonts w:ascii="Arial" w:eastAsiaTheme="minorEastAsia" w:hAnsi="Arial"/>
      <w:lang w:val="en-US" w:bidi="en-US"/>
    </w:rPr>
  </w:style>
  <w:style w:type="paragraph" w:styleId="Footer">
    <w:name w:val="footer"/>
    <w:basedOn w:val="Normal"/>
    <w:link w:val="FooterChar"/>
    <w:uiPriority w:val="99"/>
    <w:rsid w:val="0059608E"/>
    <w:pPr>
      <w:tabs>
        <w:tab w:val="center" w:pos="4320"/>
        <w:tab w:val="right" w:pos="8640"/>
      </w:tabs>
    </w:pPr>
  </w:style>
  <w:style w:type="character" w:customStyle="1" w:styleId="FooterChar">
    <w:name w:val="Footer Char"/>
    <w:basedOn w:val="DefaultParagraphFont"/>
    <w:link w:val="Footer"/>
    <w:uiPriority w:val="99"/>
    <w:rsid w:val="0059608E"/>
    <w:rPr>
      <w:rFonts w:ascii="Arial" w:eastAsiaTheme="minorEastAsia" w:hAnsi="Arial"/>
      <w:lang w:val="en-US" w:bidi="en-US"/>
    </w:rPr>
  </w:style>
  <w:style w:type="character" w:styleId="PageNumber">
    <w:name w:val="page number"/>
    <w:basedOn w:val="DefaultParagraphFont"/>
    <w:rsid w:val="0059608E"/>
    <w:rPr>
      <w:rFonts w:cs="Times New Roman"/>
    </w:rPr>
  </w:style>
  <w:style w:type="table" w:styleId="TableList1">
    <w:name w:val="Table List 1"/>
    <w:aliases w:val="Anita rows shaded"/>
    <w:basedOn w:val="TableNormal"/>
    <w:uiPriority w:val="99"/>
    <w:rsid w:val="0059608E"/>
    <w:rPr>
      <w:rFonts w:ascii="Tahoma" w:eastAsiaTheme="minorEastAsia" w:hAnsi="Tahoma"/>
      <w:lang w:val="en-US"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59608E"/>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59608E"/>
    <w:rPr>
      <w:b/>
      <w:sz w:val="32"/>
    </w:rPr>
  </w:style>
  <w:style w:type="paragraph" w:customStyle="1" w:styleId="HeadingB">
    <w:name w:val="Heading B"/>
    <w:basedOn w:val="Normal"/>
    <w:next w:val="Normal"/>
    <w:uiPriority w:val="99"/>
    <w:rsid w:val="0059608E"/>
    <w:rPr>
      <w:b/>
      <w:sz w:val="28"/>
    </w:rPr>
  </w:style>
  <w:style w:type="paragraph" w:customStyle="1" w:styleId="name">
    <w:name w:val="name"/>
    <w:basedOn w:val="Normal"/>
    <w:uiPriority w:val="99"/>
    <w:rsid w:val="0059608E"/>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59608E"/>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rsid w:val="0059608E"/>
    <w:rPr>
      <w:rFonts w:ascii="Arial" w:eastAsiaTheme="minorEastAsia" w:hAnsi="Arial" w:cs="Tahoma"/>
      <w:sz w:val="20"/>
      <w:szCs w:val="20"/>
      <w:shd w:val="clear" w:color="auto" w:fill="000080"/>
      <w:lang w:val="en-US" w:bidi="en-US"/>
    </w:rPr>
  </w:style>
  <w:style w:type="table" w:styleId="TableGrid">
    <w:name w:val="Table Grid"/>
    <w:basedOn w:val="TableNormal"/>
    <w:uiPriority w:val="59"/>
    <w:rsid w:val="0059608E"/>
    <w:rPr>
      <w:rFonts w:eastAsiaTheme="minorEastAsia"/>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59608E"/>
    <w:rPr>
      <w:rFonts w:eastAsiaTheme="minorEastAsia"/>
      <w:lang w:val="en-US" w:bidi="en-US"/>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References">
    <w:name w:val="References"/>
    <w:basedOn w:val="Normal"/>
    <w:uiPriority w:val="99"/>
    <w:rsid w:val="0059608E"/>
    <w:pPr>
      <w:ind w:left="284" w:hanging="284"/>
    </w:pPr>
    <w:rPr>
      <w:rFonts w:ascii="Times New Roman" w:hAnsi="Times New Roman"/>
      <w:sz w:val="24"/>
    </w:rPr>
  </w:style>
  <w:style w:type="paragraph" w:styleId="BodyTextIndent">
    <w:name w:val="Body Text Indent"/>
    <w:basedOn w:val="Normal"/>
    <w:link w:val="BodyTextIndentChar"/>
    <w:uiPriority w:val="99"/>
    <w:rsid w:val="0059608E"/>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rsid w:val="0059608E"/>
    <w:rPr>
      <w:rFonts w:ascii="Times New Roman" w:eastAsiaTheme="minorEastAsia" w:hAnsi="Times New Roman"/>
      <w:sz w:val="24"/>
      <w:lang w:val="en-US" w:eastAsia="en-AU" w:bidi="en-US"/>
    </w:rPr>
  </w:style>
  <w:style w:type="table" w:styleId="TableGrid7">
    <w:name w:val="Table Grid 7"/>
    <w:basedOn w:val="TableNormal"/>
    <w:uiPriority w:val="99"/>
    <w:rsid w:val="0059608E"/>
    <w:rPr>
      <w:rFonts w:eastAsiaTheme="minorEastAsia"/>
      <w:b/>
      <w:bCs/>
      <w:lang w:val="en-US" w:bidi="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59608E"/>
    <w:rPr>
      <w:rFonts w:cs="Times New Roman"/>
      <w:color w:val="800080"/>
      <w:u w:val="single"/>
    </w:rPr>
  </w:style>
  <w:style w:type="paragraph" w:customStyle="1" w:styleId="Normal-GBR">
    <w:name w:val="Normal - GBR"/>
    <w:basedOn w:val="Normal"/>
    <w:uiPriority w:val="99"/>
    <w:rsid w:val="0059608E"/>
    <w:rPr>
      <w:rFonts w:ascii="Times New Roman" w:hAnsi="Times New Roman"/>
      <w:sz w:val="24"/>
    </w:rPr>
  </w:style>
  <w:style w:type="paragraph" w:styleId="Revision">
    <w:name w:val="Revision"/>
    <w:hidden/>
    <w:uiPriority w:val="99"/>
    <w:semiHidden/>
    <w:rsid w:val="0059608E"/>
    <w:rPr>
      <w:rFonts w:ascii="Tahoma" w:eastAsiaTheme="minorEastAsia" w:hAnsi="Tahoma"/>
      <w:szCs w:val="24"/>
      <w:lang w:bidi="en-US"/>
    </w:rPr>
  </w:style>
  <w:style w:type="paragraph" w:styleId="PlainText">
    <w:name w:val="Plain Text"/>
    <w:basedOn w:val="Normal"/>
    <w:link w:val="PlainTextChar"/>
    <w:uiPriority w:val="99"/>
    <w:rsid w:val="0059608E"/>
    <w:rPr>
      <w:rFonts w:ascii="Consolas" w:hAnsi="Consolas"/>
      <w:sz w:val="21"/>
      <w:szCs w:val="21"/>
    </w:rPr>
  </w:style>
  <w:style w:type="character" w:customStyle="1" w:styleId="PlainTextChar">
    <w:name w:val="Plain Text Char"/>
    <w:basedOn w:val="DefaultParagraphFont"/>
    <w:link w:val="PlainText"/>
    <w:uiPriority w:val="99"/>
    <w:rsid w:val="0059608E"/>
    <w:rPr>
      <w:rFonts w:ascii="Consolas" w:eastAsiaTheme="minorEastAsia" w:hAnsi="Consolas"/>
      <w:sz w:val="21"/>
      <w:szCs w:val="21"/>
      <w:lang w:val="en-US" w:bidi="en-US"/>
    </w:rPr>
  </w:style>
  <w:style w:type="paragraph" w:styleId="NormalWeb">
    <w:name w:val="Normal (Web)"/>
    <w:basedOn w:val="Normal"/>
    <w:uiPriority w:val="99"/>
    <w:unhideWhenUsed/>
    <w:rsid w:val="0059608E"/>
    <w:pPr>
      <w:spacing w:before="100" w:beforeAutospacing="1" w:after="100" w:afterAutospacing="1"/>
    </w:pPr>
    <w:rPr>
      <w:rFonts w:ascii="Times New Roman" w:hAnsi="Times New Roman"/>
      <w:sz w:val="24"/>
      <w:lang w:eastAsia="en-AU"/>
    </w:rPr>
  </w:style>
  <w:style w:type="paragraph" w:customStyle="1" w:styleId="normaltext">
    <w:name w:val="normal text"/>
    <w:basedOn w:val="Normal"/>
    <w:rsid w:val="0059608E"/>
  </w:style>
  <w:style w:type="paragraph" w:customStyle="1" w:styleId="authors1">
    <w:name w:val="authors1"/>
    <w:basedOn w:val="Normal"/>
    <w:rsid w:val="0059608E"/>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59608E"/>
  </w:style>
  <w:style w:type="table" w:customStyle="1" w:styleId="LightShading-Accent11">
    <w:name w:val="Light Shading - Accent 11"/>
    <w:basedOn w:val="TableNormal"/>
    <w:uiPriority w:val="60"/>
    <w:rsid w:val="0059608E"/>
    <w:rPr>
      <w:rFonts w:eastAsiaTheme="minorEastAsia"/>
      <w:color w:val="365F91" w:themeColor="accent1" w:themeShade="BF"/>
      <w:lang w:val="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59608E"/>
    <w:rPr>
      <w:rFonts w:eastAsiaTheme="minorEastAsia"/>
      <w:color w:val="31849B" w:themeColor="accent5" w:themeShade="BF"/>
      <w:lang w:val="en-US"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59608E"/>
    <w:rPr>
      <w:rFonts w:eastAsiaTheme="minorEastAsia"/>
      <w:lang w:val="en-US" w:bidi="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59608E"/>
    <w:pPr>
      <w:ind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59608E"/>
    <w:pPr>
      <w:autoSpaceDE w:val="0"/>
      <w:autoSpaceDN w:val="0"/>
      <w:adjustRightInd w:val="0"/>
      <w:ind w:firstLine="0"/>
    </w:pPr>
    <w:rPr>
      <w:rFonts w:ascii="Gill Sans MT" w:eastAsiaTheme="minorEastAsia" w:hAnsi="Gill Sans MT" w:cs="Gill Sans MT"/>
      <w:color w:val="000000"/>
      <w:sz w:val="24"/>
      <w:szCs w:val="24"/>
    </w:rPr>
  </w:style>
  <w:style w:type="table" w:customStyle="1" w:styleId="MediumShading2-Accent13">
    <w:name w:val="Medium Shading 2 - Accent 13"/>
    <w:basedOn w:val="TableNormal"/>
    <w:uiPriority w:val="64"/>
    <w:rsid w:val="0059608E"/>
    <w:rPr>
      <w:rFonts w:eastAsiaTheme="minorEastAsia"/>
      <w:lang w:val="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59608E"/>
    <w:rPr>
      <w:rFonts w:eastAsiaTheme="minorEastAsia"/>
      <w:lang w:val="en-US" w:bidi="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59608E"/>
    <w:rPr>
      <w:rFonts w:eastAsiaTheme="minorEastAsia"/>
      <w:lang w:val="en-US" w:bidi="en-US"/>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59608E"/>
  </w:style>
  <w:style w:type="paragraph" w:customStyle="1" w:styleId="Figures">
    <w:name w:val="Figures"/>
    <w:basedOn w:val="TOC1"/>
    <w:link w:val="FiguresChar"/>
    <w:qFormat/>
    <w:rsid w:val="0059608E"/>
    <w:rPr>
      <w:rFonts w:ascii="Arial" w:hAnsi="Arial"/>
      <w:sz w:val="18"/>
    </w:rPr>
  </w:style>
  <w:style w:type="character" w:customStyle="1" w:styleId="TOC1Char">
    <w:name w:val="TOC 1 Char"/>
    <w:basedOn w:val="DefaultParagraphFont"/>
    <w:link w:val="TOC1"/>
    <w:uiPriority w:val="39"/>
    <w:rsid w:val="0059608E"/>
    <w:rPr>
      <w:rFonts w:eastAsiaTheme="minorEastAsia"/>
      <w:b/>
      <w:bCs/>
      <w:sz w:val="20"/>
      <w:szCs w:val="20"/>
      <w:lang w:val="en-US" w:bidi="en-US"/>
    </w:rPr>
  </w:style>
  <w:style w:type="character" w:customStyle="1" w:styleId="FiguresChar">
    <w:name w:val="Figures Char"/>
    <w:basedOn w:val="TOC1Char"/>
    <w:link w:val="Figures"/>
    <w:rsid w:val="0059608E"/>
    <w:rPr>
      <w:rFonts w:ascii="Arial" w:eastAsiaTheme="minorEastAsia" w:hAnsi="Arial"/>
      <w:b/>
      <w:bCs/>
      <w:sz w:val="18"/>
      <w:szCs w:val="20"/>
      <w:lang w:val="en-US" w:bidi="en-US"/>
    </w:rPr>
  </w:style>
  <w:style w:type="table" w:styleId="MediumShading1">
    <w:name w:val="Medium Shading 1"/>
    <w:basedOn w:val="TableNormal"/>
    <w:uiPriority w:val="63"/>
    <w:rsid w:val="0059608E"/>
    <w:rPr>
      <w:rFonts w:eastAsiaTheme="minorEastAsia"/>
      <w:lang w:val="en-US" w:bidi="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59608E"/>
    <w:rPr>
      <w:rFonts w:eastAsiaTheme="minorEastAsia"/>
      <w:lang w:val="en-US"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eGrid1">
    <w:name w:val="Table Grid1"/>
    <w:basedOn w:val="TableNormal"/>
    <w:next w:val="TableGrid"/>
    <w:rsid w:val="0059608E"/>
    <w:pPr>
      <w:ind w:firstLine="0"/>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59608E"/>
  </w:style>
  <w:style w:type="paragraph" w:customStyle="1" w:styleId="EndNoteBibliographyTitle">
    <w:name w:val="EndNote Bibliography Title"/>
    <w:basedOn w:val="Normal"/>
    <w:link w:val="EndNoteBibliographyTitleChar"/>
    <w:rsid w:val="0059608E"/>
    <w:pPr>
      <w:jc w:val="center"/>
    </w:pPr>
    <w:rPr>
      <w:rFonts w:cs="Arial"/>
      <w:noProof/>
    </w:rPr>
  </w:style>
  <w:style w:type="character" w:customStyle="1" w:styleId="ListParagraphChar">
    <w:name w:val="List Paragraph Char"/>
    <w:basedOn w:val="DefaultParagraphFont"/>
    <w:link w:val="ListParagraph"/>
    <w:uiPriority w:val="34"/>
    <w:rsid w:val="0059608E"/>
    <w:rPr>
      <w:rFonts w:ascii="Arial" w:eastAsiaTheme="minorEastAsia" w:hAnsi="Arial"/>
      <w:lang w:val="en-US" w:bidi="en-US"/>
    </w:rPr>
  </w:style>
  <w:style w:type="character" w:customStyle="1" w:styleId="EndNoteBibliographyTitleChar">
    <w:name w:val="EndNote Bibliography Title Char"/>
    <w:basedOn w:val="ListParagraphChar"/>
    <w:link w:val="EndNoteBibliographyTitle"/>
    <w:rsid w:val="0059608E"/>
    <w:rPr>
      <w:rFonts w:ascii="Arial" w:eastAsiaTheme="minorEastAsia" w:hAnsi="Arial" w:cs="Arial"/>
      <w:noProof/>
      <w:lang w:val="en-US" w:bidi="en-US"/>
    </w:rPr>
  </w:style>
  <w:style w:type="paragraph" w:customStyle="1" w:styleId="EndNoteBibliography">
    <w:name w:val="EndNote Bibliography"/>
    <w:basedOn w:val="Normal"/>
    <w:link w:val="EndNoteBibliographyChar"/>
    <w:rsid w:val="0059608E"/>
    <w:rPr>
      <w:rFonts w:cs="Arial"/>
      <w:noProof/>
    </w:rPr>
  </w:style>
  <w:style w:type="character" w:customStyle="1" w:styleId="EndNoteBibliographyChar">
    <w:name w:val="EndNote Bibliography Char"/>
    <w:basedOn w:val="ListParagraphChar"/>
    <w:link w:val="EndNoteBibliography"/>
    <w:rsid w:val="0059608E"/>
    <w:rPr>
      <w:rFonts w:ascii="Arial" w:eastAsiaTheme="minorEastAsia" w:hAnsi="Arial" w:cs="Arial"/>
      <w:noProof/>
      <w:lang w:val="en-US" w:bidi="en-US"/>
    </w:rPr>
  </w:style>
  <w:style w:type="paragraph" w:customStyle="1" w:styleId="Infopage">
    <w:name w:val="Info page"/>
    <w:basedOn w:val="Normal"/>
    <w:uiPriority w:val="99"/>
    <w:rsid w:val="00461163"/>
    <w:pPr>
      <w:spacing w:after="120"/>
    </w:pPr>
    <w:rPr>
      <w:rFonts w:ascii="Arial Narrow" w:eastAsia="Times New Roman" w:hAnsi="Arial Narrow" w:cs="Times New Roman"/>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image" Target="media/image90.emf"/><Relationship Id="rId21" Type="http://schemas.openxmlformats.org/officeDocument/2006/relationships/oleObject" Target="embeddings/oleObject1.bin"/><Relationship Id="rId42" Type="http://schemas.openxmlformats.org/officeDocument/2006/relationships/image" Target="media/image22.png"/><Relationship Id="rId47" Type="http://schemas.openxmlformats.org/officeDocument/2006/relationships/hyperlink" Target="http://www.bom.gov.au/cyclone/history/marcia.shtml" TargetMode="External"/><Relationship Id="rId63" Type="http://schemas.openxmlformats.org/officeDocument/2006/relationships/image" Target="media/image37.emf"/><Relationship Id="rId68" Type="http://schemas.openxmlformats.org/officeDocument/2006/relationships/image" Target="media/image42.emf"/><Relationship Id="rId84" Type="http://schemas.openxmlformats.org/officeDocument/2006/relationships/image" Target="media/image57.png"/><Relationship Id="rId89" Type="http://schemas.openxmlformats.org/officeDocument/2006/relationships/image" Target="media/image62.emf"/><Relationship Id="rId112" Type="http://schemas.openxmlformats.org/officeDocument/2006/relationships/image" Target="media/image85.emf"/><Relationship Id="rId16" Type="http://schemas.openxmlformats.org/officeDocument/2006/relationships/header" Target="header1.xml"/><Relationship Id="rId107" Type="http://schemas.openxmlformats.org/officeDocument/2006/relationships/image" Target="media/image80.emf"/><Relationship Id="rId11" Type="http://schemas.openxmlformats.org/officeDocument/2006/relationships/footnotes" Target="footnotes.xml"/><Relationship Id="rId32" Type="http://schemas.openxmlformats.org/officeDocument/2006/relationships/oleObject" Target="embeddings/oleObject2.bin"/><Relationship Id="rId37" Type="http://schemas.openxmlformats.org/officeDocument/2006/relationships/image" Target="media/image17.emf"/><Relationship Id="rId53" Type="http://schemas.openxmlformats.org/officeDocument/2006/relationships/image" Target="media/image27.emf"/><Relationship Id="rId58" Type="http://schemas.openxmlformats.org/officeDocument/2006/relationships/image" Target="media/image32.emf"/><Relationship Id="rId74" Type="http://schemas.openxmlformats.org/officeDocument/2006/relationships/image" Target="media/image47.emf"/><Relationship Id="rId79" Type="http://schemas.openxmlformats.org/officeDocument/2006/relationships/image" Target="media/image52.emf"/><Relationship Id="rId102" Type="http://schemas.openxmlformats.org/officeDocument/2006/relationships/image" Target="media/image75.emf"/><Relationship Id="rId5" Type="http://schemas.openxmlformats.org/officeDocument/2006/relationships/customXml" Target="../customXml/item5.xml"/><Relationship Id="rId90" Type="http://schemas.openxmlformats.org/officeDocument/2006/relationships/image" Target="media/image63.emf"/><Relationship Id="rId95" Type="http://schemas.openxmlformats.org/officeDocument/2006/relationships/image" Target="media/image68.emf"/><Relationship Id="rId22" Type="http://schemas.openxmlformats.org/officeDocument/2006/relationships/image" Target="media/image3.png"/><Relationship Id="rId27" Type="http://schemas.openxmlformats.org/officeDocument/2006/relationships/image" Target="media/image8.emf"/><Relationship Id="rId43" Type="http://schemas.openxmlformats.org/officeDocument/2006/relationships/image" Target="media/image23.emf"/><Relationship Id="rId48" Type="http://schemas.openxmlformats.org/officeDocument/2006/relationships/hyperlink" Target="http://www.bom.gov.au/announcements/sevwx/qld/qldtc20150310.shtml" TargetMode="External"/><Relationship Id="rId64" Type="http://schemas.openxmlformats.org/officeDocument/2006/relationships/image" Target="media/image38.emf"/><Relationship Id="rId69" Type="http://schemas.openxmlformats.org/officeDocument/2006/relationships/oleObject" Target="embeddings/oleObject3.bin"/><Relationship Id="rId113" Type="http://schemas.openxmlformats.org/officeDocument/2006/relationships/image" Target="media/image86.emf"/><Relationship Id="rId118" Type="http://schemas.openxmlformats.org/officeDocument/2006/relationships/image" Target="media/image91.emf"/><Relationship Id="rId80" Type="http://schemas.openxmlformats.org/officeDocument/2006/relationships/image" Target="media/image53.emf"/><Relationship Id="rId85" Type="http://schemas.openxmlformats.org/officeDocument/2006/relationships/image" Target="media/image58.png"/><Relationship Id="rId12" Type="http://schemas.openxmlformats.org/officeDocument/2006/relationships/endnotes" Target="endnotes.xml"/><Relationship Id="rId17" Type="http://schemas.openxmlformats.org/officeDocument/2006/relationships/header" Target="header2.xml"/><Relationship Id="rId33" Type="http://schemas.openxmlformats.org/officeDocument/2006/relationships/image" Target="media/image13.jpeg"/><Relationship Id="rId38" Type="http://schemas.openxmlformats.org/officeDocument/2006/relationships/image" Target="media/image18.png"/><Relationship Id="rId59" Type="http://schemas.openxmlformats.org/officeDocument/2006/relationships/image" Target="media/image33.png"/><Relationship Id="rId103" Type="http://schemas.openxmlformats.org/officeDocument/2006/relationships/image" Target="media/image76.emf"/><Relationship Id="rId108" Type="http://schemas.openxmlformats.org/officeDocument/2006/relationships/image" Target="media/image81.emf"/><Relationship Id="rId54" Type="http://schemas.openxmlformats.org/officeDocument/2006/relationships/image" Target="media/image28.emf"/><Relationship Id="rId70" Type="http://schemas.openxmlformats.org/officeDocument/2006/relationships/image" Target="media/image43.emf"/><Relationship Id="rId75" Type="http://schemas.openxmlformats.org/officeDocument/2006/relationships/image" Target="media/image48.emf"/><Relationship Id="rId91" Type="http://schemas.openxmlformats.org/officeDocument/2006/relationships/image" Target="media/image64.emf"/><Relationship Id="rId96" Type="http://schemas.openxmlformats.org/officeDocument/2006/relationships/image" Target="media/image69.emf"/><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4.png"/><Relationship Id="rId28" Type="http://schemas.openxmlformats.org/officeDocument/2006/relationships/image" Target="media/image9.png"/><Relationship Id="rId49" Type="http://schemas.openxmlformats.org/officeDocument/2006/relationships/hyperlink" Target="http://www.bom.gov.au/cyclone/about/eastern.shtml" TargetMode="External"/><Relationship Id="rId114" Type="http://schemas.openxmlformats.org/officeDocument/2006/relationships/image" Target="media/image87.png"/><Relationship Id="rId119" Type="http://schemas.openxmlformats.org/officeDocument/2006/relationships/image" Target="media/image92.emf"/><Relationship Id="rId44" Type="http://schemas.openxmlformats.org/officeDocument/2006/relationships/image" Target="media/image24.png"/><Relationship Id="rId60" Type="http://schemas.openxmlformats.org/officeDocument/2006/relationships/image" Target="media/image34.png"/><Relationship Id="rId65" Type="http://schemas.openxmlformats.org/officeDocument/2006/relationships/image" Target="media/image39.emf"/><Relationship Id="rId81" Type="http://schemas.openxmlformats.org/officeDocument/2006/relationships/image" Target="media/image54.emf"/><Relationship Id="rId86" Type="http://schemas.openxmlformats.org/officeDocument/2006/relationships/image" Target="media/image59.png"/><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g"/><Relationship Id="rId18" Type="http://schemas.openxmlformats.org/officeDocument/2006/relationships/footer" Target="footer1.xml"/><Relationship Id="rId39" Type="http://schemas.openxmlformats.org/officeDocument/2006/relationships/image" Target="media/image19.emf"/><Relationship Id="rId109" Type="http://schemas.openxmlformats.org/officeDocument/2006/relationships/image" Target="media/image82.emf"/><Relationship Id="rId34" Type="http://schemas.openxmlformats.org/officeDocument/2006/relationships/image" Target="media/image14.emf"/><Relationship Id="rId50" Type="http://schemas.openxmlformats.org/officeDocument/2006/relationships/hyperlink" Target="http://www.environment.gov.au/water/quality/national-water-quality-management-strategy" TargetMode="External"/><Relationship Id="rId55" Type="http://schemas.openxmlformats.org/officeDocument/2006/relationships/image" Target="media/image29.emf"/><Relationship Id="rId76" Type="http://schemas.openxmlformats.org/officeDocument/2006/relationships/image" Target="media/image49.emf"/><Relationship Id="rId97" Type="http://schemas.openxmlformats.org/officeDocument/2006/relationships/image" Target="media/image70.emf"/><Relationship Id="rId104" Type="http://schemas.openxmlformats.org/officeDocument/2006/relationships/image" Target="media/image77.emf"/><Relationship Id="rId120" Type="http://schemas.openxmlformats.org/officeDocument/2006/relationships/image" Target="media/image93.emf"/><Relationship Id="rId7" Type="http://schemas.openxmlformats.org/officeDocument/2006/relationships/styles" Target="styles.xml"/><Relationship Id="rId71" Type="http://schemas.openxmlformats.org/officeDocument/2006/relationships/image" Target="media/image44.emf"/><Relationship Id="rId92" Type="http://schemas.openxmlformats.org/officeDocument/2006/relationships/image" Target="media/image65.emf"/><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image" Target="media/image5.png"/><Relationship Id="rId40" Type="http://schemas.openxmlformats.org/officeDocument/2006/relationships/image" Target="media/image20.png"/><Relationship Id="rId45" Type="http://schemas.openxmlformats.org/officeDocument/2006/relationships/hyperlink" Target="http://www.bom.gov.au/jsp/awap/rain/index.jsp" TargetMode="External"/><Relationship Id="rId66" Type="http://schemas.openxmlformats.org/officeDocument/2006/relationships/image" Target="media/image40.emf"/><Relationship Id="rId87" Type="http://schemas.openxmlformats.org/officeDocument/2006/relationships/image" Target="media/image60.emf"/><Relationship Id="rId110" Type="http://schemas.openxmlformats.org/officeDocument/2006/relationships/image" Target="media/image83.emf"/><Relationship Id="rId115" Type="http://schemas.openxmlformats.org/officeDocument/2006/relationships/image" Target="media/image88.png"/><Relationship Id="rId61" Type="http://schemas.openxmlformats.org/officeDocument/2006/relationships/image" Target="media/image35.emf"/><Relationship Id="rId82" Type="http://schemas.openxmlformats.org/officeDocument/2006/relationships/image" Target="media/image55.png"/><Relationship Id="rId19" Type="http://schemas.openxmlformats.org/officeDocument/2006/relationships/footer" Target="footer2.xml"/><Relationship Id="rId14" Type="http://schemas.openxmlformats.org/officeDocument/2006/relationships/hyperlink" Target="mailto:j.mueller@uq.edu.au" TargetMode="External"/><Relationship Id="rId30" Type="http://schemas.openxmlformats.org/officeDocument/2006/relationships/image" Target="media/image11.emf"/><Relationship Id="rId35" Type="http://schemas.openxmlformats.org/officeDocument/2006/relationships/image" Target="media/image15.png"/><Relationship Id="rId56" Type="http://schemas.openxmlformats.org/officeDocument/2006/relationships/image" Target="media/image30.emf"/><Relationship Id="rId77" Type="http://schemas.openxmlformats.org/officeDocument/2006/relationships/image" Target="media/image50.emf"/><Relationship Id="rId100" Type="http://schemas.openxmlformats.org/officeDocument/2006/relationships/image" Target="media/image73.emf"/><Relationship Id="rId105" Type="http://schemas.openxmlformats.org/officeDocument/2006/relationships/image" Target="media/image78.emf"/><Relationship Id="rId8" Type="http://schemas.microsoft.com/office/2007/relationships/stylesWithEffects" Target="stylesWithEffects.xml"/><Relationship Id="rId51" Type="http://schemas.openxmlformats.org/officeDocument/2006/relationships/image" Target="media/image25.emf"/><Relationship Id="rId72" Type="http://schemas.openxmlformats.org/officeDocument/2006/relationships/image" Target="media/image45.emf"/><Relationship Id="rId93" Type="http://schemas.openxmlformats.org/officeDocument/2006/relationships/image" Target="media/image66.emf"/><Relationship Id="rId98" Type="http://schemas.openxmlformats.org/officeDocument/2006/relationships/image" Target="media/image71.emf"/><Relationship Id="rId121"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6.emf"/><Relationship Id="rId46" Type="http://schemas.openxmlformats.org/officeDocument/2006/relationships/hyperlink" Target="http://www.bom.gov.au/climate/enso/" TargetMode="External"/><Relationship Id="rId67" Type="http://schemas.openxmlformats.org/officeDocument/2006/relationships/image" Target="media/image41.png"/><Relationship Id="rId116" Type="http://schemas.openxmlformats.org/officeDocument/2006/relationships/image" Target="media/image89.emf"/><Relationship Id="rId20" Type="http://schemas.openxmlformats.org/officeDocument/2006/relationships/image" Target="media/image2.emf"/><Relationship Id="rId41" Type="http://schemas.openxmlformats.org/officeDocument/2006/relationships/image" Target="media/image21.emf"/><Relationship Id="rId62" Type="http://schemas.openxmlformats.org/officeDocument/2006/relationships/image" Target="media/image36.emf"/><Relationship Id="rId83" Type="http://schemas.openxmlformats.org/officeDocument/2006/relationships/image" Target="media/image56.png"/><Relationship Id="rId88" Type="http://schemas.openxmlformats.org/officeDocument/2006/relationships/image" Target="media/image61.emf"/><Relationship Id="rId111" Type="http://schemas.openxmlformats.org/officeDocument/2006/relationships/image" Target="media/image84.emf"/><Relationship Id="rId15" Type="http://schemas.openxmlformats.org/officeDocument/2006/relationships/hyperlink" Target="http://www.entox.uq.edu.au" TargetMode="External"/><Relationship Id="rId36" Type="http://schemas.openxmlformats.org/officeDocument/2006/relationships/image" Target="media/image16.png"/><Relationship Id="rId57" Type="http://schemas.openxmlformats.org/officeDocument/2006/relationships/image" Target="media/image31.emf"/><Relationship Id="rId106" Type="http://schemas.openxmlformats.org/officeDocument/2006/relationships/image" Target="media/image79.emf"/><Relationship Id="rId10" Type="http://schemas.openxmlformats.org/officeDocument/2006/relationships/webSettings" Target="webSettings.xml"/><Relationship Id="rId31" Type="http://schemas.openxmlformats.org/officeDocument/2006/relationships/image" Target="media/image12.emf"/><Relationship Id="rId52" Type="http://schemas.openxmlformats.org/officeDocument/2006/relationships/image" Target="media/image26.emf"/><Relationship Id="rId73" Type="http://schemas.openxmlformats.org/officeDocument/2006/relationships/image" Target="media/image46.emf"/><Relationship Id="rId78" Type="http://schemas.openxmlformats.org/officeDocument/2006/relationships/image" Target="media/image51.emf"/><Relationship Id="rId94" Type="http://schemas.openxmlformats.org/officeDocument/2006/relationships/image" Target="media/image67.emf"/><Relationship Id="rId99" Type="http://schemas.openxmlformats.org/officeDocument/2006/relationships/image" Target="media/image72.emf"/><Relationship Id="rId101" Type="http://schemas.openxmlformats.org/officeDocument/2006/relationships/image" Target="media/image74.emf"/><Relationship Id="rId1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6" ma:contentTypeDescription="" ma:contentTypeScope="" ma:versionID="7cb892ac8d932330eaaffd757faf6f42">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PROJ-213-278</_dlc_DocId>
    <_dlc_DocIdUrl xmlns="8ccc4631-9afc-4718-b120-5e2e37a03cc7">
      <Url>http://thedock.gbrmpa.gov.au/sites/Projects/P000056/_layouts/DocIdRedir.aspx?ID=PROJ-213-278</Url>
      <Description>PROJ-213-278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5C715-55E2-48D4-82CD-73E08693E479}">
  <ds:schemaRefs>
    <ds:schemaRef ds:uri="http://schemas.microsoft.com/sharepoint/events"/>
  </ds:schemaRefs>
</ds:datastoreItem>
</file>

<file path=customXml/itemProps2.xml><?xml version="1.0" encoding="utf-8"?>
<ds:datastoreItem xmlns:ds="http://schemas.openxmlformats.org/officeDocument/2006/customXml" ds:itemID="{03FF8176-5ECE-4BB3-83EA-F572A9DFDC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4EFE2B-C755-4805-8C8F-C2EFCE140112}">
  <ds:schemaRefs>
    <ds:schemaRef ds:uri="http://schemas.microsoft.com/sharepoint/v3/contenttype/forms"/>
  </ds:schemaRefs>
</ds:datastoreItem>
</file>

<file path=customXml/itemProps4.xml><?xml version="1.0" encoding="utf-8"?>
<ds:datastoreItem xmlns:ds="http://schemas.openxmlformats.org/officeDocument/2006/customXml" ds:itemID="{6B5A52CC-60B5-406A-A8BE-13DB3FEC36F4}">
  <ds:schemaRefs>
    <ds:schemaRef ds:uri="8ccc4631-9afc-4718-b120-5e2e37a03cc7"/>
    <ds:schemaRef ds:uri="http://schemas.microsoft.com/office/infopath/2007/PartnerControls"/>
    <ds:schemaRef ds:uri="http://purl.org/dc/dcmitype/"/>
    <ds:schemaRef ds:uri="http://schemas.microsoft.com/office/2006/documentManagement/types"/>
    <ds:schemaRef ds:uri="http://purl.org/dc/terms/"/>
    <ds:schemaRef ds:uri="http://schemas.openxmlformats.org/package/2006/metadata/core-properties"/>
    <ds:schemaRef ds:uri="http://purl.org/dc/elements/1.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F8DD3338-457B-4D13-BF6B-D663CD6D6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140</Pages>
  <Words>42354</Words>
  <Characters>241420</Characters>
  <Application>Microsoft Office Word</Application>
  <DocSecurity>0</DocSecurity>
  <Lines>2011</Lines>
  <Paragraphs>566</Paragraphs>
  <ScaleCrop>false</ScaleCrop>
  <HeadingPairs>
    <vt:vector size="2" baseType="variant">
      <vt:variant>
        <vt:lpstr>Title</vt:lpstr>
      </vt:variant>
      <vt:variant>
        <vt:i4>1</vt:i4>
      </vt:variant>
    </vt:vector>
  </HeadingPairs>
  <TitlesOfParts>
    <vt:vector size="1" baseType="lpstr">
      <vt:lpstr>Gallen_etal_2016_MMP_PESTICIDE_ENTOX_REPORT_2014-15_WEB</vt:lpstr>
    </vt:vector>
  </TitlesOfParts>
  <Company>University of Queensland</Company>
  <LinksUpToDate>false</LinksUpToDate>
  <CharactersWithSpaces>283208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Gallen_etal_2016_MMP_PESTICIDE_ENTOX_REPORT_2014-15_WEB</dc:title>
  <dc:creator>Christie Gallen</dc:creator>
  <cp:lastModifiedBy>Joanna Ruxton</cp:lastModifiedBy>
  <cp:revision>2</cp:revision>
  <cp:lastPrinted>2016-09-26T01:38:00Z</cp:lastPrinted>
  <dcterms:created xsi:type="dcterms:W3CDTF">2016-09-28T02:16:00Z</dcterms:created>
  <dcterms:modified xsi:type="dcterms:W3CDTF">2016-09-28T02:16:00Z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0x010100441936E5D27A4AF2935B3316DA024CF2000D9715CDE278E54B8097413768F46C65</vt:lpwstr>
  </property>
  <property fmtid="{D5CDD505-2E9C-101B-9397-08002B2CF9AE}" pid="3" name="_dlc_DocIdItemGuid">
    <vt:lpwstr>6f3b14c4-fc0f-4bd8-a56d-4755082f87eb</vt:lpwstr>
  </property>
  <property fmtid="{D5CDD505-2E9C-101B-9397-08002B2CF9AE}" pid="4" name="ProjectPhase">
    <vt:lpwstr>3;#Finalise|6b5bfe78-1288-4ab6-8e22-c299117e2677</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{4b37b1f1-1864-45c7-8f8d-9f91400467f1}</vt:lpwstr>
  </property>
  <property fmtid="{D5CDD505-2E9C-101B-9397-08002B2CF9AE}" pid="8" name="RecordPoint_ActiveItemUniqueId">
    <vt:lpwstr>{aeae94b5-2c56-4b0b-a7e9-a5b031d27c36}</vt:lpwstr>
  </property>
  <property fmtid="{D5CDD505-2E9C-101B-9397-08002B2CF9AE}" pid="9" name="RecordPoint_ActiveItemWebId">
    <vt:lpwstr>{e7821751-c451-45dc-b45e-82cfe574dc6e}</vt:lpwstr>
  </property>
  <property fmtid="{D5CDD505-2E9C-101B-9397-08002B2CF9AE}" pid="10" name="RecordPoint_SubmissionCompleted">
    <vt:lpwstr>2016-09-15T13:48:41.2482106+10:00</vt:lpwstr>
  </property>
  <property fmtid="{D5CDD505-2E9C-101B-9397-08002B2CF9AE}" pid="11" name="Order">
    <vt:r8>27800</vt:r8>
  </property>
  <property fmtid="{D5CDD505-2E9C-101B-9397-08002B2CF9AE}" pid="12" name="a2118650a77a4a97b805ceb1a6b3e3dc">
    <vt:lpwstr>Finalise|6b5bfe78-1288-4ab6-8e22-c299117e2677</vt:lpwstr>
  </property>
  <property fmtid="{D5CDD505-2E9C-101B-9397-08002B2CF9AE}" pid="13" name="TaxCatchAll">
    <vt:lpwstr>3;#Finalise|6b5bfe78-1288-4ab6-8e22-c299117e2677</vt:lpwstr>
  </property>
</Properties>
</file>