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8FEC0F" w14:textId="44BC6C21" w:rsidR="00C418D2" w:rsidRPr="00D968F0" w:rsidRDefault="00C418D2" w:rsidP="00C418D2">
      <w:pPr>
        <w:jc w:val="right"/>
        <w:rPr>
          <w:rFonts w:cs="Arial"/>
          <w:b/>
          <w:color w:val="003C64"/>
        </w:rPr>
        <w:sectPr w:rsidR="00C418D2" w:rsidRPr="00D968F0" w:rsidSect="00C603A8">
          <w:headerReference w:type="even" r:id="rId12"/>
          <w:headerReference w:type="default" r:id="rId13"/>
          <w:footerReference w:type="even" r:id="rId14"/>
          <w:footerReference w:type="default" r:id="rId15"/>
          <w:headerReference w:type="first" r:id="rId16"/>
          <w:footerReference w:type="first" r:id="rId17"/>
          <w:pgSz w:w="11906" w:h="16838" w:code="9"/>
          <w:pgMar w:top="1134" w:right="1134" w:bottom="1134" w:left="1134" w:header="113" w:footer="567" w:gutter="0"/>
          <w:cols w:space="708"/>
          <w:docGrid w:linePitch="360"/>
        </w:sectPr>
      </w:pPr>
      <w:bookmarkStart w:id="0" w:name="_GoBack"/>
      <w:bookmarkEnd w:id="0"/>
      <w:r w:rsidRPr="00D968F0">
        <w:rPr>
          <w:rFonts w:cs="Arial"/>
          <w:color w:val="003C64"/>
        </w:rPr>
        <w:t xml:space="preserve">(Revision 0) </w:t>
      </w:r>
      <w:r w:rsidR="002923C3">
        <w:rPr>
          <w:rFonts w:cs="Arial"/>
          <w:b/>
          <w:color w:val="003C64"/>
        </w:rPr>
        <w:t>November</w:t>
      </w:r>
      <w:r w:rsidRPr="00D968F0">
        <w:rPr>
          <w:rFonts w:cs="Arial"/>
          <w:b/>
          <w:color w:val="003C64"/>
        </w:rPr>
        <w:t xml:space="preserve">/ </w:t>
      </w:r>
      <w:r w:rsidR="002923C3">
        <w:rPr>
          <w:rFonts w:cs="Arial"/>
          <w:b/>
          <w:color w:val="003C64"/>
        </w:rPr>
        <w:t>2019</w:t>
      </w:r>
    </w:p>
    <w:p w14:paraId="75E2B396" w14:textId="77777777" w:rsidR="00C26D02" w:rsidRDefault="00C418D2" w:rsidP="00C603A8">
      <w:pPr>
        <w:pBdr>
          <w:top w:val="single" w:sz="4" w:space="1" w:color="D5DCE4" w:themeColor="text2" w:themeTint="33"/>
          <w:bottom w:val="single" w:sz="4" w:space="1" w:color="D5DCE4" w:themeColor="text2" w:themeTint="33"/>
        </w:pBdr>
        <w:ind w:left="284" w:right="282"/>
        <w:rPr>
          <w:rFonts w:cs="Arial"/>
          <w:i/>
          <w:color w:val="003C64"/>
          <w:sz w:val="19"/>
          <w:szCs w:val="19"/>
        </w:rPr>
      </w:pPr>
      <w:r w:rsidRPr="00D968F0">
        <w:rPr>
          <w:rFonts w:cs="Arial"/>
          <w:b/>
          <w:i/>
          <w:color w:val="003C64"/>
          <w:sz w:val="19"/>
          <w:szCs w:val="19"/>
        </w:rPr>
        <w:t>Objective</w:t>
      </w:r>
      <w:r w:rsidRPr="00D968F0">
        <w:rPr>
          <w:rFonts w:cs="Arial"/>
          <w:i/>
          <w:color w:val="003C64"/>
          <w:sz w:val="19"/>
          <w:szCs w:val="19"/>
        </w:rPr>
        <w:t xml:space="preserve">: </w:t>
      </w:r>
    </w:p>
    <w:p w14:paraId="058FEC10" w14:textId="7BFE2129" w:rsidR="00C418D2" w:rsidRDefault="00C26D02" w:rsidP="00C603A8">
      <w:pPr>
        <w:pBdr>
          <w:top w:val="single" w:sz="4" w:space="1" w:color="D5DCE4" w:themeColor="text2" w:themeTint="33"/>
          <w:bottom w:val="single" w:sz="4" w:space="1" w:color="D5DCE4" w:themeColor="text2" w:themeTint="33"/>
        </w:pBdr>
        <w:ind w:left="284" w:right="282"/>
        <w:rPr>
          <w:rFonts w:cs="Arial"/>
          <w:i/>
          <w:color w:val="003C64"/>
          <w:sz w:val="19"/>
          <w:szCs w:val="19"/>
        </w:rPr>
      </w:pPr>
      <w:r w:rsidRPr="00C26D02">
        <w:rPr>
          <w:rFonts w:cs="Arial"/>
          <w:i/>
          <w:color w:val="003C64"/>
          <w:sz w:val="19"/>
          <w:szCs w:val="19"/>
        </w:rPr>
        <w:t xml:space="preserve">To provide guidance on considerations specific to historic lightstations and </w:t>
      </w:r>
      <w:r w:rsidR="0021654C">
        <w:rPr>
          <w:rFonts w:cs="Arial"/>
          <w:i/>
          <w:color w:val="003C64"/>
          <w:sz w:val="19"/>
          <w:szCs w:val="19"/>
        </w:rPr>
        <w:t>A</w:t>
      </w:r>
      <w:r w:rsidRPr="00C26D02">
        <w:rPr>
          <w:rFonts w:cs="Arial"/>
          <w:i/>
          <w:color w:val="003C64"/>
          <w:sz w:val="19"/>
          <w:szCs w:val="19"/>
        </w:rPr>
        <w:t xml:space="preserve">ids to </w:t>
      </w:r>
      <w:r w:rsidR="0021654C">
        <w:rPr>
          <w:rFonts w:cs="Arial"/>
          <w:i/>
          <w:color w:val="003C64"/>
          <w:sz w:val="19"/>
          <w:szCs w:val="19"/>
        </w:rPr>
        <w:t>N</w:t>
      </w:r>
      <w:r w:rsidRPr="00C26D02">
        <w:rPr>
          <w:rFonts w:cs="Arial"/>
          <w:i/>
          <w:color w:val="003C64"/>
          <w:sz w:val="19"/>
          <w:szCs w:val="19"/>
        </w:rPr>
        <w:t xml:space="preserve">avigation </w:t>
      </w:r>
      <w:r w:rsidR="0021654C">
        <w:rPr>
          <w:rFonts w:cs="Arial"/>
          <w:i/>
          <w:color w:val="003C64"/>
          <w:sz w:val="19"/>
          <w:szCs w:val="19"/>
        </w:rPr>
        <w:t xml:space="preserve">(AtoN) </w:t>
      </w:r>
      <w:r w:rsidRPr="00C26D02">
        <w:rPr>
          <w:rFonts w:cs="Arial"/>
          <w:i/>
          <w:color w:val="003C64"/>
          <w:sz w:val="19"/>
          <w:szCs w:val="19"/>
        </w:rPr>
        <w:t>of historic significance within the permission system.</w:t>
      </w:r>
    </w:p>
    <w:p w14:paraId="153E8BA1" w14:textId="77777777" w:rsidR="00C26D02" w:rsidRDefault="00C418D2" w:rsidP="00C26D02">
      <w:pPr>
        <w:pBdr>
          <w:top w:val="single" w:sz="4" w:space="1" w:color="D5DCE4" w:themeColor="text2" w:themeTint="33"/>
          <w:bottom w:val="single" w:sz="4" w:space="1" w:color="D5DCE4" w:themeColor="text2" w:themeTint="33"/>
        </w:pBdr>
        <w:ind w:left="284" w:right="282"/>
        <w:rPr>
          <w:rFonts w:cs="Arial"/>
          <w:i/>
          <w:color w:val="003C64"/>
          <w:sz w:val="19"/>
          <w:szCs w:val="19"/>
        </w:rPr>
      </w:pPr>
      <w:r w:rsidRPr="00D968F0">
        <w:rPr>
          <w:rFonts w:cs="Arial"/>
          <w:b/>
          <w:i/>
          <w:color w:val="003C64"/>
          <w:sz w:val="19"/>
          <w:szCs w:val="19"/>
        </w:rPr>
        <w:t>Target audience</w:t>
      </w:r>
      <w:r w:rsidRPr="00D968F0">
        <w:rPr>
          <w:rFonts w:cs="Arial"/>
          <w:i/>
          <w:color w:val="003C64"/>
          <w:sz w:val="19"/>
          <w:szCs w:val="19"/>
        </w:rPr>
        <w:t>:</w:t>
      </w:r>
    </w:p>
    <w:p w14:paraId="4729D572" w14:textId="75787D45" w:rsidR="00C26D02" w:rsidRPr="00C26D02" w:rsidRDefault="00C418D2" w:rsidP="00C26D02">
      <w:pPr>
        <w:pBdr>
          <w:top w:val="single" w:sz="4" w:space="1" w:color="D5DCE4" w:themeColor="text2" w:themeTint="33"/>
          <w:bottom w:val="single" w:sz="4" w:space="1" w:color="D5DCE4" w:themeColor="text2" w:themeTint="33"/>
        </w:pBdr>
        <w:ind w:left="284" w:right="282"/>
        <w:rPr>
          <w:rFonts w:cs="Arial"/>
          <w:i/>
          <w:color w:val="003C64"/>
          <w:sz w:val="19"/>
          <w:szCs w:val="19"/>
        </w:rPr>
      </w:pPr>
      <w:r w:rsidRPr="00D968F0">
        <w:rPr>
          <w:rFonts w:cs="Arial"/>
          <w:i/>
          <w:color w:val="003C64"/>
          <w:sz w:val="19"/>
          <w:szCs w:val="19"/>
        </w:rPr>
        <w:t xml:space="preserve"> </w:t>
      </w:r>
      <w:r w:rsidR="00C26D02" w:rsidRPr="00C26D02">
        <w:rPr>
          <w:rFonts w:cs="Arial"/>
          <w:i/>
          <w:color w:val="003C64"/>
          <w:sz w:val="19"/>
          <w:szCs w:val="19"/>
        </w:rPr>
        <w:t>Primary: Great Barrier Reef Marine Park Authority</w:t>
      </w:r>
      <w:r w:rsidR="00F82D4E">
        <w:rPr>
          <w:rFonts w:cs="Arial"/>
          <w:i/>
          <w:color w:val="003C64"/>
          <w:sz w:val="19"/>
          <w:szCs w:val="19"/>
        </w:rPr>
        <w:t xml:space="preserve"> (the Authority)</w:t>
      </w:r>
      <w:r w:rsidR="00C26D02" w:rsidRPr="00C26D02">
        <w:rPr>
          <w:rFonts w:cs="Arial"/>
          <w:i/>
          <w:color w:val="003C64"/>
          <w:sz w:val="19"/>
          <w:szCs w:val="19"/>
        </w:rPr>
        <w:t xml:space="preserve"> officers assessing applications for permission.</w:t>
      </w:r>
    </w:p>
    <w:p w14:paraId="058FEC12" w14:textId="2AEE5BA5" w:rsidR="00C418D2" w:rsidRDefault="00C26D02" w:rsidP="00C26D02">
      <w:pPr>
        <w:pBdr>
          <w:top w:val="single" w:sz="4" w:space="1" w:color="D5DCE4" w:themeColor="text2" w:themeTint="33"/>
          <w:bottom w:val="single" w:sz="4" w:space="1" w:color="D5DCE4" w:themeColor="text2" w:themeTint="33"/>
        </w:pBdr>
        <w:ind w:left="284" w:right="282"/>
        <w:rPr>
          <w:rFonts w:cs="Arial"/>
          <w:i/>
          <w:color w:val="003C64"/>
          <w:sz w:val="19"/>
          <w:szCs w:val="19"/>
        </w:rPr>
      </w:pPr>
      <w:r w:rsidRPr="00C26D02">
        <w:rPr>
          <w:rFonts w:cs="Arial"/>
          <w:i/>
          <w:color w:val="003C64"/>
          <w:sz w:val="19"/>
          <w:szCs w:val="19"/>
        </w:rPr>
        <w:t>Secondary: Groups and individuals applying for permission; interested members of the public.</w:t>
      </w:r>
    </w:p>
    <w:p w14:paraId="499873BB" w14:textId="77777777" w:rsidR="00C26D02" w:rsidRPr="000E22B4" w:rsidRDefault="00C26D02" w:rsidP="00C603A8">
      <w:pPr>
        <w:pBdr>
          <w:top w:val="single" w:sz="4" w:space="1" w:color="D5DCE4" w:themeColor="text2" w:themeTint="33"/>
          <w:bottom w:val="single" w:sz="4" w:space="1" w:color="D5DCE4" w:themeColor="text2" w:themeTint="33"/>
        </w:pBdr>
        <w:ind w:left="284" w:right="282"/>
        <w:rPr>
          <w:rFonts w:cs="Arial"/>
          <w:i/>
          <w:color w:val="005782"/>
          <w:sz w:val="19"/>
          <w:szCs w:val="19"/>
        </w:rPr>
      </w:pPr>
    </w:p>
    <w:p w14:paraId="058FEC13" w14:textId="77777777" w:rsidR="00C418D2" w:rsidRPr="00200A32" w:rsidRDefault="00D64E12" w:rsidP="006838F4">
      <w:pPr>
        <w:pStyle w:val="Heading1"/>
      </w:pPr>
      <w:r w:rsidRPr="00200A32">
        <w:t>Purpose</w:t>
      </w:r>
    </w:p>
    <w:p w14:paraId="058FEC14" w14:textId="225A1745" w:rsidR="00C418D2" w:rsidRPr="00D64E12" w:rsidRDefault="00C26D02" w:rsidP="00FD45BB">
      <w:pPr>
        <w:pStyle w:val="ListParagraph"/>
      </w:pPr>
      <w:r w:rsidRPr="00C26D02">
        <w:t xml:space="preserve">Permission decisions contribute to maintaining and enhancing the historic heritage values of the Great Barrier Reef Marine Park (Marine Park). </w:t>
      </w:r>
    </w:p>
    <w:p w14:paraId="058FEC15" w14:textId="77777777" w:rsidR="00C418D2" w:rsidRDefault="00D64E12" w:rsidP="006838F4">
      <w:pPr>
        <w:pStyle w:val="Heading1"/>
      </w:pPr>
      <w:r>
        <w:t>Related legislation/ standards/ policy</w:t>
      </w:r>
    </w:p>
    <w:p w14:paraId="058FEC16" w14:textId="492048C2" w:rsidR="00D64E12" w:rsidRPr="002E4461" w:rsidRDefault="002E4461" w:rsidP="00D64E12">
      <w:pPr>
        <w:pStyle w:val="ListParagraph"/>
      </w:pPr>
      <w:r>
        <w:rPr>
          <w:i/>
        </w:rPr>
        <w:t>Lighthouses Act 1911</w:t>
      </w:r>
    </w:p>
    <w:p w14:paraId="76941BBB" w14:textId="25C240B9" w:rsidR="002E4461" w:rsidRPr="002E4461" w:rsidRDefault="002E4461" w:rsidP="00D64E12">
      <w:pPr>
        <w:pStyle w:val="ListParagraph"/>
      </w:pPr>
      <w:r>
        <w:rPr>
          <w:i/>
        </w:rPr>
        <w:t>Environment Protection and Biodiversity Conservation Act 1999</w:t>
      </w:r>
    </w:p>
    <w:p w14:paraId="2AF8CC4C" w14:textId="4C7F2F3F" w:rsidR="002E4461" w:rsidRPr="002E4461" w:rsidRDefault="002E4461" w:rsidP="00D64E12">
      <w:pPr>
        <w:pStyle w:val="ListParagraph"/>
      </w:pPr>
      <w:r>
        <w:rPr>
          <w:i/>
        </w:rPr>
        <w:t>Queensland Heritage Act 1992</w:t>
      </w:r>
    </w:p>
    <w:p w14:paraId="2839CD21" w14:textId="4A86FAD1" w:rsidR="002E4461" w:rsidRPr="002E4461" w:rsidRDefault="002E4461" w:rsidP="00D64E12">
      <w:pPr>
        <w:pStyle w:val="ListParagraph"/>
      </w:pPr>
      <w:r>
        <w:rPr>
          <w:i/>
        </w:rPr>
        <w:t>Great Barrier Reef Marine Park Act 1975</w:t>
      </w:r>
    </w:p>
    <w:p w14:paraId="46446FEF" w14:textId="3750F958" w:rsidR="002E4461" w:rsidRPr="002E4461" w:rsidRDefault="002E4461" w:rsidP="00D64E12">
      <w:pPr>
        <w:pStyle w:val="ListParagraph"/>
      </w:pPr>
      <w:r>
        <w:rPr>
          <w:i/>
        </w:rPr>
        <w:t>Great Barrier Reef Marine Park Zoning Plan 2003</w:t>
      </w:r>
    </w:p>
    <w:p w14:paraId="387A8182" w14:textId="2B623E83" w:rsidR="002E4461" w:rsidRDefault="002E4461" w:rsidP="002E4461">
      <w:pPr>
        <w:pStyle w:val="ListParagraph"/>
        <w:rPr>
          <w:i/>
        </w:rPr>
      </w:pPr>
      <w:r w:rsidRPr="002E4461">
        <w:rPr>
          <w:i/>
        </w:rPr>
        <w:t>Lady Elliot Island Lights</w:t>
      </w:r>
      <w:r>
        <w:rPr>
          <w:i/>
        </w:rPr>
        <w:t>tation Heritage Management Plan</w:t>
      </w:r>
    </w:p>
    <w:p w14:paraId="0AB3B638" w14:textId="20793133" w:rsidR="002E4461" w:rsidRDefault="002E4461" w:rsidP="002E4461">
      <w:pPr>
        <w:pStyle w:val="ListParagraph"/>
        <w:rPr>
          <w:i/>
        </w:rPr>
      </w:pPr>
      <w:r w:rsidRPr="002E4461">
        <w:rPr>
          <w:i/>
        </w:rPr>
        <w:t>Dent Island Lightstation</w:t>
      </w:r>
      <w:r>
        <w:rPr>
          <w:i/>
        </w:rPr>
        <w:t xml:space="preserve"> </w:t>
      </w:r>
      <w:r w:rsidRPr="002E4461">
        <w:rPr>
          <w:i/>
        </w:rPr>
        <w:t>Heritage Management Plan</w:t>
      </w:r>
    </w:p>
    <w:p w14:paraId="64613B54" w14:textId="012E0280" w:rsidR="002E4461" w:rsidRPr="002E4461" w:rsidRDefault="002E4461" w:rsidP="002E4461">
      <w:pPr>
        <w:pStyle w:val="ListParagraph"/>
        <w:rPr>
          <w:i/>
        </w:rPr>
      </w:pPr>
      <w:r>
        <w:rPr>
          <w:i/>
        </w:rPr>
        <w:t>Nature Conservation Act 1992</w:t>
      </w:r>
    </w:p>
    <w:p w14:paraId="058FEC17" w14:textId="77777777" w:rsidR="00C418D2" w:rsidRPr="00726463" w:rsidRDefault="00D64E12" w:rsidP="006838F4">
      <w:pPr>
        <w:pStyle w:val="Heading1"/>
      </w:pPr>
      <w:r w:rsidRPr="00726463">
        <w:t>Context</w:t>
      </w:r>
    </w:p>
    <w:p w14:paraId="6536E13A" w14:textId="27DB0E6D" w:rsidR="00C26D02" w:rsidRPr="00480F2D" w:rsidRDefault="00C26D02" w:rsidP="00480F2D">
      <w:pPr>
        <w:pStyle w:val="ListParagraph"/>
      </w:pPr>
      <w:r w:rsidRPr="00480F2D">
        <w:t xml:space="preserve">As described in the </w:t>
      </w:r>
      <w:hyperlink r:id="rId18" w:history="1">
        <w:r w:rsidRPr="00480F2D">
          <w:rPr>
            <w:rStyle w:val="Hyperlink"/>
          </w:rPr>
          <w:t>Great Barrier Reef Region Strategic Assessment: Strategic Assessment Report 2014</w:t>
        </w:r>
      </w:hyperlink>
      <w:r w:rsidRPr="00480F2D">
        <w:rPr>
          <w:i/>
        </w:rPr>
        <w:t xml:space="preserve"> </w:t>
      </w:r>
      <w:r w:rsidRPr="00480F2D">
        <w:t xml:space="preserve">(Strategic Assessment) and the </w:t>
      </w:r>
      <w:hyperlink r:id="rId19" w:history="1">
        <w:r w:rsidRPr="00480F2D">
          <w:rPr>
            <w:rStyle w:val="Hyperlink"/>
          </w:rPr>
          <w:t xml:space="preserve">Great </w:t>
        </w:r>
        <w:r w:rsidR="00480F2D" w:rsidRPr="00480F2D">
          <w:rPr>
            <w:rStyle w:val="Hyperlink"/>
          </w:rPr>
          <w:t>Barrier Reef Outlook Report 2019</w:t>
        </w:r>
      </w:hyperlink>
      <w:r w:rsidRPr="00480F2D">
        <w:t xml:space="preserve"> (Outlook Report</w:t>
      </w:r>
      <w:r w:rsidR="00DE318A">
        <w:t xml:space="preserve"> 2019</w:t>
      </w:r>
      <w:r w:rsidR="00480F2D" w:rsidRPr="00480F2D">
        <w:t xml:space="preserve">), historic heritage values </w:t>
      </w:r>
      <w:r w:rsidRPr="00480F2D">
        <w:t xml:space="preserve">relates to the occupation and use of the </w:t>
      </w:r>
      <w:r w:rsidR="00480F2D" w:rsidRPr="00480F2D">
        <w:t>Great Barrier Reef Region (including Commonwealth islands)</w:t>
      </w:r>
      <w:r w:rsidRPr="00480F2D">
        <w:t xml:space="preserve"> since the arrival of European </w:t>
      </w:r>
      <w:r w:rsidR="00480F2D" w:rsidRPr="00480F2D">
        <w:t xml:space="preserve">settlers </w:t>
      </w:r>
      <w:r w:rsidRPr="00480F2D">
        <w:t>and other migrants</w:t>
      </w:r>
      <w:r w:rsidR="00480F2D" w:rsidRPr="00480F2D">
        <w:t>. By its nature, historic heritage will continue to evolve</w:t>
      </w:r>
      <w:r w:rsidRPr="00480F2D">
        <w:t>, representing the flow of history and changing community perceptions</w:t>
      </w:r>
      <w:r w:rsidR="00480F2D" w:rsidRPr="00480F2D">
        <w:t xml:space="preserve"> and contemporary attributes</w:t>
      </w:r>
      <w:r w:rsidRPr="00480F2D">
        <w:t xml:space="preserve">. </w:t>
      </w:r>
    </w:p>
    <w:p w14:paraId="056B5C38" w14:textId="2A00A046" w:rsidR="00C26D02" w:rsidRPr="00C26D02" w:rsidRDefault="00C26D02" w:rsidP="00C26D02">
      <w:pPr>
        <w:pStyle w:val="ListParagraph"/>
      </w:pPr>
      <w:r w:rsidRPr="00C26D02">
        <w:t xml:space="preserve">These guidelines consider lightstations </w:t>
      </w:r>
      <w:r w:rsidR="007049AD">
        <w:t xml:space="preserve">(including Commonwealth lightstations and other historic lightstations and lighthouses) </w:t>
      </w:r>
      <w:r w:rsidRPr="00C26D02">
        <w:t xml:space="preserve">and </w:t>
      </w:r>
      <w:r w:rsidR="00F22408">
        <w:t>Aids to Navigation (</w:t>
      </w:r>
      <w:r w:rsidR="005B5973">
        <w:t>AtoN</w:t>
      </w:r>
      <w:r w:rsidR="00F22408">
        <w:t>)</w:t>
      </w:r>
      <w:r w:rsidRPr="00C26D02">
        <w:t xml:space="preserve"> in </w:t>
      </w:r>
      <w:r w:rsidRPr="00480F2D">
        <w:t xml:space="preserve">the </w:t>
      </w:r>
      <w:r w:rsidR="007049AD" w:rsidRPr="00480F2D">
        <w:t>Great Barrier Reef World Heritage Area</w:t>
      </w:r>
      <w:r w:rsidR="00B66E88">
        <w:t xml:space="preserve"> (GBRWHA)</w:t>
      </w:r>
      <w:r w:rsidRPr="00480F2D">
        <w:t xml:space="preserve">. </w:t>
      </w:r>
      <w:r w:rsidR="00F1747B">
        <w:t>Refer to other historic heritage assessment guidelines when considering</w:t>
      </w:r>
      <w:r w:rsidRPr="00C26D02">
        <w:t xml:space="preserve"> </w:t>
      </w:r>
      <w:hyperlink r:id="rId20" w:history="1">
        <w:r w:rsidRPr="00C26D02">
          <w:rPr>
            <w:rStyle w:val="Hyperlink"/>
          </w:rPr>
          <w:t>World War II features and sites, and historic voyages and shipwrecks</w:t>
        </w:r>
      </w:hyperlink>
      <w:r w:rsidRPr="00C26D02">
        <w:t xml:space="preserve"> and </w:t>
      </w:r>
      <w:hyperlink r:id="rId21" w:history="1">
        <w:r w:rsidRPr="00C26D02">
          <w:rPr>
            <w:rStyle w:val="Hyperlink"/>
          </w:rPr>
          <w:t>other places of historic and social significance</w:t>
        </w:r>
      </w:hyperlink>
      <w:r w:rsidRPr="00C26D02">
        <w:t>.</w:t>
      </w:r>
    </w:p>
    <w:p w14:paraId="058FEC19" w14:textId="77777777" w:rsidR="00C418D2" w:rsidRDefault="000E22B4" w:rsidP="001E7E05">
      <w:pPr>
        <w:pStyle w:val="Heading1"/>
      </w:pPr>
      <w:r>
        <w:t>General principles</w:t>
      </w:r>
    </w:p>
    <w:p w14:paraId="4E95AEB6" w14:textId="77777777" w:rsidR="001E7E05" w:rsidRPr="001E7E05" w:rsidRDefault="001E7E05" w:rsidP="00E96F8F">
      <w:pPr>
        <w:pStyle w:val="Heading2"/>
        <w:rPr>
          <w:rFonts w:eastAsia="Times New Roman"/>
        </w:rPr>
      </w:pPr>
      <w:r w:rsidRPr="001E7E05">
        <w:rPr>
          <w:rFonts w:eastAsia="Times New Roman"/>
        </w:rPr>
        <w:t>D</w:t>
      </w:r>
      <w:r w:rsidRPr="001E7E05">
        <w:t>escription of the value</w:t>
      </w:r>
    </w:p>
    <w:p w14:paraId="34AF8FF8" w14:textId="77777777" w:rsidR="00FD45BB" w:rsidRPr="00FD45BB" w:rsidRDefault="00FD45BB" w:rsidP="00FD45BB">
      <w:pPr>
        <w:pStyle w:val="ListParagraph"/>
      </w:pPr>
      <w:r w:rsidRPr="00E96F8F">
        <w:t>Lightstations include the lighthouse, accommodation and other infrastructure related to the functioning of the lightstation</w:t>
      </w:r>
      <w:r w:rsidRPr="00FD45BB">
        <w:t xml:space="preserve">. </w:t>
      </w:r>
    </w:p>
    <w:p w14:paraId="4E32F18A" w14:textId="6B92DB58" w:rsidR="00FD45BB" w:rsidRPr="00FD45BB" w:rsidRDefault="00FD45BB" w:rsidP="00FD45BB">
      <w:pPr>
        <w:pStyle w:val="ListParagraph"/>
      </w:pPr>
      <w:r w:rsidRPr="00FD45BB">
        <w:lastRenderedPageBreak/>
        <w:t xml:space="preserve">Historic </w:t>
      </w:r>
      <w:r w:rsidR="0021654C">
        <w:t>AtoN</w:t>
      </w:r>
      <w:r w:rsidRPr="00FD45BB">
        <w:t xml:space="preserve"> refer mostly to </w:t>
      </w:r>
      <w:r w:rsidR="00B873CC">
        <w:t>AtoN</w:t>
      </w:r>
      <w:r w:rsidRPr="00FD45BB">
        <w:t xml:space="preserve"> that may or may not be operational, such as lighthouses, beacons, concrete towers, and steel towers. </w:t>
      </w:r>
    </w:p>
    <w:p w14:paraId="136909D0" w14:textId="77777777" w:rsidR="00FD45BB" w:rsidRPr="00FD45BB" w:rsidRDefault="00FD45BB" w:rsidP="00FD45BB">
      <w:pPr>
        <w:pStyle w:val="ListParagraph"/>
      </w:pPr>
      <w:r w:rsidRPr="00FD45BB">
        <w:t xml:space="preserve">The Great Barrier Reef has a rich shipping and navigational history and lighthouses form a significant part of the story. Safe sea passage was vital for Australia's emerging colonial economy entirely dependent on the sea for trade, communication and supplies. Great Barrier Reef islands with lighthouses played a fundamental role in the nation's development. </w:t>
      </w:r>
    </w:p>
    <w:p w14:paraId="3FAA1966" w14:textId="77777777" w:rsidR="00FD45BB" w:rsidRPr="00FD45BB" w:rsidRDefault="00FD45BB" w:rsidP="00FD45BB">
      <w:pPr>
        <w:pStyle w:val="ListParagraph"/>
      </w:pPr>
      <w:r w:rsidRPr="00FD45BB">
        <w:t xml:space="preserve">In the 1800s, lighthouses were initially built and managed by the respective colonial governments. Eventually there was the need for a national approach to marine navigation, as navigation lighting was required in parts of the colony where there were relatively low populations and insufficient funds for appropriate navigational aids. On 1 July 1915, the </w:t>
      </w:r>
      <w:hyperlink r:id="rId22" w:tgtFrame="_blank" w:history="1">
        <w:r w:rsidRPr="00FD45BB">
          <w:rPr>
            <w:i/>
          </w:rPr>
          <w:t>Lighthouses Act 1911</w:t>
        </w:r>
      </w:hyperlink>
      <w:r w:rsidRPr="00FD45BB">
        <w:t xml:space="preserve"> came into effect where the Commonwealth officially accepted responsibility for the nation's lighthouses.</w:t>
      </w:r>
    </w:p>
    <w:p w14:paraId="7B9D37AA" w14:textId="77777777" w:rsidR="00FD45BB" w:rsidRPr="00FD45BB" w:rsidRDefault="00FD45BB" w:rsidP="00FD45BB">
      <w:pPr>
        <w:pStyle w:val="ListParagraph"/>
      </w:pPr>
      <w:r w:rsidRPr="00FD45BB">
        <w:t xml:space="preserve">Lighthouses built in the 1800s have historic heritage significance. There are four lightstations (including lighthouse and associated infrastructure) located on Commonwealth islands (Commonwealth Islands Zone) within the Marine Park and are Commonwealth Heritage listed under the </w:t>
      </w:r>
      <w:r w:rsidRPr="00FD45BB">
        <w:rPr>
          <w:i/>
        </w:rPr>
        <w:t xml:space="preserve">Environment Protection and Biodiversity Conservation Act 1999 </w:t>
      </w:r>
      <w:r w:rsidRPr="00FD45BB">
        <w:t xml:space="preserve">(EPBC Act) (also refer to </w:t>
      </w:r>
      <w:hyperlink r:id="rId23" w:history="1">
        <w:r w:rsidRPr="00FD45BB">
          <w:rPr>
            <w:rStyle w:val="Hyperlink"/>
          </w:rPr>
          <w:t>Great Barrier Reef Marine Park Commonwealth Heritage Listed Places and Properties Heritage Strategy 2018-2021</w:t>
        </w:r>
      </w:hyperlink>
      <w:r w:rsidRPr="00FD45BB">
        <w:t xml:space="preserve"> (Heritage Strategy 2018-2021) for further information). </w:t>
      </w:r>
    </w:p>
    <w:bookmarkStart w:id="1" w:name="_MON_1621949938"/>
    <w:bookmarkEnd w:id="1"/>
    <w:p w14:paraId="596D7E40" w14:textId="77777777" w:rsidR="00FD45BB" w:rsidRPr="00FD45BB" w:rsidRDefault="00FD45BB" w:rsidP="00FD45BB">
      <w:pPr>
        <w:pStyle w:val="BodyTextNumbering"/>
        <w:ind w:left="567"/>
        <w:rPr>
          <w:sz w:val="21"/>
          <w:szCs w:val="21"/>
        </w:rPr>
      </w:pPr>
      <w:r w:rsidRPr="00FD45BB">
        <w:rPr>
          <w:noProof/>
          <w:sz w:val="21"/>
          <w:szCs w:val="21"/>
          <w:shd w:val="clear" w:color="auto" w:fill="DEEAF6" w:themeFill="accent1" w:themeFillTint="33"/>
        </w:rPr>
        <w:object w:dxaOrig="9020" w:dyaOrig="6092" w14:anchorId="1D1573A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The Commonwealth Heritage criteria against which the Commonwealth Heritage values of a place are tested. " style="width:450pt;height:305.25pt;mso-position-horizontal:absolute" o:ole="">
            <v:imagedata r:id="rId24" o:title=""/>
          </v:shape>
          <o:OLEObject Type="Embed" ProgID="Word.Document.12" ShapeID="_x0000_i1025" DrawAspect="Content" ObjectID="_1635677134" r:id="rId25">
            <o:FieldCodes>\s</o:FieldCodes>
          </o:OLEObject>
        </w:object>
      </w:r>
    </w:p>
    <w:p w14:paraId="58914314" w14:textId="77777777" w:rsidR="00FD45BB" w:rsidRPr="00FD45BB" w:rsidRDefault="00FD45BB" w:rsidP="00FD45BB">
      <w:pPr>
        <w:pStyle w:val="ListParagraph"/>
      </w:pPr>
      <w:r w:rsidRPr="00FD45BB">
        <w:t xml:space="preserve">The ‘Commonwealth Heritage values’ identified for Commonwealth Heritage listed lightstations are outlined in the </w:t>
      </w:r>
      <w:hyperlink r:id="rId26" w:history="1">
        <w:r w:rsidRPr="00FD45BB">
          <w:rPr>
            <w:rStyle w:val="Hyperlink"/>
          </w:rPr>
          <w:t>Commonwealth Heritage Listing</w:t>
        </w:r>
      </w:hyperlink>
      <w:r w:rsidRPr="00FD45BB">
        <w:t xml:space="preserve"> for each site (links to the information regarding the four relevant sites are provided in the list below). </w:t>
      </w:r>
    </w:p>
    <w:p w14:paraId="57C72A56" w14:textId="77777777" w:rsidR="00FD45BB" w:rsidRPr="00FD45BB" w:rsidRDefault="00FD45BB" w:rsidP="00FD45BB">
      <w:pPr>
        <w:pStyle w:val="ListParagraph"/>
      </w:pPr>
      <w:r w:rsidRPr="00FD45BB">
        <w:t>The four Commonwealth Heritage Lightstations are:</w:t>
      </w:r>
    </w:p>
    <w:p w14:paraId="0EAFF771" w14:textId="4CEC07B5" w:rsidR="00FD45BB" w:rsidRPr="00FD45BB" w:rsidRDefault="00EC30B8" w:rsidP="00FD45BB">
      <w:pPr>
        <w:pStyle w:val="BodyTextNumbering"/>
        <w:numPr>
          <w:ilvl w:val="1"/>
          <w:numId w:val="4"/>
        </w:numPr>
        <w:ind w:hanging="513"/>
        <w:rPr>
          <w:sz w:val="21"/>
          <w:szCs w:val="21"/>
        </w:rPr>
      </w:pPr>
      <w:hyperlink r:id="rId27" w:history="1">
        <w:r w:rsidR="00FD45BB" w:rsidRPr="00FD45BB">
          <w:rPr>
            <w:rStyle w:val="Hyperlink"/>
            <w:rFonts w:eastAsia="Times New Roman"/>
            <w:sz w:val="21"/>
            <w:szCs w:val="21"/>
          </w:rPr>
          <w:t>Dent Island Lightstation</w:t>
        </w:r>
      </w:hyperlink>
      <w:r w:rsidR="00FD45BB" w:rsidRPr="00FD45BB">
        <w:rPr>
          <w:sz w:val="21"/>
          <w:szCs w:val="21"/>
        </w:rPr>
        <w:t xml:space="preserve"> (listed place 22 June 2004) - was constructed in 1879 and was first lit in the same year. The lighthouse is significant as a light tower built in response to the dramatic expansion of regular coastal shipping along the inner route of the Great Barrier Reef, following the economic development of Northern Queensland. It embodies important evidence of the historical development of </w:t>
      </w:r>
      <w:r w:rsidR="006B2103">
        <w:rPr>
          <w:sz w:val="21"/>
          <w:szCs w:val="21"/>
        </w:rPr>
        <w:t>AtoN</w:t>
      </w:r>
      <w:r w:rsidR="00FD45BB" w:rsidRPr="00FD45BB">
        <w:rPr>
          <w:sz w:val="21"/>
          <w:szCs w:val="21"/>
        </w:rPr>
        <w:t xml:space="preserve"> along the Queensland coast and the history of lighthouse technology, accommodation and associated services.</w:t>
      </w:r>
      <w:r w:rsidR="00FD45BB" w:rsidRPr="00FD45BB">
        <w:rPr>
          <w:sz w:val="21"/>
          <w:szCs w:val="21"/>
        </w:rPr>
        <w:fldChar w:fldCharType="begin"/>
      </w:r>
      <w:r w:rsidR="00FD45BB" w:rsidRPr="00FD45BB">
        <w:rPr>
          <w:sz w:val="21"/>
          <w:szCs w:val="21"/>
        </w:rPr>
        <w:instrText>ADDIN RW.CITE{{25128 GreatBarrierReefMarineParkAuthorityandtheAustralianMaritimeSafetyAuthority 2013}}</w:instrText>
      </w:r>
      <w:r w:rsidR="00FD45BB" w:rsidRPr="00FD45BB">
        <w:rPr>
          <w:sz w:val="21"/>
          <w:szCs w:val="21"/>
        </w:rPr>
        <w:fldChar w:fldCharType="separate"/>
      </w:r>
      <w:r w:rsidR="00FD45BB" w:rsidRPr="00FD45BB">
        <w:rPr>
          <w:rFonts w:cs="Arial"/>
          <w:sz w:val="21"/>
          <w:szCs w:val="21"/>
          <w:vertAlign w:val="superscript"/>
        </w:rPr>
        <w:t>1</w:t>
      </w:r>
      <w:r w:rsidR="00FD45BB" w:rsidRPr="00FD45BB">
        <w:rPr>
          <w:sz w:val="21"/>
          <w:szCs w:val="21"/>
        </w:rPr>
        <w:fldChar w:fldCharType="end"/>
      </w:r>
    </w:p>
    <w:p w14:paraId="0FB4677F" w14:textId="6EAEC164" w:rsidR="00FD45BB" w:rsidRPr="00FD45BB" w:rsidRDefault="00FD45BB" w:rsidP="00FD45BB">
      <w:pPr>
        <w:pStyle w:val="BodyTextNumbering"/>
        <w:ind w:left="1080"/>
        <w:rPr>
          <w:sz w:val="21"/>
          <w:szCs w:val="21"/>
        </w:rPr>
      </w:pPr>
      <w:r w:rsidRPr="00FD45BB">
        <w:rPr>
          <w:sz w:val="21"/>
          <w:szCs w:val="21"/>
        </w:rPr>
        <w:lastRenderedPageBreak/>
        <w:t xml:space="preserve">The lightstation complex dating from 1879 to 1960, are significant as a complete intact example of a lightstation complex in Queensland. Later stages of development have integrated with the original fabric and detail of the lightstation, contributing to the continuum of a complex dedicated to the single aim of maintaining the </w:t>
      </w:r>
      <w:r w:rsidR="00C97694">
        <w:rPr>
          <w:sz w:val="21"/>
          <w:szCs w:val="21"/>
        </w:rPr>
        <w:t>AtoN</w:t>
      </w:r>
      <w:r w:rsidRPr="00FD45BB">
        <w:rPr>
          <w:sz w:val="21"/>
          <w:szCs w:val="21"/>
        </w:rPr>
        <w:t>.</w:t>
      </w:r>
      <w:r w:rsidRPr="00FD45BB">
        <w:rPr>
          <w:sz w:val="21"/>
          <w:szCs w:val="21"/>
        </w:rPr>
        <w:fldChar w:fldCharType="begin"/>
      </w:r>
      <w:r w:rsidRPr="00FD45BB">
        <w:rPr>
          <w:sz w:val="21"/>
          <w:szCs w:val="21"/>
        </w:rPr>
        <w:instrText>ADDIN RW.CITE{{25128 GreatBarrierReefMarineParkAuthorityandtheAustralianMaritimeSafetyAuthority 2013}}</w:instrText>
      </w:r>
      <w:r w:rsidRPr="00FD45BB">
        <w:rPr>
          <w:sz w:val="21"/>
          <w:szCs w:val="21"/>
        </w:rPr>
        <w:fldChar w:fldCharType="separate"/>
      </w:r>
      <w:r w:rsidRPr="00FD45BB">
        <w:rPr>
          <w:rFonts w:cs="Arial"/>
          <w:sz w:val="21"/>
          <w:szCs w:val="21"/>
          <w:vertAlign w:val="superscript"/>
        </w:rPr>
        <w:t>1</w:t>
      </w:r>
      <w:r w:rsidRPr="00FD45BB">
        <w:rPr>
          <w:sz w:val="21"/>
          <w:szCs w:val="21"/>
        </w:rPr>
        <w:fldChar w:fldCharType="end"/>
      </w:r>
    </w:p>
    <w:p w14:paraId="16F32484" w14:textId="0104B8D5" w:rsidR="00FD45BB" w:rsidRPr="00FD45BB" w:rsidRDefault="00FD45BB" w:rsidP="00FD45BB">
      <w:pPr>
        <w:pStyle w:val="BodyTextNumbering"/>
        <w:ind w:left="927" w:firstLine="153"/>
        <w:rPr>
          <w:sz w:val="21"/>
          <w:szCs w:val="21"/>
        </w:rPr>
      </w:pPr>
      <w:r w:rsidRPr="00FD45BB">
        <w:rPr>
          <w:sz w:val="21"/>
          <w:szCs w:val="21"/>
        </w:rPr>
        <w:t xml:space="preserve">Dent Island lighthouse is a working lighthouse. </w:t>
      </w:r>
    </w:p>
    <w:p w14:paraId="08CCAA55" w14:textId="77777777" w:rsidR="00FD45BB" w:rsidRPr="00FD45BB" w:rsidRDefault="00EC30B8" w:rsidP="00FD45BB">
      <w:pPr>
        <w:pStyle w:val="BodyTextNumbering"/>
        <w:numPr>
          <w:ilvl w:val="1"/>
          <w:numId w:val="4"/>
        </w:numPr>
        <w:ind w:hanging="513"/>
        <w:rPr>
          <w:rFonts w:eastAsia="Times New Roman"/>
          <w:sz w:val="21"/>
          <w:szCs w:val="21"/>
        </w:rPr>
      </w:pPr>
      <w:hyperlink r:id="rId28" w:history="1">
        <w:r w:rsidR="00FD45BB" w:rsidRPr="00FD45BB">
          <w:rPr>
            <w:rStyle w:val="Hyperlink"/>
            <w:rFonts w:eastAsia="Times New Roman"/>
            <w:sz w:val="21"/>
            <w:szCs w:val="21"/>
          </w:rPr>
          <w:t>Lady Elliot Island Lightstation</w:t>
        </w:r>
      </w:hyperlink>
      <w:r w:rsidR="00FD45BB" w:rsidRPr="00FD45BB">
        <w:rPr>
          <w:rFonts w:eastAsia="Times New Roman"/>
          <w:sz w:val="21"/>
          <w:szCs w:val="21"/>
        </w:rPr>
        <w:t xml:space="preserve"> (listed place 22 June 2004) - </w:t>
      </w:r>
      <w:r w:rsidR="00FD45BB" w:rsidRPr="00FD45BB">
        <w:rPr>
          <w:sz w:val="21"/>
          <w:szCs w:val="21"/>
        </w:rPr>
        <w:t>was established in 1866 and is significant as evidence of important steps in the development of a system of navigational aids along the Queensland coast in the nineteenth century.</w:t>
      </w:r>
      <w:r w:rsidR="00FD45BB" w:rsidRPr="00FD45BB">
        <w:rPr>
          <w:sz w:val="21"/>
          <w:szCs w:val="21"/>
        </w:rPr>
        <w:fldChar w:fldCharType="begin"/>
      </w:r>
      <w:r w:rsidR="00FD45BB" w:rsidRPr="00FD45BB">
        <w:rPr>
          <w:sz w:val="21"/>
          <w:szCs w:val="21"/>
        </w:rPr>
        <w:instrText>ADDIN RW.CITE{{21824 GreatBarrierReefMarineParkAuthority 2012}}</w:instrText>
      </w:r>
      <w:r w:rsidR="00FD45BB" w:rsidRPr="00FD45BB">
        <w:rPr>
          <w:sz w:val="21"/>
          <w:szCs w:val="21"/>
        </w:rPr>
        <w:fldChar w:fldCharType="separate"/>
      </w:r>
      <w:r w:rsidR="00FD45BB" w:rsidRPr="00FD45BB">
        <w:rPr>
          <w:rFonts w:cs="Arial"/>
          <w:sz w:val="21"/>
          <w:szCs w:val="21"/>
          <w:vertAlign w:val="superscript"/>
        </w:rPr>
        <w:t>2</w:t>
      </w:r>
      <w:r w:rsidR="00FD45BB" w:rsidRPr="00FD45BB">
        <w:rPr>
          <w:sz w:val="21"/>
          <w:szCs w:val="21"/>
        </w:rPr>
        <w:fldChar w:fldCharType="end"/>
      </w:r>
      <w:r w:rsidR="00FD45BB" w:rsidRPr="00FD45BB">
        <w:rPr>
          <w:sz w:val="21"/>
          <w:szCs w:val="21"/>
        </w:rPr>
        <w:t xml:space="preserve"> </w:t>
      </w:r>
    </w:p>
    <w:p w14:paraId="2EAF3235" w14:textId="77777777" w:rsidR="00FD45BB" w:rsidRPr="00FD45BB" w:rsidRDefault="00FD45BB" w:rsidP="00FD45BB">
      <w:pPr>
        <w:pStyle w:val="BodyTextNumbering"/>
        <w:ind w:left="1080"/>
        <w:rPr>
          <w:sz w:val="21"/>
          <w:szCs w:val="21"/>
        </w:rPr>
      </w:pPr>
      <w:r w:rsidRPr="00FD45BB">
        <w:rPr>
          <w:sz w:val="21"/>
          <w:szCs w:val="21"/>
        </w:rPr>
        <w:t>The centrepiece is a lighthouse first lit in 1873 that was the first of a series designed in Queensland to suit local conditions and economic constraints. The lighthouse and its associated buildings, most dating from the early twentieth century, demonstrate the way such lightstations were developed in response to changes in social expectations and technological capabilities. The lighthouse is also significant as a prototype timber-framed and iron-plated tower, and demonstrates a high level of technical achievements at the time. The tower exemplifies in an important way the role of architects Robert Ferguson and F.D.G. Stanley.</w:t>
      </w:r>
      <w:r w:rsidRPr="00FD45BB">
        <w:rPr>
          <w:sz w:val="21"/>
          <w:szCs w:val="21"/>
        </w:rPr>
        <w:fldChar w:fldCharType="begin"/>
      </w:r>
      <w:r w:rsidRPr="00FD45BB">
        <w:rPr>
          <w:sz w:val="21"/>
          <w:szCs w:val="21"/>
        </w:rPr>
        <w:instrText>ADDIN RW.CITE{{21824 GreatBarrierReefMarineParkAuthority 2012}}</w:instrText>
      </w:r>
      <w:r w:rsidRPr="00FD45BB">
        <w:rPr>
          <w:sz w:val="21"/>
          <w:szCs w:val="21"/>
        </w:rPr>
        <w:fldChar w:fldCharType="separate"/>
      </w:r>
      <w:r w:rsidRPr="00FD45BB">
        <w:rPr>
          <w:rFonts w:cs="Arial"/>
          <w:sz w:val="21"/>
          <w:szCs w:val="21"/>
          <w:vertAlign w:val="superscript"/>
        </w:rPr>
        <w:t>2</w:t>
      </w:r>
      <w:r w:rsidRPr="00FD45BB">
        <w:rPr>
          <w:sz w:val="21"/>
          <w:szCs w:val="21"/>
        </w:rPr>
        <w:fldChar w:fldCharType="end"/>
      </w:r>
      <w:r w:rsidRPr="00FD45BB">
        <w:rPr>
          <w:sz w:val="21"/>
          <w:szCs w:val="21"/>
        </w:rPr>
        <w:t xml:space="preserve"> </w:t>
      </w:r>
    </w:p>
    <w:p w14:paraId="1225DEFE" w14:textId="77777777" w:rsidR="00FD45BB" w:rsidRPr="00FD45BB" w:rsidRDefault="00FD45BB" w:rsidP="00FD45BB">
      <w:pPr>
        <w:pStyle w:val="BodyTextNumbering"/>
        <w:ind w:left="1080"/>
        <w:rPr>
          <w:sz w:val="21"/>
          <w:szCs w:val="21"/>
        </w:rPr>
      </w:pPr>
      <w:r w:rsidRPr="00FD45BB">
        <w:rPr>
          <w:sz w:val="21"/>
          <w:szCs w:val="21"/>
        </w:rPr>
        <w:t>Additionally, the Lightstation has valuable aesthetic characteristics and is important as a characteristic example of the type of lighthouse complex developed along the Queensland coast and on the Great Barrier Reef islands in the late nineteenth century, and maintained through the twentieth century.</w:t>
      </w:r>
      <w:r w:rsidRPr="00FD45BB">
        <w:rPr>
          <w:sz w:val="21"/>
          <w:szCs w:val="21"/>
        </w:rPr>
        <w:fldChar w:fldCharType="begin"/>
      </w:r>
      <w:r w:rsidRPr="00FD45BB">
        <w:rPr>
          <w:sz w:val="21"/>
          <w:szCs w:val="21"/>
        </w:rPr>
        <w:instrText>ADDIN RW.CITE{{21824 GreatBarrierReefMarineParkAuthority 2012}}</w:instrText>
      </w:r>
      <w:r w:rsidRPr="00FD45BB">
        <w:rPr>
          <w:sz w:val="21"/>
          <w:szCs w:val="21"/>
        </w:rPr>
        <w:fldChar w:fldCharType="separate"/>
      </w:r>
      <w:r w:rsidRPr="00FD45BB">
        <w:rPr>
          <w:rFonts w:cs="Arial"/>
          <w:sz w:val="21"/>
          <w:szCs w:val="21"/>
          <w:vertAlign w:val="superscript"/>
        </w:rPr>
        <w:t>2</w:t>
      </w:r>
      <w:r w:rsidRPr="00FD45BB">
        <w:rPr>
          <w:sz w:val="21"/>
          <w:szCs w:val="21"/>
        </w:rPr>
        <w:fldChar w:fldCharType="end"/>
      </w:r>
    </w:p>
    <w:p w14:paraId="51E8718A" w14:textId="2B74937F" w:rsidR="00FD45BB" w:rsidRPr="00FD45BB" w:rsidRDefault="00FD45BB" w:rsidP="00FD45BB">
      <w:pPr>
        <w:pStyle w:val="BodyTextNumbering"/>
        <w:ind w:left="1080"/>
        <w:rPr>
          <w:sz w:val="21"/>
          <w:szCs w:val="21"/>
        </w:rPr>
      </w:pPr>
      <w:r w:rsidRPr="00FD45BB">
        <w:rPr>
          <w:sz w:val="21"/>
          <w:szCs w:val="21"/>
        </w:rPr>
        <w:t xml:space="preserve">The Lady Elliot Island lighthouse is no longer a working lighthouse, a modern working </w:t>
      </w:r>
      <w:r w:rsidR="0021654C">
        <w:rPr>
          <w:sz w:val="21"/>
          <w:szCs w:val="21"/>
        </w:rPr>
        <w:t>AtoN</w:t>
      </w:r>
      <w:r w:rsidRPr="00FD45BB">
        <w:rPr>
          <w:sz w:val="21"/>
          <w:szCs w:val="21"/>
        </w:rPr>
        <w:t xml:space="preserve"> has been built adjacent to the historic lighthouse. </w:t>
      </w:r>
    </w:p>
    <w:p w14:paraId="5D58AEF8" w14:textId="5AF908E3" w:rsidR="00FD45BB" w:rsidRPr="00FD45BB" w:rsidRDefault="00EC30B8" w:rsidP="00FD45BB">
      <w:pPr>
        <w:pStyle w:val="BodyTextNumbering"/>
        <w:numPr>
          <w:ilvl w:val="1"/>
          <w:numId w:val="4"/>
        </w:numPr>
        <w:ind w:hanging="513"/>
        <w:rPr>
          <w:rFonts w:eastAsia="Times New Roman"/>
          <w:sz w:val="21"/>
          <w:szCs w:val="21"/>
        </w:rPr>
      </w:pPr>
      <w:hyperlink r:id="rId29" w:history="1">
        <w:r w:rsidR="00FD45BB" w:rsidRPr="00FD45BB">
          <w:rPr>
            <w:rStyle w:val="Hyperlink"/>
            <w:rFonts w:eastAsia="Times New Roman"/>
            <w:sz w:val="21"/>
            <w:szCs w:val="21"/>
          </w:rPr>
          <w:t>Low Island Lightstation</w:t>
        </w:r>
      </w:hyperlink>
      <w:r w:rsidR="00FD45BB" w:rsidRPr="00FD45BB">
        <w:rPr>
          <w:rFonts w:eastAsia="Times New Roman"/>
          <w:sz w:val="21"/>
          <w:szCs w:val="21"/>
        </w:rPr>
        <w:t xml:space="preserve"> (listed place 28 May 2008) - </w:t>
      </w:r>
      <w:r w:rsidR="00FD45BB" w:rsidRPr="00FD45BB">
        <w:rPr>
          <w:sz w:val="21"/>
          <w:szCs w:val="21"/>
        </w:rPr>
        <w:t>was constructed in 1878, it includes one of the series of 12 lighthouse towers of a distinctive type, built between 1873 and 1890. These timber-framed towers clad with riveted iron were designed by officers of the Queensland colonial government, to meet the particular needs of the colony, in a form that was not used anywhere else in the world. The Low Island and Low Islets Lightstation Commonwealth heritage listing includes “Indigenous Tradition” and is significant to Kuku Yalanji and Yir</w:t>
      </w:r>
      <w:r w:rsidR="00A30C46">
        <w:rPr>
          <w:sz w:val="21"/>
          <w:szCs w:val="21"/>
        </w:rPr>
        <w:t>r</w:t>
      </w:r>
      <w:r w:rsidR="00FD45BB" w:rsidRPr="00FD45BB">
        <w:rPr>
          <w:sz w:val="21"/>
          <w:szCs w:val="21"/>
        </w:rPr>
        <w:t>gan</w:t>
      </w:r>
      <w:r w:rsidR="00A30C46">
        <w:rPr>
          <w:sz w:val="21"/>
          <w:szCs w:val="21"/>
        </w:rPr>
        <w:t>yd</w:t>
      </w:r>
      <w:r w:rsidR="00FD45BB" w:rsidRPr="00FD45BB">
        <w:rPr>
          <w:sz w:val="21"/>
          <w:szCs w:val="21"/>
        </w:rPr>
        <w:t>ji as part of their dreamings.</w:t>
      </w:r>
    </w:p>
    <w:p w14:paraId="2E3D5941" w14:textId="4585FB93" w:rsidR="00FD45BB" w:rsidRPr="00FD45BB" w:rsidRDefault="00FD45BB" w:rsidP="00FD45BB">
      <w:pPr>
        <w:pStyle w:val="BodyTextNumbering"/>
        <w:ind w:left="927" w:firstLine="153"/>
        <w:rPr>
          <w:sz w:val="21"/>
          <w:szCs w:val="21"/>
        </w:rPr>
      </w:pPr>
      <w:r w:rsidRPr="00FD45BB">
        <w:rPr>
          <w:sz w:val="21"/>
          <w:szCs w:val="21"/>
        </w:rPr>
        <w:t xml:space="preserve">Low Isles lighthouse is a working lighthouse. </w:t>
      </w:r>
    </w:p>
    <w:p w14:paraId="0295E171" w14:textId="77777777" w:rsidR="00FD45BB" w:rsidRDefault="00FD45BB" w:rsidP="00FD45BB">
      <w:pPr>
        <w:pStyle w:val="BodyTextNumbering"/>
        <w:ind w:left="1440"/>
      </w:pPr>
      <w:r>
        <w:rPr>
          <w:noProof/>
        </w:rPr>
        <w:lastRenderedPageBreak/>
        <w:drawing>
          <wp:inline distT="0" distB="0" distL="0" distR="0" wp14:anchorId="5CCAC02E" wp14:editId="54F91943">
            <wp:extent cx="5086350" cy="3637824"/>
            <wp:effectExtent l="0" t="0" r="0" b="1270"/>
            <wp:docPr id="2" name="Picture 2" descr="Photograph of Low Island from the Great Barrier Reef Expedition 1928-29. Source: Great Barrier Reef Marine Park Authority." title="Photograph of Low Island from the Great Barrier Reef Expedition 1928-29. Source: Great Barrier Reef Marine Park Author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0">
                      <a:extLst>
                        <a:ext uri="{28A0092B-C50C-407E-A947-70E740481C1C}">
                          <a14:useLocalDpi xmlns:a14="http://schemas.microsoft.com/office/drawing/2010/main" val="0"/>
                        </a:ext>
                      </a:extLst>
                    </a:blip>
                    <a:srcRect l="3585" t="3118"/>
                    <a:stretch/>
                  </pic:blipFill>
                  <pic:spPr bwMode="auto">
                    <a:xfrm>
                      <a:off x="0" y="0"/>
                      <a:ext cx="5102301" cy="3649233"/>
                    </a:xfrm>
                    <a:prstGeom prst="rect">
                      <a:avLst/>
                    </a:prstGeom>
                    <a:noFill/>
                    <a:ln>
                      <a:noFill/>
                    </a:ln>
                    <a:extLst>
                      <a:ext uri="{53640926-AAD7-44D8-BBD7-CCE9431645EC}">
                        <a14:shadowObscured xmlns:a14="http://schemas.microsoft.com/office/drawing/2010/main"/>
                      </a:ext>
                    </a:extLst>
                  </pic:spPr>
                </pic:pic>
              </a:graphicData>
            </a:graphic>
          </wp:inline>
        </w:drawing>
      </w:r>
    </w:p>
    <w:p w14:paraId="4AF662D3" w14:textId="77777777" w:rsidR="00FD45BB" w:rsidRDefault="00FD45BB" w:rsidP="00FD45BB">
      <w:pPr>
        <w:pStyle w:val="BodyTextNumbering"/>
        <w:ind w:left="1440"/>
      </w:pPr>
      <w:r>
        <w:rPr>
          <w:rFonts w:ascii="Calibri" w:hAnsi="Calibri" w:cs="Calibri"/>
          <w:sz w:val="16"/>
          <w:szCs w:val="16"/>
        </w:rPr>
        <w:t>Photograph of Low Island from the Great Barrier Reef Expedition 1928-29. Source: Great Barrier Reef Marine Park Authority.</w:t>
      </w:r>
      <w:r w:rsidDel="00077EF7">
        <w:t xml:space="preserve"> </w:t>
      </w:r>
    </w:p>
    <w:p w14:paraId="141563D9" w14:textId="77777777" w:rsidR="00E96F8F" w:rsidRPr="00E96F8F" w:rsidRDefault="00EC30B8" w:rsidP="00E96F8F">
      <w:pPr>
        <w:pStyle w:val="BodyTextNumbering"/>
        <w:numPr>
          <w:ilvl w:val="1"/>
          <w:numId w:val="4"/>
        </w:numPr>
        <w:ind w:hanging="513"/>
        <w:rPr>
          <w:rFonts w:eastAsia="Times New Roman"/>
          <w:sz w:val="21"/>
          <w:szCs w:val="21"/>
        </w:rPr>
      </w:pPr>
      <w:hyperlink r:id="rId31" w:history="1">
        <w:r w:rsidR="00FD45BB" w:rsidRPr="00FD45BB">
          <w:rPr>
            <w:rStyle w:val="Hyperlink"/>
            <w:rFonts w:eastAsia="Times New Roman"/>
            <w:sz w:val="21"/>
            <w:szCs w:val="21"/>
          </w:rPr>
          <w:t>North Reef Lighthouse</w:t>
        </w:r>
      </w:hyperlink>
      <w:r w:rsidR="00FD45BB" w:rsidRPr="00FD45BB">
        <w:rPr>
          <w:rFonts w:eastAsia="Times New Roman"/>
          <w:sz w:val="21"/>
          <w:szCs w:val="21"/>
        </w:rPr>
        <w:t xml:space="preserve"> – (listed place 22 June 2004) </w:t>
      </w:r>
      <w:r w:rsidR="00FD45BB" w:rsidRPr="00FD45BB">
        <w:rPr>
          <w:sz w:val="21"/>
          <w:szCs w:val="21"/>
        </w:rPr>
        <w:t xml:space="preserve">was built in 1878 and is significant as a rare example of a lighthouse built on a coral reef. It incorporates a residence at the base of the tower and was one of the major achievements in the construction of Australian lighthouses. North Reef was converted to electric operation in 1977 and de-manned and was later converted to solar operation in 1987. </w:t>
      </w:r>
    </w:p>
    <w:p w14:paraId="365369C3" w14:textId="6F9AD6CE" w:rsidR="00E96F8F" w:rsidRPr="00E96F8F" w:rsidRDefault="00FD45BB" w:rsidP="00E96F8F">
      <w:pPr>
        <w:pStyle w:val="BodyTextNumbering"/>
        <w:ind w:left="1080"/>
        <w:rPr>
          <w:rFonts w:eastAsia="Times New Roman"/>
          <w:sz w:val="21"/>
          <w:szCs w:val="21"/>
        </w:rPr>
      </w:pPr>
      <w:r w:rsidRPr="00E96F8F">
        <w:rPr>
          <w:sz w:val="21"/>
          <w:szCs w:val="21"/>
        </w:rPr>
        <w:t xml:space="preserve">North Reef lighthouse is a working lighthouse. </w:t>
      </w:r>
    </w:p>
    <w:p w14:paraId="6C73D274" w14:textId="0ED6C4C5" w:rsidR="00FD45BB" w:rsidRPr="00FD45BB" w:rsidRDefault="00FD45BB" w:rsidP="00E96F8F">
      <w:pPr>
        <w:pStyle w:val="ListParagraph"/>
        <w:spacing w:before="240"/>
      </w:pPr>
      <w:r w:rsidRPr="00FD45BB">
        <w:t xml:space="preserve">Contributing also to the historic heritage value of the </w:t>
      </w:r>
      <w:r w:rsidR="00B66E88">
        <w:t>GBRWHA</w:t>
      </w:r>
      <w:r w:rsidR="00B37B4E">
        <w:t xml:space="preserve"> </w:t>
      </w:r>
      <w:r w:rsidRPr="00FD45BB">
        <w:t xml:space="preserve">are two state heritage-listed lightstations and one state heritage-listed </w:t>
      </w:r>
      <w:r w:rsidR="00C97694">
        <w:t>AtoN</w:t>
      </w:r>
      <w:r w:rsidRPr="00FD45BB">
        <w:t xml:space="preserve"> under the </w:t>
      </w:r>
      <w:r w:rsidRPr="00FD45BB">
        <w:rPr>
          <w:i/>
        </w:rPr>
        <w:t>Queensland Heritage Act 1992</w:t>
      </w:r>
      <w:r w:rsidRPr="00FD45BB">
        <w:t xml:space="preserve">. </w:t>
      </w:r>
    </w:p>
    <w:p w14:paraId="325D9DA8" w14:textId="77777777" w:rsidR="00FD45BB" w:rsidRPr="00FD45BB" w:rsidRDefault="00FD45BB" w:rsidP="003F05C2">
      <w:pPr>
        <w:pStyle w:val="BodyTextNumbering"/>
        <w:numPr>
          <w:ilvl w:val="0"/>
          <w:numId w:val="7"/>
        </w:numPr>
        <w:rPr>
          <w:sz w:val="21"/>
          <w:szCs w:val="21"/>
        </w:rPr>
      </w:pPr>
      <w:r w:rsidRPr="00FD45BB">
        <w:rPr>
          <w:sz w:val="21"/>
          <w:szCs w:val="21"/>
        </w:rPr>
        <w:t>Cape Capricorn Lightstation (north eastern tip of Curtis Island, Cape Capricorn)</w:t>
      </w:r>
    </w:p>
    <w:p w14:paraId="4C761710" w14:textId="77777777" w:rsidR="00FD45BB" w:rsidRPr="00FD45BB" w:rsidRDefault="00FD45BB" w:rsidP="003F05C2">
      <w:pPr>
        <w:pStyle w:val="BodyTextNumbering"/>
        <w:numPr>
          <w:ilvl w:val="0"/>
          <w:numId w:val="7"/>
        </w:numPr>
        <w:rPr>
          <w:sz w:val="21"/>
          <w:szCs w:val="21"/>
        </w:rPr>
      </w:pPr>
      <w:r w:rsidRPr="00FD45BB">
        <w:rPr>
          <w:sz w:val="21"/>
          <w:szCs w:val="21"/>
        </w:rPr>
        <w:t>Little Sea Hill Lightstation (Sea Hill Point, Curtis Island)</w:t>
      </w:r>
    </w:p>
    <w:p w14:paraId="695FA344" w14:textId="7E3F0CBD" w:rsidR="00FD45BB" w:rsidRDefault="00FD45BB" w:rsidP="003F05C2">
      <w:pPr>
        <w:pStyle w:val="BodyTextNumbering"/>
        <w:numPr>
          <w:ilvl w:val="0"/>
          <w:numId w:val="7"/>
        </w:numPr>
        <w:rPr>
          <w:sz w:val="21"/>
          <w:szCs w:val="21"/>
        </w:rPr>
      </w:pPr>
      <w:r w:rsidRPr="00FD45BB">
        <w:rPr>
          <w:sz w:val="21"/>
          <w:szCs w:val="21"/>
        </w:rPr>
        <w:t xml:space="preserve">Raine Island Beacon (eastern end of Raine Island) is a significant historic </w:t>
      </w:r>
      <w:r w:rsidR="00C97694">
        <w:rPr>
          <w:sz w:val="21"/>
          <w:szCs w:val="21"/>
        </w:rPr>
        <w:t>AtoN</w:t>
      </w:r>
      <w:r w:rsidRPr="00FD45BB">
        <w:rPr>
          <w:sz w:val="21"/>
          <w:szCs w:val="21"/>
        </w:rPr>
        <w:t xml:space="preserve"> in the </w:t>
      </w:r>
      <w:r w:rsidR="00207B61" w:rsidRPr="00FD45BB">
        <w:rPr>
          <w:sz w:val="21"/>
          <w:szCs w:val="21"/>
        </w:rPr>
        <w:t>GBRWHA</w:t>
      </w:r>
      <w:r w:rsidRPr="00FD45BB">
        <w:rPr>
          <w:sz w:val="21"/>
          <w:szCs w:val="21"/>
        </w:rPr>
        <w:t xml:space="preserve">. It was built in 1844 by a party of convicts transported to the island by HMS </w:t>
      </w:r>
      <w:r w:rsidRPr="00FD45BB">
        <w:rPr>
          <w:i/>
          <w:sz w:val="21"/>
          <w:szCs w:val="21"/>
        </w:rPr>
        <w:t xml:space="preserve">Bramble </w:t>
      </w:r>
      <w:r w:rsidRPr="00FD45BB">
        <w:rPr>
          <w:sz w:val="21"/>
          <w:szCs w:val="21"/>
        </w:rPr>
        <w:t xml:space="preserve">and HMS </w:t>
      </w:r>
      <w:r w:rsidRPr="00FD45BB">
        <w:rPr>
          <w:i/>
          <w:sz w:val="21"/>
          <w:szCs w:val="21"/>
        </w:rPr>
        <w:t>Fly</w:t>
      </w:r>
      <w:r w:rsidRPr="00FD45BB">
        <w:rPr>
          <w:sz w:val="21"/>
          <w:szCs w:val="21"/>
        </w:rPr>
        <w:t xml:space="preserve">.  </w:t>
      </w:r>
    </w:p>
    <w:p w14:paraId="15075B78" w14:textId="2E602F34" w:rsidR="00FD45BB" w:rsidRPr="00FD45BB" w:rsidRDefault="00FD45BB" w:rsidP="007049AD">
      <w:pPr>
        <w:pStyle w:val="ListParagraph"/>
        <w:spacing w:before="240"/>
      </w:pPr>
      <w:r w:rsidRPr="00FD45BB">
        <w:t xml:space="preserve">There are other </w:t>
      </w:r>
      <w:r w:rsidR="006B2103">
        <w:t>AtoN</w:t>
      </w:r>
      <w:r w:rsidRPr="00FD45BB">
        <w:t xml:space="preserve"> in the GBRWHA built in the 1900s that are not heritage-listed under </w:t>
      </w:r>
      <w:r w:rsidRPr="00F82D4E">
        <w:t>Commonwealth or state legislation</w:t>
      </w:r>
      <w:r w:rsidR="00B05F97">
        <w:t>. However, they</w:t>
      </w:r>
      <w:r w:rsidRPr="00FD45BB">
        <w:t xml:space="preserve"> form an important part of the historic heritage of the Great Barrier Reef as they </w:t>
      </w:r>
      <w:r w:rsidR="004C70F1">
        <w:t>illustrate the development of coastal navigation and the evolution of AtoN design and technology in GBRWHA</w:t>
      </w:r>
      <w:r w:rsidRPr="00FD45BB">
        <w:t xml:space="preserve">. These include ‘concrete tower’ and steel frame </w:t>
      </w:r>
      <w:r w:rsidR="0021654C">
        <w:t>AtoN</w:t>
      </w:r>
      <w:r w:rsidRPr="00FD45BB">
        <w:t xml:space="preserve"> dating from between the 1920s and the 1960s</w:t>
      </w:r>
      <w:r w:rsidR="00B403D9">
        <w:t>.</w:t>
      </w:r>
      <w:r w:rsidRPr="00FD45BB">
        <w:t xml:space="preserve"> </w:t>
      </w:r>
    </w:p>
    <w:p w14:paraId="37ED22C4" w14:textId="569E75BB" w:rsidR="00E25DFA" w:rsidRPr="00CD6B4B" w:rsidRDefault="00FD45BB" w:rsidP="007E0553">
      <w:pPr>
        <w:pStyle w:val="ListParagraph"/>
        <w:spacing w:before="240" w:line="259" w:lineRule="auto"/>
        <w:rPr>
          <w:rFonts w:eastAsiaTheme="minorEastAsia"/>
          <w:color w:val="003C64"/>
          <w:sz w:val="24"/>
          <w:szCs w:val="24"/>
          <w:lang w:eastAsia="en-AU"/>
        </w:rPr>
      </w:pPr>
      <w:r w:rsidRPr="00FD45BB">
        <w:t xml:space="preserve">As well as </w:t>
      </w:r>
      <w:r w:rsidR="00CD6B4B">
        <w:t>AtoNs</w:t>
      </w:r>
      <w:r w:rsidRPr="00FD45BB">
        <w:t xml:space="preserve"> on islands in the GBRWHA, there are historic </w:t>
      </w:r>
      <w:r w:rsidR="00B5746A">
        <w:t>AtoN</w:t>
      </w:r>
      <w:r w:rsidR="00CD6B4B">
        <w:t>s</w:t>
      </w:r>
      <w:r w:rsidRPr="00FD45BB">
        <w:t xml:space="preserve"> located in the reef’s waters and those located along the mainland coast outside the GBRWHA.</w:t>
      </w:r>
    </w:p>
    <w:p w14:paraId="517B9E8B" w14:textId="41A02661" w:rsidR="003F05C2" w:rsidRPr="003F05C2" w:rsidRDefault="003F05C2" w:rsidP="001E7E05">
      <w:pPr>
        <w:pStyle w:val="Heading2"/>
      </w:pPr>
      <w:r w:rsidRPr="001E7E05">
        <w:t>Management</w:t>
      </w:r>
      <w:r w:rsidRPr="003F05C2">
        <w:t xml:space="preserve"> </w:t>
      </w:r>
    </w:p>
    <w:p w14:paraId="0E7E11DE" w14:textId="4860AF8B" w:rsidR="003F05C2" w:rsidRDefault="003F05C2" w:rsidP="003F05C2">
      <w:pPr>
        <w:pStyle w:val="ListParagraph"/>
      </w:pPr>
      <w:r>
        <w:t>The following section explains the legislation, standards and policies that are most commonly used in managing historic heritage. Also r</w:t>
      </w:r>
      <w:r w:rsidRPr="008C1D03">
        <w:t>efer to</w:t>
      </w:r>
      <w:r>
        <w:t xml:space="preserve"> </w:t>
      </w:r>
      <w:r w:rsidRPr="00BE10C2">
        <w:t xml:space="preserve">the </w:t>
      </w:r>
      <w:hyperlink r:id="rId32" w:history="1">
        <w:r w:rsidRPr="00BE10C2">
          <w:rPr>
            <w:rStyle w:val="Hyperlink"/>
          </w:rPr>
          <w:t>Permission system policy</w:t>
        </w:r>
      </w:hyperlink>
      <w:r w:rsidRPr="00BE10C2">
        <w:t xml:space="preserve"> for</w:t>
      </w:r>
      <w:r w:rsidRPr="008C1D03">
        <w:t xml:space="preserve"> a list of legislation, standards and poli</w:t>
      </w:r>
      <w:r>
        <w:t>cies used through the permission system.</w:t>
      </w:r>
    </w:p>
    <w:p w14:paraId="15801D2F" w14:textId="77777777" w:rsidR="003F05C2" w:rsidRPr="00E96F8F" w:rsidRDefault="003F05C2" w:rsidP="00E25DFA">
      <w:pPr>
        <w:pStyle w:val="Heading3"/>
        <w:spacing w:after="60"/>
      </w:pPr>
      <w:r w:rsidRPr="00E96F8F">
        <w:t xml:space="preserve">Zoning and Legislation </w:t>
      </w:r>
    </w:p>
    <w:p w14:paraId="6EEC5C01" w14:textId="3DC4431A" w:rsidR="003F05C2" w:rsidRDefault="003F05C2" w:rsidP="00E96F8F">
      <w:pPr>
        <w:pStyle w:val="ListParagraph"/>
        <w:spacing w:before="240"/>
        <w:rPr>
          <w:color w:val="000000" w:themeColor="text1"/>
        </w:rPr>
      </w:pPr>
      <w:r w:rsidRPr="00E96F8F">
        <w:rPr>
          <w:rFonts w:eastAsiaTheme="minorEastAsia" w:cs="Times New Roman"/>
          <w:color w:val="000000" w:themeColor="text1"/>
          <w:lang w:eastAsia="en-AU"/>
        </w:rPr>
        <w:t>As stated in the</w:t>
      </w:r>
      <w:r w:rsidRPr="003F05C2">
        <w:rPr>
          <w:color w:val="000000" w:themeColor="text1"/>
        </w:rPr>
        <w:t xml:space="preserve"> </w:t>
      </w:r>
      <w:r w:rsidRPr="003F05C2">
        <w:rPr>
          <w:i/>
          <w:color w:val="000000" w:themeColor="text1"/>
        </w:rPr>
        <w:t>Great Barrier Reef Marine Park Act 1975,</w:t>
      </w:r>
      <w:r w:rsidRPr="003F05C2">
        <w:rPr>
          <w:color w:val="000000" w:themeColor="text1"/>
        </w:rPr>
        <w:t xml:space="preserve"> “The main object of this Act is for the long term protection and conservation of the environment, biodiversity and heritage values of the Great Barrier Reef Region”. </w:t>
      </w:r>
    </w:p>
    <w:p w14:paraId="15EE023C" w14:textId="29FE54BB" w:rsidR="00B423DB" w:rsidRDefault="00B423DB" w:rsidP="00B17686">
      <w:pPr>
        <w:pStyle w:val="ListParagraph"/>
        <w:spacing w:before="240"/>
        <w:rPr>
          <w:color w:val="000000" w:themeColor="text1"/>
        </w:rPr>
      </w:pPr>
      <w:r w:rsidRPr="00401718">
        <w:t>Under the </w:t>
      </w:r>
      <w:r w:rsidRPr="00BE10C2">
        <w:t>EPBC</w:t>
      </w:r>
      <w:r w:rsidRPr="00401718">
        <w:t> Act</w:t>
      </w:r>
      <w:r w:rsidR="00F516C5">
        <w:t xml:space="preserve"> (Section 341ZB)</w:t>
      </w:r>
      <w:r>
        <w:t>,</w:t>
      </w:r>
      <w:r w:rsidRPr="00401718">
        <w:t xml:space="preserve"> each Commonwealth agency has a responsibility to undertake an assessment to identify which of the places they own or control have Commonwealth Heritage values.</w:t>
      </w:r>
      <w:r>
        <w:t xml:space="preserve">  </w:t>
      </w:r>
    </w:p>
    <w:p w14:paraId="7C927A96" w14:textId="472B9303" w:rsidR="003F05C2" w:rsidRPr="003F05C2" w:rsidRDefault="003F05C2" w:rsidP="003F05C2">
      <w:pPr>
        <w:pStyle w:val="ListParagraph"/>
        <w:rPr>
          <w:color w:val="000000" w:themeColor="text1"/>
        </w:rPr>
      </w:pPr>
      <w:r w:rsidRPr="003F05C2">
        <w:rPr>
          <w:color w:val="000000" w:themeColor="text1"/>
        </w:rPr>
        <w:t>Each of the four lightstations heritage-listed un</w:t>
      </w:r>
      <w:r w:rsidR="00F41496">
        <w:rPr>
          <w:color w:val="000000" w:themeColor="text1"/>
        </w:rPr>
        <w:t>der the EPBC Act require (</w:t>
      </w:r>
      <w:r w:rsidRPr="003F05C2">
        <w:rPr>
          <w:color w:val="000000" w:themeColor="text1"/>
        </w:rPr>
        <w:t>Section 341S</w:t>
      </w:r>
      <w:r w:rsidR="00F41496">
        <w:rPr>
          <w:color w:val="000000" w:themeColor="text1"/>
        </w:rPr>
        <w:t>)</w:t>
      </w:r>
      <w:r w:rsidRPr="003F05C2">
        <w:rPr>
          <w:color w:val="000000" w:themeColor="text1"/>
        </w:rPr>
        <w:t xml:space="preserve">, to have a heritage management plan to set out the operational requirements for the management of the lightstations. The heritage management plans also provide a description of the place, its heritage values, the condition and the method used to assess its significance. </w:t>
      </w:r>
    </w:p>
    <w:p w14:paraId="1A75BFCF" w14:textId="77777777" w:rsidR="003F05C2" w:rsidRPr="003F05C2" w:rsidRDefault="003F05C2" w:rsidP="003F05C2">
      <w:pPr>
        <w:pStyle w:val="ListParagraph"/>
        <w:rPr>
          <w:lang w:val="en"/>
        </w:rPr>
      </w:pPr>
      <w:r w:rsidRPr="003F05C2">
        <w:t>The purpose of the Heritage Management Plans is to ensure the Commonwealth Heritage values of a Commonwealth Heritage listed place or property are recognised and maintained into the future.</w:t>
      </w:r>
      <w:r w:rsidRPr="003F05C2">
        <w:rPr>
          <w:lang w:val="en"/>
        </w:rPr>
        <w:t xml:space="preserve"> The plans must be updated at least once every five years. </w:t>
      </w:r>
    </w:p>
    <w:p w14:paraId="324C30A8" w14:textId="77777777" w:rsidR="003F05C2" w:rsidRPr="003F05C2" w:rsidRDefault="003F05C2" w:rsidP="003F05C2">
      <w:pPr>
        <w:pStyle w:val="ListParagraph"/>
        <w:rPr>
          <w:lang w:val="en"/>
        </w:rPr>
      </w:pPr>
      <w:r w:rsidRPr="003F05C2">
        <w:rPr>
          <w:lang w:val="en"/>
        </w:rPr>
        <w:t xml:space="preserve">Heritage Management Plans were registered as a legislative instrument for the </w:t>
      </w:r>
      <w:hyperlink r:id="rId33" w:history="1">
        <w:r w:rsidRPr="003F05C2">
          <w:rPr>
            <w:rStyle w:val="Hyperlink"/>
            <w:lang w:val="en"/>
          </w:rPr>
          <w:t>Lady Elliot Island Lightstation</w:t>
        </w:r>
      </w:hyperlink>
      <w:r w:rsidRPr="003F05C2">
        <w:rPr>
          <w:lang w:val="en"/>
        </w:rPr>
        <w:t xml:space="preserve"> in 2012 and </w:t>
      </w:r>
      <w:hyperlink r:id="rId34" w:history="1">
        <w:r w:rsidRPr="003F05C2">
          <w:rPr>
            <w:rStyle w:val="Hyperlink"/>
            <w:lang w:val="en"/>
          </w:rPr>
          <w:t>Dent Island Lightstation</w:t>
        </w:r>
      </w:hyperlink>
      <w:r w:rsidRPr="003F05C2">
        <w:rPr>
          <w:lang w:val="en"/>
        </w:rPr>
        <w:t xml:space="preserve"> in 2013. </w:t>
      </w:r>
    </w:p>
    <w:p w14:paraId="2FF3694F" w14:textId="60E1916A" w:rsidR="003F05C2" w:rsidRPr="003F05C2" w:rsidRDefault="003F05C2" w:rsidP="003F05C2">
      <w:pPr>
        <w:pStyle w:val="ListParagraph"/>
        <w:rPr>
          <w:lang w:val="en"/>
        </w:rPr>
      </w:pPr>
      <w:r w:rsidRPr="003F05C2">
        <w:t xml:space="preserve">Low Island Lightstation heritage management plan is currently being drafted by </w:t>
      </w:r>
      <w:r w:rsidR="00F82D4E">
        <w:t>the Authority</w:t>
      </w:r>
      <w:r w:rsidRPr="003F05C2">
        <w:t xml:space="preserve"> and the Australian Maritime Authority (AMSA) and North Reef Lighthouse heritage management plan is being developed by AMSA as the lighthouse is a working </w:t>
      </w:r>
      <w:r w:rsidR="00C97694">
        <w:t>AtoN</w:t>
      </w:r>
      <w:r w:rsidRPr="003F05C2">
        <w:t xml:space="preserve"> managed by AMSA. Completion of these two heritage management plans is an action in the </w:t>
      </w:r>
      <w:hyperlink r:id="rId35" w:history="1">
        <w:r w:rsidRPr="003F05C2">
          <w:rPr>
            <w:rStyle w:val="Hyperlink"/>
          </w:rPr>
          <w:t>Reef 2050 Long-term Sustainability Plan</w:t>
        </w:r>
      </w:hyperlink>
      <w:r w:rsidRPr="003F05C2">
        <w:t xml:space="preserve"> (Reef 2050 Plan). </w:t>
      </w:r>
    </w:p>
    <w:p w14:paraId="281BD218" w14:textId="5E34516A" w:rsidR="003F05C2" w:rsidRPr="003F05C2" w:rsidRDefault="003F05C2" w:rsidP="003F05C2">
      <w:pPr>
        <w:pStyle w:val="ListParagraph"/>
      </w:pPr>
      <w:r w:rsidRPr="003F05C2">
        <w:t xml:space="preserve">Prior to 1988, management of the Commonwealth Islands containing lighthouses was the responsibility of AMSA. In 1988, </w:t>
      </w:r>
      <w:r w:rsidR="00F82D4E">
        <w:t>the Authority</w:t>
      </w:r>
      <w:r w:rsidRPr="003F05C2">
        <w:t xml:space="preserve"> increased involvement in the management of the Commonwealth Islands and eventually took ownership of the islands in 2003 and Commonwealth islands were zoned ‘Commonwealth Islands Zone’ under the </w:t>
      </w:r>
      <w:hyperlink r:id="rId36" w:history="1">
        <w:r w:rsidRPr="003F05C2">
          <w:rPr>
            <w:rStyle w:val="Hyperlink"/>
          </w:rPr>
          <w:t>Great Barrier Reef Marine Park Zoning Plan 2003</w:t>
        </w:r>
      </w:hyperlink>
      <w:r w:rsidRPr="003F05C2">
        <w:t xml:space="preserve"> (Zoning Plan).  </w:t>
      </w:r>
    </w:p>
    <w:tbl>
      <w:tblPr>
        <w:tblStyle w:val="TableGrid"/>
        <w:tblW w:w="0" w:type="auto"/>
        <w:tblInd w:w="675" w:type="dxa"/>
        <w:tblLook w:val="04A0" w:firstRow="1" w:lastRow="0" w:firstColumn="1" w:lastColumn="0" w:noHBand="0" w:noVBand="1"/>
        <w:tblCaption w:val="Note box describing the objectives for Commonwealth Islands Zone under the Zoning Plan"/>
        <w:tblDescription w:val="The objectives of Commonwealth Islands Zone under the Zoning Plan are:&#10;(a) to provide for the conservation of areas of the Marine Park above the low water mark;&#10;(b) to provide for the use of the zone by the Commonwealth; and&#10;(c) subject to the objective mentioned in paragraph (a), to provide for facilities and uses consistent with the values of the area.  &#10;"/>
      </w:tblPr>
      <w:tblGrid>
        <w:gridCol w:w="8963"/>
      </w:tblGrid>
      <w:tr w:rsidR="00E96502" w:rsidRPr="00B867FB" w14:paraId="75C445D9" w14:textId="77777777" w:rsidTr="00426FD1">
        <w:trPr>
          <w:tblHeader/>
        </w:trPr>
        <w:tc>
          <w:tcPr>
            <w:tcW w:w="9293" w:type="dxa"/>
            <w:tcBorders>
              <w:top w:val="nil"/>
              <w:left w:val="nil"/>
              <w:bottom w:val="nil"/>
              <w:right w:val="nil"/>
            </w:tcBorders>
            <w:shd w:val="clear" w:color="auto" w:fill="DEEAF6" w:themeFill="accent1" w:themeFillTint="33"/>
          </w:tcPr>
          <w:p w14:paraId="06D971D5" w14:textId="52189753" w:rsidR="00E96502" w:rsidRPr="00E96502" w:rsidRDefault="00E96502" w:rsidP="00E96502">
            <w:pPr>
              <w:rPr>
                <w:color w:val="000000" w:themeColor="text1"/>
                <w:sz w:val="20"/>
                <w:szCs w:val="20"/>
              </w:rPr>
            </w:pPr>
            <w:r w:rsidRPr="00E96502">
              <w:rPr>
                <w:color w:val="000000" w:themeColor="text1"/>
                <w:sz w:val="20"/>
                <w:szCs w:val="20"/>
              </w:rPr>
              <w:t xml:space="preserve">The objectives of Commonwealth Islands Zone </w:t>
            </w:r>
            <w:r>
              <w:rPr>
                <w:color w:val="000000" w:themeColor="text1"/>
                <w:sz w:val="20"/>
                <w:szCs w:val="20"/>
              </w:rPr>
              <w:t xml:space="preserve">under the Zoning Plan </w:t>
            </w:r>
            <w:r w:rsidRPr="00E96502">
              <w:rPr>
                <w:color w:val="000000" w:themeColor="text1"/>
                <w:sz w:val="20"/>
                <w:szCs w:val="20"/>
              </w:rPr>
              <w:t>are:</w:t>
            </w:r>
          </w:p>
          <w:p w14:paraId="5EF0BF69" w14:textId="609BC5F6" w:rsidR="00E96502" w:rsidRDefault="00E96502" w:rsidP="00E96502">
            <w:pPr>
              <w:pStyle w:val="ListParagraph"/>
              <w:numPr>
                <w:ilvl w:val="4"/>
                <w:numId w:val="4"/>
              </w:numPr>
              <w:ind w:left="570"/>
              <w:rPr>
                <w:rFonts w:cs="Times New Roman"/>
                <w:color w:val="000000" w:themeColor="text1"/>
                <w:sz w:val="20"/>
                <w:szCs w:val="20"/>
              </w:rPr>
            </w:pPr>
            <w:r w:rsidRPr="00E96502">
              <w:rPr>
                <w:rFonts w:cs="Times New Roman"/>
                <w:color w:val="000000" w:themeColor="text1"/>
                <w:sz w:val="20"/>
                <w:szCs w:val="20"/>
              </w:rPr>
              <w:t>to provide for the conservation of areas of the Marine Park above the low water mark;</w:t>
            </w:r>
          </w:p>
          <w:p w14:paraId="012F0088" w14:textId="77777777" w:rsidR="00E96502" w:rsidRDefault="00E96502" w:rsidP="00E96502">
            <w:pPr>
              <w:pStyle w:val="ListParagraph"/>
              <w:numPr>
                <w:ilvl w:val="4"/>
                <w:numId w:val="4"/>
              </w:numPr>
              <w:ind w:left="570"/>
              <w:rPr>
                <w:rFonts w:cs="Times New Roman"/>
                <w:color w:val="000000" w:themeColor="text1"/>
                <w:sz w:val="20"/>
                <w:szCs w:val="20"/>
              </w:rPr>
            </w:pPr>
            <w:r w:rsidRPr="00E96502">
              <w:rPr>
                <w:rFonts w:cs="Times New Roman"/>
                <w:color w:val="000000" w:themeColor="text1"/>
                <w:sz w:val="20"/>
                <w:szCs w:val="20"/>
              </w:rPr>
              <w:t>to provide for the use of the zone by the Commonwealth; and</w:t>
            </w:r>
          </w:p>
          <w:p w14:paraId="0055C71D" w14:textId="6DEF5EA5" w:rsidR="00E96502" w:rsidRPr="00E96502" w:rsidRDefault="00E96502" w:rsidP="00E96502">
            <w:pPr>
              <w:pStyle w:val="ListParagraph"/>
              <w:numPr>
                <w:ilvl w:val="4"/>
                <w:numId w:val="4"/>
              </w:numPr>
              <w:ind w:left="570"/>
              <w:rPr>
                <w:rFonts w:cs="Times New Roman"/>
                <w:color w:val="000000" w:themeColor="text1"/>
                <w:sz w:val="20"/>
                <w:szCs w:val="20"/>
              </w:rPr>
            </w:pPr>
            <w:r w:rsidRPr="00E96502">
              <w:rPr>
                <w:rFonts w:cs="Times New Roman"/>
                <w:color w:val="000000" w:themeColor="text1"/>
                <w:sz w:val="20"/>
                <w:szCs w:val="20"/>
              </w:rPr>
              <w:t xml:space="preserve">subject to the objective mentioned in paragraph (a), to provide for facilities and uses consistent with the values of the area.  </w:t>
            </w:r>
          </w:p>
        </w:tc>
      </w:tr>
    </w:tbl>
    <w:p w14:paraId="1B5DF812" w14:textId="77777777" w:rsidR="003F05C2" w:rsidRPr="003F05C2" w:rsidRDefault="003F05C2" w:rsidP="00E96F8F">
      <w:pPr>
        <w:pStyle w:val="ListParagraph"/>
        <w:spacing w:before="240"/>
      </w:pPr>
      <w:r w:rsidRPr="003F05C2">
        <w:t xml:space="preserve">On some Commonwealth Islands, private lease arrangements are in place, usually for tourism related purposes such as Lady Elliot Island and Dent Island. </w:t>
      </w:r>
    </w:p>
    <w:p w14:paraId="7F027B9D" w14:textId="77777777" w:rsidR="003F05C2" w:rsidRPr="003F05C2" w:rsidRDefault="003F05C2" w:rsidP="003F05C2">
      <w:pPr>
        <w:pStyle w:val="ListParagraph"/>
      </w:pPr>
      <w:r w:rsidRPr="003F05C2">
        <w:t xml:space="preserve">The different management arrangements of the four heritage-listed lightstations is as follows: </w:t>
      </w:r>
    </w:p>
    <w:p w14:paraId="1D4D3544" w14:textId="367FFDBE" w:rsidR="003F05C2" w:rsidRPr="003F05C2" w:rsidRDefault="003F05C2" w:rsidP="003F05C2">
      <w:pPr>
        <w:numPr>
          <w:ilvl w:val="1"/>
          <w:numId w:val="9"/>
        </w:numPr>
        <w:spacing w:before="120" w:after="40"/>
        <w:ind w:left="1134" w:hanging="567"/>
        <w:rPr>
          <w:color w:val="000000" w:themeColor="text1"/>
          <w:szCs w:val="21"/>
        </w:rPr>
      </w:pPr>
      <w:r w:rsidRPr="003F05C2">
        <w:rPr>
          <w:color w:val="000000" w:themeColor="text1"/>
          <w:szCs w:val="21"/>
        </w:rPr>
        <w:t xml:space="preserve">Dent Island Lightstation – The site of the lightstation is managed by </w:t>
      </w:r>
      <w:r w:rsidR="00F82D4E">
        <w:rPr>
          <w:color w:val="000000" w:themeColor="text1"/>
          <w:szCs w:val="21"/>
        </w:rPr>
        <w:t>the Authority</w:t>
      </w:r>
      <w:r w:rsidRPr="003F05C2">
        <w:rPr>
          <w:color w:val="000000" w:themeColor="text1"/>
          <w:szCs w:val="21"/>
        </w:rPr>
        <w:t xml:space="preserve">. However, as the lighthouse is a working </w:t>
      </w:r>
      <w:r w:rsidR="00C97694">
        <w:rPr>
          <w:color w:val="000000" w:themeColor="text1"/>
          <w:szCs w:val="21"/>
        </w:rPr>
        <w:t>AtoN</w:t>
      </w:r>
      <w:r w:rsidRPr="003F05C2">
        <w:rPr>
          <w:color w:val="000000" w:themeColor="text1"/>
          <w:szCs w:val="21"/>
        </w:rPr>
        <w:t xml:space="preserve"> the lighthouse itself is managed by AMSA. The Dent Island Lightstation (excluding lighthouse) and Commonwealth portion of the island is leased to a private lessee and has limited public access.</w:t>
      </w:r>
    </w:p>
    <w:p w14:paraId="360135AA" w14:textId="7592062D" w:rsidR="003F05C2" w:rsidRPr="003F05C2" w:rsidRDefault="003F05C2" w:rsidP="003F05C2">
      <w:pPr>
        <w:numPr>
          <w:ilvl w:val="1"/>
          <w:numId w:val="9"/>
        </w:numPr>
        <w:spacing w:before="120" w:after="40"/>
        <w:ind w:left="1134" w:hanging="567"/>
        <w:rPr>
          <w:color w:val="000000" w:themeColor="text1"/>
          <w:szCs w:val="21"/>
        </w:rPr>
      </w:pPr>
      <w:r w:rsidRPr="003F05C2">
        <w:rPr>
          <w:color w:val="000000" w:themeColor="text1"/>
          <w:szCs w:val="21"/>
        </w:rPr>
        <w:t xml:space="preserve">Lady Elliot Island Lightstation – The site of the lightstation is managed by </w:t>
      </w:r>
      <w:r w:rsidR="00F82D4E">
        <w:rPr>
          <w:color w:val="000000" w:themeColor="text1"/>
          <w:szCs w:val="21"/>
        </w:rPr>
        <w:t>the Authority</w:t>
      </w:r>
      <w:r w:rsidRPr="003F05C2">
        <w:rPr>
          <w:color w:val="000000" w:themeColor="text1"/>
          <w:szCs w:val="21"/>
        </w:rPr>
        <w:t xml:space="preserve"> and as the lighthouse is no longer a working </w:t>
      </w:r>
      <w:r w:rsidR="00C97694">
        <w:rPr>
          <w:color w:val="000000" w:themeColor="text1"/>
          <w:szCs w:val="21"/>
        </w:rPr>
        <w:t>AtoN</w:t>
      </w:r>
      <w:r w:rsidR="00A0799F">
        <w:rPr>
          <w:color w:val="000000" w:themeColor="text1"/>
          <w:szCs w:val="21"/>
        </w:rPr>
        <w:t>.</w:t>
      </w:r>
      <w:r w:rsidRPr="003F05C2">
        <w:rPr>
          <w:color w:val="000000" w:themeColor="text1"/>
          <w:szCs w:val="21"/>
        </w:rPr>
        <w:t xml:space="preserve"> </w:t>
      </w:r>
      <w:r w:rsidR="00F82D4E">
        <w:rPr>
          <w:color w:val="000000" w:themeColor="text1"/>
          <w:szCs w:val="21"/>
        </w:rPr>
        <w:t>The Authority</w:t>
      </w:r>
      <w:r w:rsidRPr="003F05C2">
        <w:rPr>
          <w:color w:val="000000" w:themeColor="text1"/>
          <w:szCs w:val="21"/>
        </w:rPr>
        <w:t xml:space="preserve"> also manages the historic lighthouse. However, AMSA manages the modern </w:t>
      </w:r>
      <w:r w:rsidR="00C97694">
        <w:rPr>
          <w:color w:val="000000" w:themeColor="text1"/>
          <w:szCs w:val="21"/>
        </w:rPr>
        <w:t>AtoN</w:t>
      </w:r>
      <w:r w:rsidRPr="003F05C2">
        <w:rPr>
          <w:color w:val="000000" w:themeColor="text1"/>
          <w:szCs w:val="21"/>
        </w:rPr>
        <w:t xml:space="preserve"> installed at the site. The Lady Elliot Island lightstation and island is leased to private lessee and public access is managed by the lessee. </w:t>
      </w:r>
    </w:p>
    <w:p w14:paraId="67748AEE" w14:textId="2DB66A59" w:rsidR="003F05C2" w:rsidRPr="003F05C2" w:rsidRDefault="003F05C2" w:rsidP="003F05C2">
      <w:pPr>
        <w:numPr>
          <w:ilvl w:val="1"/>
          <w:numId w:val="9"/>
        </w:numPr>
        <w:spacing w:before="120" w:after="40"/>
        <w:ind w:left="1134" w:hanging="567"/>
        <w:rPr>
          <w:color w:val="000000" w:themeColor="text1"/>
          <w:szCs w:val="21"/>
        </w:rPr>
      </w:pPr>
      <w:r w:rsidRPr="003F05C2">
        <w:rPr>
          <w:color w:val="000000" w:themeColor="text1"/>
          <w:szCs w:val="21"/>
        </w:rPr>
        <w:t xml:space="preserve">Low Island Lightstation – The site of the lightstation and island is managed by </w:t>
      </w:r>
      <w:r w:rsidR="00F82D4E">
        <w:rPr>
          <w:color w:val="000000" w:themeColor="text1"/>
          <w:szCs w:val="21"/>
        </w:rPr>
        <w:t>the Authority</w:t>
      </w:r>
      <w:r w:rsidRPr="003F05C2">
        <w:rPr>
          <w:color w:val="000000" w:themeColor="text1"/>
          <w:szCs w:val="21"/>
        </w:rPr>
        <w:t xml:space="preserve"> with on-site caretakers. The lighthouse is managed by AMSA as it is a working </w:t>
      </w:r>
      <w:r w:rsidR="00C97694">
        <w:rPr>
          <w:color w:val="000000" w:themeColor="text1"/>
          <w:szCs w:val="21"/>
        </w:rPr>
        <w:t>AtoN</w:t>
      </w:r>
      <w:r w:rsidRPr="003F05C2">
        <w:rPr>
          <w:color w:val="000000" w:themeColor="text1"/>
          <w:szCs w:val="21"/>
        </w:rPr>
        <w:t xml:space="preserve">. Researchers holding Marine Parks permissions </w:t>
      </w:r>
      <w:r w:rsidR="00E12B7A">
        <w:rPr>
          <w:color w:val="000000" w:themeColor="text1"/>
          <w:szCs w:val="21"/>
        </w:rPr>
        <w:t>to carry out research at Low Isles Commonwealth Islands Zone and/or the adjoining</w:t>
      </w:r>
      <w:r w:rsidR="00207B61">
        <w:rPr>
          <w:color w:val="000000" w:themeColor="text1"/>
          <w:szCs w:val="21"/>
        </w:rPr>
        <w:t xml:space="preserve"> Green Zone</w:t>
      </w:r>
      <w:r w:rsidR="00E12B7A">
        <w:rPr>
          <w:color w:val="000000" w:themeColor="text1"/>
          <w:szCs w:val="21"/>
        </w:rPr>
        <w:t xml:space="preserve"> </w:t>
      </w:r>
      <w:r w:rsidRPr="003F05C2">
        <w:rPr>
          <w:color w:val="000000" w:themeColor="text1"/>
          <w:szCs w:val="21"/>
        </w:rPr>
        <w:t>are able to apply</w:t>
      </w:r>
      <w:r w:rsidR="00E12B7A">
        <w:rPr>
          <w:color w:val="000000" w:themeColor="text1"/>
          <w:szCs w:val="21"/>
        </w:rPr>
        <w:t>,</w:t>
      </w:r>
      <w:r w:rsidRPr="003F05C2">
        <w:rPr>
          <w:color w:val="000000" w:themeColor="text1"/>
          <w:szCs w:val="21"/>
        </w:rPr>
        <w:t xml:space="preserve"> </w:t>
      </w:r>
      <w:r w:rsidR="00E12B7A">
        <w:rPr>
          <w:color w:val="000000" w:themeColor="text1"/>
          <w:szCs w:val="21"/>
        </w:rPr>
        <w:t xml:space="preserve">through </w:t>
      </w:r>
      <w:r w:rsidR="00F82D4E">
        <w:rPr>
          <w:color w:val="000000" w:themeColor="text1"/>
          <w:szCs w:val="21"/>
        </w:rPr>
        <w:t>the Authority</w:t>
      </w:r>
      <w:r w:rsidR="00E12B7A">
        <w:rPr>
          <w:color w:val="000000" w:themeColor="text1"/>
          <w:szCs w:val="21"/>
        </w:rPr>
        <w:t xml:space="preserve">, </w:t>
      </w:r>
      <w:r w:rsidRPr="003F05C2">
        <w:rPr>
          <w:color w:val="000000" w:themeColor="text1"/>
          <w:szCs w:val="21"/>
        </w:rPr>
        <w:t>to use the Research House as accommodation when carrying out research at Low Isles</w:t>
      </w:r>
      <w:r w:rsidR="00E12B7A">
        <w:rPr>
          <w:color w:val="000000" w:themeColor="text1"/>
          <w:szCs w:val="21"/>
        </w:rPr>
        <w:t xml:space="preserve"> (a standard agreement and fees apply)</w:t>
      </w:r>
      <w:r w:rsidRPr="003F05C2">
        <w:rPr>
          <w:color w:val="000000" w:themeColor="text1"/>
          <w:szCs w:val="21"/>
        </w:rPr>
        <w:t xml:space="preserve">. Public access to the other lightstation buildings is not authorised apart from the old power house which contains a small ‘museum’ that the public may access. </w:t>
      </w:r>
    </w:p>
    <w:p w14:paraId="7D02B3EF" w14:textId="5A8D1BB9" w:rsidR="003F05C2" w:rsidRDefault="003F05C2" w:rsidP="003F05C2">
      <w:pPr>
        <w:numPr>
          <w:ilvl w:val="1"/>
          <w:numId w:val="9"/>
        </w:numPr>
        <w:spacing w:before="120" w:after="40"/>
        <w:ind w:left="1134" w:hanging="567"/>
        <w:rPr>
          <w:color w:val="000000" w:themeColor="text1"/>
          <w:szCs w:val="21"/>
        </w:rPr>
      </w:pPr>
      <w:r w:rsidRPr="003F05C2">
        <w:rPr>
          <w:color w:val="000000" w:themeColor="text1"/>
          <w:szCs w:val="21"/>
        </w:rPr>
        <w:t xml:space="preserve">North Reef Lighthouse – Is a working lighthouse and is managed by AMSA. </w:t>
      </w:r>
    </w:p>
    <w:p w14:paraId="7F29FC5C" w14:textId="77777777" w:rsidR="00302ECD" w:rsidRPr="003F05C2" w:rsidRDefault="00302ECD" w:rsidP="00302ECD">
      <w:pPr>
        <w:spacing w:before="120" w:after="40"/>
        <w:ind w:left="1134"/>
        <w:rPr>
          <w:color w:val="000000" w:themeColor="text1"/>
          <w:szCs w:val="21"/>
        </w:rPr>
      </w:pPr>
    </w:p>
    <w:p w14:paraId="6BBDD21B" w14:textId="71F3A190" w:rsidR="003F05C2" w:rsidRPr="003F05C2" w:rsidRDefault="003F05C2" w:rsidP="003F05C2">
      <w:pPr>
        <w:pStyle w:val="ListParagraph"/>
      </w:pPr>
      <w:r w:rsidRPr="003F05C2">
        <w:t xml:space="preserve">In the Marine Park, </w:t>
      </w:r>
      <w:r w:rsidR="00F82D4E">
        <w:rPr>
          <w:color w:val="000000" w:themeColor="text1"/>
        </w:rPr>
        <w:t>the Authority</w:t>
      </w:r>
      <w:r w:rsidR="00511FED">
        <w:t xml:space="preserve"> </w:t>
      </w:r>
      <w:r w:rsidR="00C35BC8">
        <w:t xml:space="preserve">on behalf of the Commonwealth directly </w:t>
      </w:r>
      <w:r w:rsidR="00C97694">
        <w:t xml:space="preserve">manages </w:t>
      </w:r>
      <w:r w:rsidR="00C35BC8">
        <w:t xml:space="preserve">21 of </w:t>
      </w:r>
      <w:r w:rsidR="00C97694">
        <w:t xml:space="preserve">the </w:t>
      </w:r>
      <w:r w:rsidR="00511FED">
        <w:t xml:space="preserve">70 </w:t>
      </w:r>
      <w:r w:rsidR="00C97694">
        <w:t>Commonwealth Island</w:t>
      </w:r>
      <w:r w:rsidR="00C35BC8">
        <w:t>s</w:t>
      </w:r>
      <w:r w:rsidR="00511FED">
        <w:t xml:space="preserve"> where </w:t>
      </w:r>
      <w:r w:rsidR="00F82D4E" w:rsidRPr="00F82D4E">
        <w:rPr>
          <w:color w:val="000000" w:themeColor="text1"/>
        </w:rPr>
        <w:t>the Authority</w:t>
      </w:r>
      <w:r w:rsidR="00511FED">
        <w:t xml:space="preserve"> holds the land title</w:t>
      </w:r>
      <w:r w:rsidR="00C35BC8">
        <w:t xml:space="preserve">. </w:t>
      </w:r>
      <w:r w:rsidR="00511FED">
        <w:t xml:space="preserve">Noting that all of the 70 Commonwealth Islands are in Commonwealth Islands Zones under </w:t>
      </w:r>
      <w:r w:rsidR="00511FED" w:rsidRPr="00C145AF">
        <w:t>the Zoning Plan. Twe</w:t>
      </w:r>
      <w:r w:rsidR="00511FED">
        <w:t xml:space="preserve">nty of the 21 Commonwealth Islands have </w:t>
      </w:r>
      <w:r w:rsidR="009566E6">
        <w:t>AtoN</w:t>
      </w:r>
      <w:r w:rsidR="00207B61">
        <w:t>s</w:t>
      </w:r>
      <w:r w:rsidR="009566E6">
        <w:t xml:space="preserve">. </w:t>
      </w:r>
      <w:r w:rsidR="00511FED">
        <w:t xml:space="preserve">Working </w:t>
      </w:r>
      <w:r w:rsidR="00C97694">
        <w:t>AtoN</w:t>
      </w:r>
      <w:r w:rsidR="00207B61">
        <w:t>s</w:t>
      </w:r>
      <w:r w:rsidRPr="003F05C2">
        <w:t xml:space="preserve"> are the property of AMSA</w:t>
      </w:r>
      <w:r w:rsidR="00511FED">
        <w:t xml:space="preserve"> and they</w:t>
      </w:r>
      <w:r w:rsidRPr="003F05C2">
        <w:t xml:space="preserve"> lease back the relevant portion of land from </w:t>
      </w:r>
      <w:r w:rsidR="00F82D4E">
        <w:rPr>
          <w:color w:val="000000" w:themeColor="text1"/>
        </w:rPr>
        <w:t>the Authority</w:t>
      </w:r>
      <w:r w:rsidR="00F41496">
        <w:t>.</w:t>
      </w:r>
      <w:r w:rsidRPr="003F05C2">
        <w:t xml:space="preserve"> In accordance with the leases, the </w:t>
      </w:r>
      <w:r w:rsidR="00C97694">
        <w:t>AtoN</w:t>
      </w:r>
      <w:r w:rsidRPr="003F05C2">
        <w:t xml:space="preserve"> structure within the lease area remains the property of the lessee. Under Part 5.2 of the Zoning Plan, </w:t>
      </w:r>
      <w:r w:rsidR="00F82D4E">
        <w:rPr>
          <w:color w:val="000000" w:themeColor="text1"/>
        </w:rPr>
        <w:t>the Authority</w:t>
      </w:r>
      <w:r w:rsidRPr="003F05C2">
        <w:t xml:space="preserve"> has provision to give direction </w:t>
      </w:r>
      <w:r w:rsidR="00875D1D">
        <w:t xml:space="preserve">to AMSA regarding how activities are carried out </w:t>
      </w:r>
      <w:r w:rsidRPr="003F05C2">
        <w:t xml:space="preserve">to ensure </w:t>
      </w:r>
      <w:r w:rsidR="00B66262">
        <w:t xml:space="preserve">they </w:t>
      </w:r>
      <w:r w:rsidRPr="003F05C2">
        <w:t xml:space="preserve">do not impact </w:t>
      </w:r>
      <w:r w:rsidR="00875D1D">
        <w:t xml:space="preserve">on </w:t>
      </w:r>
      <w:r w:rsidRPr="003F05C2">
        <w:t xml:space="preserve">the </w:t>
      </w:r>
      <w:r w:rsidR="00875D1D">
        <w:t>values of the Commonwealth Island</w:t>
      </w:r>
      <w:r w:rsidRPr="003F05C2">
        <w:t xml:space="preserve">. </w:t>
      </w:r>
    </w:p>
    <w:p w14:paraId="6C32406E" w14:textId="07E23401" w:rsidR="003F05C2" w:rsidRPr="003F05C2" w:rsidRDefault="004A1DD3" w:rsidP="00302ECD">
      <w:pPr>
        <w:pStyle w:val="ListParagraph"/>
      </w:pPr>
      <w:r>
        <w:t>As previously mentioned, t</w:t>
      </w:r>
      <w:r w:rsidR="003F05C2" w:rsidRPr="003F05C2">
        <w:t xml:space="preserve">he </w:t>
      </w:r>
      <w:hyperlink r:id="rId37" w:history="1">
        <w:r w:rsidR="003F05C2" w:rsidRPr="00034C51">
          <w:rPr>
            <w:rStyle w:val="Hyperlink"/>
            <w:i/>
          </w:rPr>
          <w:t>Queensland Heritage Act 1992</w:t>
        </w:r>
      </w:hyperlink>
      <w:r w:rsidR="003F05C2" w:rsidRPr="003F05C2">
        <w:rPr>
          <w:i/>
        </w:rPr>
        <w:t xml:space="preserve"> </w:t>
      </w:r>
      <w:r w:rsidR="003F05C2" w:rsidRPr="003F05C2">
        <w:t xml:space="preserve">protects </w:t>
      </w:r>
      <w:r>
        <w:t xml:space="preserve">the </w:t>
      </w:r>
      <w:r w:rsidR="003F05C2" w:rsidRPr="00C145AF">
        <w:t xml:space="preserve">two </w:t>
      </w:r>
      <w:r w:rsidR="00C145AF" w:rsidRPr="00C145AF">
        <w:t>s</w:t>
      </w:r>
      <w:r w:rsidR="00B66262" w:rsidRPr="00C145AF">
        <w:t xml:space="preserve">tate </w:t>
      </w:r>
      <w:r w:rsidR="003F05C2" w:rsidRPr="00C145AF">
        <w:t>heritage</w:t>
      </w:r>
      <w:r w:rsidR="003F05C2" w:rsidRPr="003F05C2">
        <w:t xml:space="preserve">-listed lightstations </w:t>
      </w:r>
      <w:r>
        <w:t>(</w:t>
      </w:r>
      <w:r w:rsidRPr="003F05C2">
        <w:t xml:space="preserve">Cape Capricorn Lightstation </w:t>
      </w:r>
      <w:r>
        <w:t xml:space="preserve">and </w:t>
      </w:r>
      <w:r w:rsidRPr="003F05C2">
        <w:t>Little Sea Hill Lightstation</w:t>
      </w:r>
      <w:r>
        <w:t xml:space="preserve">) </w:t>
      </w:r>
      <w:r w:rsidR="003F05C2" w:rsidRPr="003F05C2">
        <w:t xml:space="preserve">and </w:t>
      </w:r>
      <w:r>
        <w:t xml:space="preserve">the </w:t>
      </w:r>
      <w:r w:rsidR="003F05C2" w:rsidRPr="003F05C2">
        <w:t>one state heritage</w:t>
      </w:r>
      <w:r w:rsidR="003F05C2" w:rsidRPr="003F05C2">
        <w:noBreakHyphen/>
        <w:t xml:space="preserve">listed </w:t>
      </w:r>
      <w:r w:rsidR="00C97694">
        <w:t>AtoN</w:t>
      </w:r>
      <w:r w:rsidR="003F05C2" w:rsidRPr="003F05C2">
        <w:t xml:space="preserve"> </w:t>
      </w:r>
      <w:r>
        <w:t>(</w:t>
      </w:r>
      <w:r w:rsidRPr="003F05C2">
        <w:t>Raine Island Beacon</w:t>
      </w:r>
      <w:r>
        <w:t>)</w:t>
      </w:r>
      <w:r w:rsidRPr="003F05C2">
        <w:t xml:space="preserve"> </w:t>
      </w:r>
      <w:r w:rsidR="003F05C2" w:rsidRPr="003F05C2">
        <w:t xml:space="preserve">on state managed islands in the GBRWHA. </w:t>
      </w:r>
    </w:p>
    <w:p w14:paraId="3C882BF8" w14:textId="562AB666" w:rsidR="003F05C2" w:rsidRPr="00CD18C7" w:rsidRDefault="003F05C2" w:rsidP="00CC74C9">
      <w:pPr>
        <w:pStyle w:val="BodyTextNumbering"/>
        <w:numPr>
          <w:ilvl w:val="0"/>
          <w:numId w:val="11"/>
        </w:numPr>
        <w:spacing w:before="120"/>
        <w:rPr>
          <w:sz w:val="21"/>
          <w:szCs w:val="21"/>
        </w:rPr>
      </w:pPr>
      <w:r w:rsidRPr="00C145AF">
        <w:rPr>
          <w:sz w:val="21"/>
          <w:szCs w:val="21"/>
        </w:rPr>
        <w:t>Raine Island</w:t>
      </w:r>
      <w:r w:rsidRPr="00C145AF">
        <w:rPr>
          <w:rFonts w:cs="Arial"/>
          <w:sz w:val="21"/>
          <w:szCs w:val="21"/>
          <w:lang w:val="en"/>
        </w:rPr>
        <w:t xml:space="preserve"> along</w:t>
      </w:r>
      <w:r w:rsidRPr="004A1DD3">
        <w:rPr>
          <w:rFonts w:cs="Arial"/>
          <w:sz w:val="21"/>
          <w:szCs w:val="21"/>
          <w:lang w:val="en"/>
        </w:rPr>
        <w:t xml:space="preserve"> with Moulter and MacLennan Cays make up the Raine Island National Park (Scientific), which is protected under Queensland’s </w:t>
      </w:r>
      <w:hyperlink r:id="rId38" w:tgtFrame="_blank" w:history="1">
        <w:r w:rsidRPr="004A1DD3">
          <w:rPr>
            <w:rStyle w:val="Hyperlink"/>
            <w:rFonts w:cs="Arial"/>
            <w:i/>
            <w:iCs/>
            <w:sz w:val="21"/>
            <w:szCs w:val="21"/>
            <w:lang w:val="en"/>
          </w:rPr>
          <w:t>Nature Conservation Act 1992</w:t>
        </w:r>
      </w:hyperlink>
      <w:r w:rsidRPr="004A1DD3">
        <w:rPr>
          <w:rFonts w:cs="Arial"/>
          <w:sz w:val="21"/>
          <w:szCs w:val="21"/>
          <w:lang w:val="en"/>
        </w:rPr>
        <w:t xml:space="preserve"> as this area is widely known for the abundance of marine turtles and seabirds that use the islands for nesting.</w:t>
      </w:r>
    </w:p>
    <w:p w14:paraId="4F0BAC4C" w14:textId="77777777" w:rsidR="003F05C2" w:rsidRPr="003F05C2" w:rsidRDefault="003F05C2" w:rsidP="003F05C2">
      <w:pPr>
        <w:pStyle w:val="BodyTextNumbering"/>
        <w:numPr>
          <w:ilvl w:val="0"/>
          <w:numId w:val="11"/>
        </w:numPr>
        <w:rPr>
          <w:sz w:val="21"/>
          <w:szCs w:val="21"/>
        </w:rPr>
      </w:pPr>
      <w:r w:rsidRPr="003F05C2">
        <w:rPr>
          <w:rFonts w:cs="Arial"/>
          <w:sz w:val="21"/>
          <w:szCs w:val="21"/>
        </w:rPr>
        <w:t>In addition to heritage management plans which provide for the future management of individual sites, there are a number of management tools used to protect and manage impacts to historic heritage values generally, including:</w:t>
      </w:r>
    </w:p>
    <w:p w14:paraId="0DDDCC55" w14:textId="7B91F7BF" w:rsidR="003F05C2" w:rsidRPr="003F05C2" w:rsidRDefault="00EC30B8" w:rsidP="003F05C2">
      <w:pPr>
        <w:numPr>
          <w:ilvl w:val="1"/>
          <w:numId w:val="10"/>
        </w:numPr>
        <w:spacing w:before="120" w:after="40"/>
        <w:rPr>
          <w:rFonts w:cs="Arial"/>
          <w:szCs w:val="21"/>
        </w:rPr>
      </w:pPr>
      <w:hyperlink r:id="rId39" w:history="1">
        <w:r w:rsidR="003F05C2" w:rsidRPr="003F05C2">
          <w:rPr>
            <w:rStyle w:val="Hyperlink"/>
            <w:rFonts w:cs="Arial"/>
            <w:szCs w:val="21"/>
          </w:rPr>
          <w:t>Plans of Management</w:t>
        </w:r>
      </w:hyperlink>
      <w:r w:rsidR="003F05C2" w:rsidRPr="003F05C2">
        <w:rPr>
          <w:rFonts w:cs="Arial"/>
          <w:szCs w:val="21"/>
        </w:rPr>
        <w:t xml:space="preserve"> are statutory plans used primarily for managing human uses in popular recreation or tourism areas. They seek to protect biodiversity and heritage but also to manage competing uses. For example, Low Isles is located offshore from Port Douglas and is a popular destination for tourists and locals and the pressures at this fragile site are managed through the </w:t>
      </w:r>
      <w:hyperlink r:id="rId40" w:history="1">
        <w:r w:rsidR="003F05C2" w:rsidRPr="003F05C2">
          <w:rPr>
            <w:rStyle w:val="Hyperlink"/>
            <w:rFonts w:cs="Arial"/>
            <w:szCs w:val="21"/>
          </w:rPr>
          <w:t>Cairns Area Plan of Management</w:t>
        </w:r>
      </w:hyperlink>
      <w:r w:rsidR="003F05C2" w:rsidRPr="003F05C2">
        <w:rPr>
          <w:rFonts w:cs="Arial"/>
          <w:szCs w:val="21"/>
        </w:rPr>
        <w:t>. The area around Low Island and the lagoon area is referred to as the Low Island Locality and is managed as a Sensitive Location which is identified as having special values (nature conservation, cultural and heritage, scientific or use values).</w:t>
      </w:r>
    </w:p>
    <w:p w14:paraId="10F4A1DD" w14:textId="05E14C34" w:rsidR="003F05C2" w:rsidRPr="003F05C2" w:rsidRDefault="00EC30B8" w:rsidP="003F05C2">
      <w:pPr>
        <w:numPr>
          <w:ilvl w:val="1"/>
          <w:numId w:val="10"/>
        </w:numPr>
        <w:spacing w:before="120" w:after="40"/>
        <w:rPr>
          <w:rFonts w:cs="Arial"/>
          <w:szCs w:val="21"/>
        </w:rPr>
      </w:pPr>
      <w:hyperlink r:id="rId41" w:history="1">
        <w:r w:rsidR="003F05C2" w:rsidRPr="003F05C2">
          <w:rPr>
            <w:rStyle w:val="Hyperlink"/>
            <w:rFonts w:cs="Arial"/>
            <w:szCs w:val="21"/>
          </w:rPr>
          <w:t>Special Management Areas</w:t>
        </w:r>
      </w:hyperlink>
      <w:r w:rsidR="003F05C2" w:rsidRPr="003F05C2">
        <w:rPr>
          <w:rFonts w:cs="Arial"/>
          <w:szCs w:val="21"/>
        </w:rPr>
        <w:t xml:space="preserve"> (SMA) are designated for a number of reasons, including public appreciation which limits activities that can </w:t>
      </w:r>
      <w:r w:rsidR="00A0799F">
        <w:rPr>
          <w:rFonts w:cs="Arial"/>
          <w:szCs w:val="21"/>
        </w:rPr>
        <w:t>occur</w:t>
      </w:r>
      <w:r w:rsidR="003F05C2" w:rsidRPr="003F05C2">
        <w:rPr>
          <w:rFonts w:cs="Arial"/>
          <w:szCs w:val="21"/>
        </w:rPr>
        <w:t xml:space="preserve"> in those areas. For example, there is a Restricted Access SMA extending from high water out to 500m from Raine Island, Moulter Cay Reef and MacLennan Cay Reef. </w:t>
      </w:r>
      <w:r w:rsidR="003F05C2" w:rsidRPr="003F05C2">
        <w:rPr>
          <w:rFonts w:cs="Arial"/>
          <w:szCs w:val="21"/>
          <w:lang w:val="en"/>
        </w:rPr>
        <w:t>The Restricted Access SMA also extend vertically to a height of 915 metres.</w:t>
      </w:r>
      <w:r w:rsidR="003F05C2" w:rsidRPr="003F05C2">
        <w:rPr>
          <w:rFonts w:cs="Arial"/>
          <w:szCs w:val="21"/>
        </w:rPr>
        <w:t xml:space="preserve"> </w:t>
      </w:r>
    </w:p>
    <w:p w14:paraId="13F24B9E" w14:textId="18871B61" w:rsidR="003F05C2" w:rsidRPr="003F05C2" w:rsidRDefault="003F05C2" w:rsidP="00CC74C9">
      <w:pPr>
        <w:numPr>
          <w:ilvl w:val="0"/>
          <w:numId w:val="12"/>
        </w:numPr>
        <w:spacing w:before="120" w:after="40"/>
        <w:rPr>
          <w:rFonts w:cs="Arial"/>
          <w:szCs w:val="21"/>
        </w:rPr>
      </w:pPr>
      <w:r w:rsidRPr="003F05C2">
        <w:rPr>
          <w:rFonts w:cs="Arial"/>
          <w:szCs w:val="21"/>
        </w:rPr>
        <w:t xml:space="preserve">The </w:t>
      </w:r>
      <w:hyperlink r:id="rId42" w:history="1">
        <w:r w:rsidRPr="003F05C2">
          <w:rPr>
            <w:rStyle w:val="Hyperlink"/>
            <w:rFonts w:cs="Arial"/>
            <w:szCs w:val="21"/>
          </w:rPr>
          <w:t>Location-specific assessment guidelines</w:t>
        </w:r>
      </w:hyperlink>
      <w:r w:rsidRPr="003F05C2">
        <w:rPr>
          <w:rFonts w:cs="Arial"/>
          <w:szCs w:val="21"/>
        </w:rPr>
        <w:t xml:space="preserve"> provide more information about Plans of Management and Special Management Areas.</w:t>
      </w:r>
    </w:p>
    <w:p w14:paraId="514BA5F1" w14:textId="5671601F" w:rsidR="003F05C2" w:rsidRPr="003F05C2" w:rsidRDefault="003F05C2" w:rsidP="003F05C2">
      <w:pPr>
        <w:numPr>
          <w:ilvl w:val="0"/>
          <w:numId w:val="12"/>
        </w:numPr>
        <w:spacing w:before="120" w:after="40"/>
        <w:rPr>
          <w:rFonts w:cs="Arial"/>
          <w:szCs w:val="21"/>
        </w:rPr>
      </w:pPr>
      <w:r w:rsidRPr="003F05C2">
        <w:rPr>
          <w:color w:val="000000" w:themeColor="text1"/>
          <w:szCs w:val="21"/>
        </w:rPr>
        <w:t xml:space="preserve">Currently, historic </w:t>
      </w:r>
      <w:r w:rsidR="00034C51">
        <w:rPr>
          <w:color w:val="000000" w:themeColor="text1"/>
          <w:szCs w:val="21"/>
        </w:rPr>
        <w:t>AtoN</w:t>
      </w:r>
      <w:r w:rsidR="006B2103">
        <w:rPr>
          <w:color w:val="000000" w:themeColor="text1"/>
          <w:szCs w:val="21"/>
        </w:rPr>
        <w:t>s</w:t>
      </w:r>
      <w:r w:rsidRPr="003F05C2">
        <w:rPr>
          <w:color w:val="000000" w:themeColor="text1"/>
          <w:szCs w:val="21"/>
        </w:rPr>
        <w:t xml:space="preserve"> where maintenance costs become excessive are often</w:t>
      </w:r>
      <w:r w:rsidRPr="003F05C2">
        <w:rPr>
          <w:rFonts w:cs="Arial"/>
          <w:szCs w:val="21"/>
        </w:rPr>
        <w:t xml:space="preserve"> replaced with modernised structures and instruments. Disused historic </w:t>
      </w:r>
      <w:r w:rsidR="006B2103">
        <w:rPr>
          <w:rFonts w:cs="Arial"/>
          <w:szCs w:val="21"/>
        </w:rPr>
        <w:t>AtoN</w:t>
      </w:r>
      <w:r w:rsidRPr="003F05C2">
        <w:rPr>
          <w:rFonts w:cs="Arial"/>
          <w:szCs w:val="21"/>
        </w:rPr>
        <w:t xml:space="preserve"> that are not Commonwealth heritage listed are not required to be conserved and thus are vulnerable to damage or removal.  </w:t>
      </w:r>
    </w:p>
    <w:p w14:paraId="5E29FB92" w14:textId="77777777" w:rsidR="003F05C2" w:rsidRPr="003F05C2" w:rsidRDefault="003F05C2" w:rsidP="001E7E05">
      <w:pPr>
        <w:pStyle w:val="Heading3"/>
      </w:pPr>
      <w:r w:rsidRPr="003F05C2">
        <w:t xml:space="preserve">Policy </w:t>
      </w:r>
    </w:p>
    <w:p w14:paraId="0BA4F4E5" w14:textId="31CE7192" w:rsidR="003F05C2" w:rsidRPr="003F05C2" w:rsidRDefault="003F05C2" w:rsidP="003F05C2">
      <w:pPr>
        <w:pStyle w:val="BodyTextNumbering"/>
        <w:numPr>
          <w:ilvl w:val="0"/>
          <w:numId w:val="12"/>
        </w:numPr>
        <w:rPr>
          <w:sz w:val="21"/>
          <w:szCs w:val="21"/>
        </w:rPr>
      </w:pPr>
      <w:r w:rsidRPr="003F05C2">
        <w:rPr>
          <w:sz w:val="21"/>
          <w:szCs w:val="21"/>
        </w:rPr>
        <w:t xml:space="preserve">The </w:t>
      </w:r>
      <w:hyperlink r:id="rId43" w:history="1">
        <w:r w:rsidRPr="003F05C2">
          <w:rPr>
            <w:rStyle w:val="Hyperlink"/>
            <w:sz w:val="21"/>
            <w:szCs w:val="21"/>
          </w:rPr>
          <w:t>Great Barrier Reef Marine Park Commonwealth Heritage Listed Places and Properties Heritage Strategy 2018-2021</w:t>
        </w:r>
      </w:hyperlink>
      <w:r w:rsidRPr="003F05C2">
        <w:rPr>
          <w:sz w:val="21"/>
          <w:szCs w:val="21"/>
        </w:rPr>
        <w:t xml:space="preserve"> </w:t>
      </w:r>
      <w:r w:rsidRPr="003F05C2">
        <w:rPr>
          <w:rFonts w:cs="Arial"/>
          <w:color w:val="333333"/>
          <w:sz w:val="21"/>
          <w:szCs w:val="21"/>
          <w:lang w:val="en"/>
        </w:rPr>
        <w:t xml:space="preserve">defines heritage and describes the Commonwealth Heritage listed lightstations as well as how the heritage is managed and monitored. It is a requirement under the EPBC Act to provide a strategy, as well as a heritage register and heritage management plans for properties and places listed on the Commonwealth Heritage List. </w:t>
      </w:r>
    </w:p>
    <w:p w14:paraId="5253BB66" w14:textId="77777777" w:rsidR="003F05C2" w:rsidRPr="003F05C2" w:rsidRDefault="003F05C2" w:rsidP="001E7E05">
      <w:pPr>
        <w:pStyle w:val="Heading2"/>
      </w:pPr>
      <w:r w:rsidRPr="003F05C2">
        <w:t>Management Objectives</w:t>
      </w:r>
    </w:p>
    <w:p w14:paraId="71491975" w14:textId="2F3C3BFA" w:rsidR="003F05C2" w:rsidRPr="003F05C2" w:rsidRDefault="003F05C2" w:rsidP="003F05C2">
      <w:pPr>
        <w:pStyle w:val="BodyTextNumbering"/>
        <w:numPr>
          <w:ilvl w:val="0"/>
          <w:numId w:val="12"/>
        </w:numPr>
        <w:rPr>
          <w:sz w:val="21"/>
          <w:szCs w:val="21"/>
        </w:rPr>
      </w:pPr>
      <w:r w:rsidRPr="003F05C2">
        <w:rPr>
          <w:rFonts w:cs="Arial"/>
          <w:sz w:val="21"/>
          <w:szCs w:val="21"/>
        </w:rPr>
        <w:t xml:space="preserve">The </w:t>
      </w:r>
      <w:hyperlink r:id="rId44" w:history="1">
        <w:r w:rsidRPr="003F05C2">
          <w:rPr>
            <w:rStyle w:val="Hyperlink"/>
            <w:rFonts w:cs="Arial"/>
            <w:sz w:val="21"/>
            <w:szCs w:val="21"/>
          </w:rPr>
          <w:t>Reef 2050</w:t>
        </w:r>
      </w:hyperlink>
      <w:r w:rsidRPr="003F05C2">
        <w:rPr>
          <w:rStyle w:val="Hyperlink"/>
          <w:rFonts w:cs="Arial"/>
          <w:sz w:val="21"/>
          <w:szCs w:val="21"/>
        </w:rPr>
        <w:t xml:space="preserve"> Plan</w:t>
      </w:r>
      <w:r w:rsidRPr="003F05C2">
        <w:rPr>
          <w:rFonts w:cs="Arial"/>
          <w:sz w:val="21"/>
          <w:szCs w:val="21"/>
        </w:rPr>
        <w:t xml:space="preserve"> explains how </w:t>
      </w:r>
      <w:r w:rsidR="00F82D4E" w:rsidRPr="00F82D4E">
        <w:rPr>
          <w:rFonts w:cs="Arial"/>
          <w:sz w:val="21"/>
          <w:szCs w:val="21"/>
        </w:rPr>
        <w:t>the Authority</w:t>
      </w:r>
      <w:r w:rsidR="00AB610C">
        <w:rPr>
          <w:rFonts w:cs="Arial"/>
          <w:sz w:val="21"/>
          <w:szCs w:val="21"/>
        </w:rPr>
        <w:t>, the Commonwealth</w:t>
      </w:r>
      <w:r w:rsidRPr="003F05C2">
        <w:rPr>
          <w:rFonts w:cs="Arial"/>
          <w:sz w:val="21"/>
          <w:szCs w:val="21"/>
        </w:rPr>
        <w:t xml:space="preserve"> </w:t>
      </w:r>
      <w:r w:rsidR="00AB610C">
        <w:rPr>
          <w:rFonts w:cs="Arial"/>
          <w:sz w:val="21"/>
          <w:szCs w:val="21"/>
        </w:rPr>
        <w:t xml:space="preserve">Government </w:t>
      </w:r>
      <w:r w:rsidRPr="003F05C2">
        <w:rPr>
          <w:rFonts w:cs="Arial"/>
          <w:sz w:val="21"/>
          <w:szCs w:val="21"/>
        </w:rPr>
        <w:t xml:space="preserve">and the Queensland Government will respond to the challenges facing the Great Barrier Reef and contains a number of actions relevant to historic heritage. The Reef 2050 Plan addresses the findings of the Outlook Report and builds on the Strategic Assessment. </w:t>
      </w:r>
    </w:p>
    <w:p w14:paraId="1C62A2CE" w14:textId="571E0887" w:rsidR="003F05C2" w:rsidRPr="003F05C2" w:rsidRDefault="003F05C2" w:rsidP="003F05C2">
      <w:pPr>
        <w:pStyle w:val="BodyTextNumbering"/>
        <w:numPr>
          <w:ilvl w:val="0"/>
          <w:numId w:val="12"/>
        </w:numPr>
        <w:spacing w:before="120"/>
        <w:rPr>
          <w:color w:val="0563C1" w:themeColor="hyperlink"/>
          <w:sz w:val="21"/>
          <w:szCs w:val="21"/>
          <w:u w:val="single"/>
        </w:rPr>
      </w:pPr>
      <w:r w:rsidRPr="003F05C2">
        <w:rPr>
          <w:sz w:val="21"/>
          <w:szCs w:val="21"/>
        </w:rPr>
        <w:t xml:space="preserve">The values of the </w:t>
      </w:r>
      <w:r w:rsidR="0013354F">
        <w:rPr>
          <w:sz w:val="21"/>
          <w:szCs w:val="21"/>
        </w:rPr>
        <w:t>Great Barrier Reef Region</w:t>
      </w:r>
      <w:r w:rsidRPr="003F05C2">
        <w:rPr>
          <w:sz w:val="21"/>
          <w:szCs w:val="21"/>
        </w:rPr>
        <w:t>, their integrity and their current condition are described in the Outlook Report</w:t>
      </w:r>
      <w:r w:rsidR="00C94F74">
        <w:rPr>
          <w:sz w:val="21"/>
          <w:szCs w:val="21"/>
        </w:rPr>
        <w:t xml:space="preserve"> 2019 and the assessment summary of Commonwealth lightstations and other lightstations and lighthouses </w:t>
      </w:r>
      <w:r w:rsidR="0081739B">
        <w:rPr>
          <w:sz w:val="21"/>
          <w:szCs w:val="21"/>
        </w:rPr>
        <w:t>are</w:t>
      </w:r>
      <w:r w:rsidR="00C94F74">
        <w:rPr>
          <w:sz w:val="21"/>
          <w:szCs w:val="21"/>
        </w:rPr>
        <w:t xml:space="preserve"> shown in Table 1</w:t>
      </w:r>
      <w:r w:rsidRPr="003F05C2">
        <w:rPr>
          <w:sz w:val="21"/>
          <w:szCs w:val="21"/>
        </w:rPr>
        <w:t xml:space="preserve">. </w:t>
      </w:r>
      <w:r w:rsidR="00190A17">
        <w:rPr>
          <w:sz w:val="21"/>
          <w:szCs w:val="21"/>
        </w:rPr>
        <w:t>N</w:t>
      </w:r>
      <w:r w:rsidR="0013354F">
        <w:rPr>
          <w:sz w:val="21"/>
          <w:szCs w:val="21"/>
        </w:rPr>
        <w:t>oting</w:t>
      </w:r>
      <w:r w:rsidR="00190A17">
        <w:rPr>
          <w:sz w:val="21"/>
          <w:szCs w:val="21"/>
        </w:rPr>
        <w:t xml:space="preserve"> the </w:t>
      </w:r>
      <w:r w:rsidR="0081739B">
        <w:rPr>
          <w:sz w:val="21"/>
          <w:szCs w:val="21"/>
        </w:rPr>
        <w:t xml:space="preserve">scope of the </w:t>
      </w:r>
      <w:r w:rsidR="00190A17">
        <w:rPr>
          <w:sz w:val="21"/>
          <w:szCs w:val="21"/>
        </w:rPr>
        <w:t>Outlook Report assessment</w:t>
      </w:r>
      <w:r w:rsidR="0081739B">
        <w:rPr>
          <w:sz w:val="21"/>
          <w:szCs w:val="21"/>
        </w:rPr>
        <w:t xml:space="preserve"> is the Great Barrier Reef Region</w:t>
      </w:r>
      <w:r w:rsidR="00A40DDC">
        <w:rPr>
          <w:sz w:val="21"/>
          <w:szCs w:val="21"/>
        </w:rPr>
        <w:t xml:space="preserve"> (including Commonwealth islands)</w:t>
      </w:r>
      <w:r w:rsidR="006F11F5">
        <w:rPr>
          <w:sz w:val="21"/>
          <w:szCs w:val="21"/>
        </w:rPr>
        <w:t xml:space="preserve"> and so </w:t>
      </w:r>
      <w:r w:rsidR="0081739B">
        <w:rPr>
          <w:sz w:val="21"/>
          <w:szCs w:val="21"/>
        </w:rPr>
        <w:t>Queensland islands, internal waters and the catchment above mean low water mark are</w:t>
      </w:r>
      <w:r w:rsidR="00F41D67">
        <w:rPr>
          <w:sz w:val="21"/>
          <w:szCs w:val="21"/>
        </w:rPr>
        <w:t xml:space="preserve"> excluded from the assessment.</w:t>
      </w:r>
    </w:p>
    <w:p w14:paraId="0F0C71B6" w14:textId="5BDDA6C3" w:rsidR="003F05C2" w:rsidRDefault="003F05C2" w:rsidP="003F05C2">
      <w:pPr>
        <w:pStyle w:val="BodyTextNumbering"/>
        <w:spacing w:before="120"/>
        <w:ind w:left="567"/>
        <w:rPr>
          <w:color w:val="2E74B5" w:themeColor="accent1" w:themeShade="BF"/>
          <w:sz w:val="21"/>
          <w:szCs w:val="21"/>
        </w:rPr>
      </w:pPr>
      <w:r w:rsidRPr="003F05C2">
        <w:rPr>
          <w:color w:val="2E74B5" w:themeColor="accent1" w:themeShade="BF"/>
          <w:sz w:val="21"/>
          <w:szCs w:val="21"/>
        </w:rPr>
        <w:t xml:space="preserve">Table 1. </w:t>
      </w:r>
      <w:r w:rsidR="00C94F74">
        <w:rPr>
          <w:color w:val="2E74B5" w:themeColor="accent1" w:themeShade="BF"/>
          <w:sz w:val="21"/>
          <w:szCs w:val="21"/>
        </w:rPr>
        <w:t>Outlook Report 2019 a</w:t>
      </w:r>
      <w:r w:rsidRPr="003F05C2">
        <w:rPr>
          <w:color w:val="2E74B5" w:themeColor="accent1" w:themeShade="BF"/>
          <w:sz w:val="21"/>
          <w:szCs w:val="21"/>
        </w:rPr>
        <w:t xml:space="preserve">ssessment </w:t>
      </w:r>
      <w:r w:rsidR="00B5289D">
        <w:rPr>
          <w:color w:val="2E74B5" w:themeColor="accent1" w:themeShade="BF"/>
          <w:sz w:val="21"/>
          <w:szCs w:val="21"/>
        </w:rPr>
        <w:t>s</w:t>
      </w:r>
      <w:r w:rsidR="00B5289D" w:rsidRPr="003F05C2">
        <w:rPr>
          <w:color w:val="2E74B5" w:themeColor="accent1" w:themeShade="BF"/>
          <w:sz w:val="21"/>
          <w:szCs w:val="21"/>
        </w:rPr>
        <w:t xml:space="preserve">ummary </w:t>
      </w:r>
      <w:r w:rsidRPr="003F05C2">
        <w:rPr>
          <w:color w:val="2E74B5" w:themeColor="accent1" w:themeShade="BF"/>
          <w:sz w:val="21"/>
          <w:szCs w:val="21"/>
        </w:rPr>
        <w:t>of historic h</w:t>
      </w:r>
      <w:r w:rsidR="00B5289D">
        <w:rPr>
          <w:color w:val="2E74B5" w:themeColor="accent1" w:themeShade="BF"/>
          <w:sz w:val="21"/>
          <w:szCs w:val="21"/>
        </w:rPr>
        <w:t xml:space="preserve">eritage: </w:t>
      </w:r>
      <w:r w:rsidR="00316880">
        <w:rPr>
          <w:color w:val="2E74B5" w:themeColor="accent1" w:themeShade="BF"/>
          <w:sz w:val="21"/>
          <w:szCs w:val="21"/>
        </w:rPr>
        <w:t>grade and trend, and confidence for</w:t>
      </w:r>
      <w:r w:rsidRPr="003F05C2">
        <w:rPr>
          <w:color w:val="2E74B5" w:themeColor="accent1" w:themeShade="BF"/>
          <w:sz w:val="21"/>
          <w:szCs w:val="21"/>
        </w:rPr>
        <w:t xml:space="preserve"> </w:t>
      </w:r>
      <w:r w:rsidR="00AD687C">
        <w:rPr>
          <w:color w:val="2E74B5" w:themeColor="accent1" w:themeShade="BF"/>
          <w:sz w:val="21"/>
          <w:szCs w:val="21"/>
        </w:rPr>
        <w:t xml:space="preserve">Commonwealth </w:t>
      </w:r>
      <w:r w:rsidRPr="003F05C2">
        <w:rPr>
          <w:color w:val="2E74B5" w:themeColor="accent1" w:themeShade="BF"/>
          <w:sz w:val="21"/>
          <w:szCs w:val="21"/>
        </w:rPr>
        <w:t xml:space="preserve">lightstations </w:t>
      </w:r>
      <w:r w:rsidR="00316880">
        <w:rPr>
          <w:color w:val="2E74B5" w:themeColor="accent1" w:themeShade="BF"/>
          <w:sz w:val="21"/>
          <w:szCs w:val="21"/>
        </w:rPr>
        <w:t xml:space="preserve">and </w:t>
      </w:r>
      <w:r w:rsidR="00AD687C">
        <w:rPr>
          <w:color w:val="2E74B5" w:themeColor="accent1" w:themeShade="BF"/>
          <w:sz w:val="21"/>
          <w:szCs w:val="21"/>
        </w:rPr>
        <w:t xml:space="preserve">other historic lightstations and </w:t>
      </w:r>
      <w:r w:rsidR="00316880">
        <w:rPr>
          <w:color w:val="2E74B5" w:themeColor="accent1" w:themeShade="BF"/>
          <w:sz w:val="21"/>
          <w:szCs w:val="21"/>
        </w:rPr>
        <w:t xml:space="preserve">lighthouses </w:t>
      </w:r>
      <w:r w:rsidR="00AD687C">
        <w:rPr>
          <w:color w:val="2E74B5" w:themeColor="accent1" w:themeShade="BF"/>
          <w:sz w:val="21"/>
          <w:szCs w:val="21"/>
        </w:rPr>
        <w:t>–</w:t>
      </w:r>
      <w:r w:rsidR="003E5959">
        <w:rPr>
          <w:color w:val="2E74B5" w:themeColor="accent1" w:themeShade="BF"/>
          <w:sz w:val="21"/>
          <w:szCs w:val="21"/>
        </w:rPr>
        <w:t xml:space="preserve"> taken </w:t>
      </w:r>
      <w:r w:rsidR="00AD687C">
        <w:rPr>
          <w:color w:val="2E74B5" w:themeColor="accent1" w:themeShade="BF"/>
          <w:sz w:val="21"/>
          <w:szCs w:val="21"/>
        </w:rPr>
        <w:t>from</w:t>
      </w:r>
      <w:r w:rsidRPr="003F05C2">
        <w:rPr>
          <w:color w:val="2E74B5" w:themeColor="accent1" w:themeShade="BF"/>
          <w:sz w:val="21"/>
          <w:szCs w:val="21"/>
        </w:rPr>
        <w:t xml:space="preserve"> </w:t>
      </w:r>
      <w:r w:rsidR="003E5959">
        <w:rPr>
          <w:color w:val="2E74B5" w:themeColor="accent1" w:themeShade="BF"/>
          <w:sz w:val="21"/>
          <w:szCs w:val="21"/>
        </w:rPr>
        <w:t xml:space="preserve">section 4.6.4 of the </w:t>
      </w:r>
      <w:r w:rsidRPr="003F05C2">
        <w:rPr>
          <w:color w:val="2E74B5" w:themeColor="accent1" w:themeShade="BF"/>
          <w:sz w:val="21"/>
          <w:szCs w:val="21"/>
        </w:rPr>
        <w:t>Outlook Repor</w:t>
      </w:r>
      <w:r w:rsidR="00CD18C7">
        <w:rPr>
          <w:color w:val="2E74B5" w:themeColor="accent1" w:themeShade="BF"/>
          <w:sz w:val="21"/>
          <w:szCs w:val="21"/>
        </w:rPr>
        <w:t xml:space="preserve">t </w:t>
      </w:r>
      <w:r w:rsidR="00316880">
        <w:rPr>
          <w:color w:val="2E74B5" w:themeColor="accent1" w:themeShade="BF"/>
          <w:sz w:val="21"/>
          <w:szCs w:val="21"/>
        </w:rPr>
        <w:t xml:space="preserve">2019 </w:t>
      </w:r>
    </w:p>
    <w:p w14:paraId="06E848E3" w14:textId="0BA04C32" w:rsidR="00B5289D" w:rsidRPr="00DF7CEF" w:rsidRDefault="00F41D67" w:rsidP="00F41D67">
      <w:pPr>
        <w:pStyle w:val="BodyTextNumbering"/>
        <w:spacing w:before="120"/>
        <w:ind w:left="567"/>
        <w:rPr>
          <w:color w:val="2E74B5" w:themeColor="accent1" w:themeShade="BF"/>
          <w:sz w:val="21"/>
          <w:szCs w:val="21"/>
        </w:rPr>
      </w:pPr>
      <w:r>
        <w:rPr>
          <w:noProof/>
          <w:color w:val="2E74B5" w:themeColor="accent1" w:themeShade="BF"/>
          <w:sz w:val="21"/>
          <w:szCs w:val="21"/>
        </w:rPr>
        <w:drawing>
          <wp:inline distT="0" distB="0" distL="0" distR="0" wp14:anchorId="492780BC" wp14:editId="0B827F19">
            <wp:extent cx="5925820" cy="3060700"/>
            <wp:effectExtent l="0" t="0" r="0" b="6350"/>
            <wp:docPr id="5" name="Picture 5" descr="Commonwealth lightstations - good grade and stable since last Outlook report based on limited evidence or limited consensus. The criterion and component summary concludes that Commonwealth lightstations: The values of the four lightstations in the Region includedd on the Commonwealth Heritage List have been retained and are in good condition. &#10;&#10;Other historic lightstations and lighthouses - poor grade and no trend since last Outlook report (as it was not considered then) based on limited evidence or limited consensus. The criterion and component summary concludes that Other historic lightstations and lighthouses: The former Pine Islet lightstation is the only lightstation attribute location in the Region that is not identified on the Commonwealth Heritage List. The site is derelict; the lighthouse was relocated in 1995. Condition reporting on aids to navigation is data deficient.  &#10;&#10; " title="Assessment summary of Commonwealth lightstations and other historic lightstations and lighthou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25820" cy="3060700"/>
                    </a:xfrm>
                    <a:prstGeom prst="rect">
                      <a:avLst/>
                    </a:prstGeom>
                    <a:noFill/>
                  </pic:spPr>
                </pic:pic>
              </a:graphicData>
            </a:graphic>
          </wp:inline>
        </w:drawing>
      </w:r>
    </w:p>
    <w:p w14:paraId="3250166C" w14:textId="77777777" w:rsidR="00E83CB1" w:rsidRPr="00E83CB1" w:rsidRDefault="00E83CB1" w:rsidP="001E7E05">
      <w:pPr>
        <w:pStyle w:val="Heading2"/>
      </w:pPr>
      <w:r w:rsidRPr="00E83CB1">
        <w:t>Common permission assessment considerations</w:t>
      </w:r>
    </w:p>
    <w:p w14:paraId="4578FB9C" w14:textId="47429049" w:rsidR="00E83CB1" w:rsidRPr="00E83CB1" w:rsidRDefault="00E83CB1" w:rsidP="00E83CB1">
      <w:pPr>
        <w:pStyle w:val="BodyTextNumbering"/>
        <w:numPr>
          <w:ilvl w:val="0"/>
          <w:numId w:val="12"/>
        </w:numPr>
        <w:rPr>
          <w:sz w:val="21"/>
          <w:szCs w:val="21"/>
        </w:rPr>
      </w:pPr>
      <w:r w:rsidRPr="00E83CB1">
        <w:rPr>
          <w:sz w:val="21"/>
          <w:szCs w:val="21"/>
        </w:rPr>
        <w:t xml:space="preserve">Proposed activities at and adjacent to historic lightstations and </w:t>
      </w:r>
      <w:r w:rsidR="006B2103">
        <w:rPr>
          <w:sz w:val="21"/>
          <w:szCs w:val="21"/>
        </w:rPr>
        <w:t>AtoN</w:t>
      </w:r>
      <w:r w:rsidRPr="00E83CB1">
        <w:rPr>
          <w:sz w:val="21"/>
          <w:szCs w:val="21"/>
        </w:rPr>
        <w:t xml:space="preserve"> of historic significance are to be discussed with </w:t>
      </w:r>
      <w:r w:rsidR="00F82D4E" w:rsidRPr="00F82D4E">
        <w:rPr>
          <w:sz w:val="21"/>
          <w:szCs w:val="21"/>
        </w:rPr>
        <w:t>the Authority</w:t>
      </w:r>
      <w:r w:rsidRPr="00E83CB1">
        <w:rPr>
          <w:sz w:val="21"/>
          <w:szCs w:val="21"/>
        </w:rPr>
        <w:t xml:space="preserve"> prior to submitting a Marine Parks permit application. Expert advice should be sought for any proposed activity in the immediate and adjacent area of a lightstation, including Commonwealth and state heritage-listed lightstations and other significant </w:t>
      </w:r>
      <w:r w:rsidR="006B2103">
        <w:rPr>
          <w:sz w:val="21"/>
          <w:szCs w:val="21"/>
        </w:rPr>
        <w:t>AtoN</w:t>
      </w:r>
      <w:r w:rsidRPr="00E83CB1">
        <w:rPr>
          <w:sz w:val="21"/>
          <w:szCs w:val="21"/>
        </w:rPr>
        <w:t xml:space="preserve">. </w:t>
      </w:r>
    </w:p>
    <w:p w14:paraId="4D59695C" w14:textId="77777777" w:rsidR="00E83CB1" w:rsidRPr="00E83CB1" w:rsidRDefault="00E83CB1" w:rsidP="00E83CB1">
      <w:pPr>
        <w:pStyle w:val="BodyTextNumbering"/>
        <w:numPr>
          <w:ilvl w:val="0"/>
          <w:numId w:val="12"/>
        </w:numPr>
        <w:spacing w:before="120"/>
        <w:rPr>
          <w:color w:val="0563C1" w:themeColor="hyperlink"/>
          <w:sz w:val="21"/>
          <w:szCs w:val="21"/>
          <w:u w:val="single"/>
        </w:rPr>
      </w:pPr>
      <w:r w:rsidRPr="00E83CB1">
        <w:rPr>
          <w:sz w:val="21"/>
          <w:szCs w:val="21"/>
        </w:rPr>
        <w:t xml:space="preserve">The ways historic heritage sites are managed differs between sites and depends on the proposed location and the risks associated with the proposed activities and operation. Managing these sites requires specialist understanding of the features present and require experts in the relevant discipline to determine the best assessment and management approach. </w:t>
      </w:r>
    </w:p>
    <w:p w14:paraId="7A2BD884" w14:textId="3D253294" w:rsidR="00E83CB1" w:rsidRPr="00945F1F" w:rsidRDefault="00E83CB1" w:rsidP="00945F1F">
      <w:pPr>
        <w:pStyle w:val="BodyTextNumbering"/>
        <w:numPr>
          <w:ilvl w:val="0"/>
          <w:numId w:val="12"/>
        </w:numPr>
        <w:rPr>
          <w:sz w:val="21"/>
          <w:szCs w:val="21"/>
        </w:rPr>
      </w:pPr>
      <w:r w:rsidRPr="00E83CB1">
        <w:rPr>
          <w:sz w:val="21"/>
          <w:szCs w:val="21"/>
        </w:rPr>
        <w:t xml:space="preserve">Further for Commonwealth heritage listed sites, activities are restricted with what may occur to the fabric of the site and use of the site and must be carried out in accordance with the statutory heritage management plan, EPBC Act and operate in accordance with the Burra Charter. </w:t>
      </w:r>
      <w:r w:rsidR="00945F1F" w:rsidRPr="00945F1F">
        <w:rPr>
          <w:sz w:val="21"/>
          <w:szCs w:val="21"/>
        </w:rPr>
        <w:t>Commonwealth heritage places are not recognised as M</w:t>
      </w:r>
      <w:r w:rsidR="00945F1F">
        <w:rPr>
          <w:sz w:val="21"/>
          <w:szCs w:val="21"/>
        </w:rPr>
        <w:t xml:space="preserve">atters of </w:t>
      </w:r>
      <w:r w:rsidR="00945F1F" w:rsidRPr="00945F1F">
        <w:rPr>
          <w:sz w:val="21"/>
          <w:szCs w:val="21"/>
        </w:rPr>
        <w:t>N</w:t>
      </w:r>
      <w:r w:rsidR="00945F1F">
        <w:rPr>
          <w:sz w:val="21"/>
          <w:szCs w:val="21"/>
        </w:rPr>
        <w:t xml:space="preserve">ational </w:t>
      </w:r>
      <w:r w:rsidR="00945F1F" w:rsidRPr="00945F1F">
        <w:rPr>
          <w:sz w:val="21"/>
          <w:szCs w:val="21"/>
        </w:rPr>
        <w:t>E</w:t>
      </w:r>
      <w:r w:rsidR="00945F1F">
        <w:rPr>
          <w:sz w:val="21"/>
          <w:szCs w:val="21"/>
        </w:rPr>
        <w:t xml:space="preserve">nvironmental </w:t>
      </w:r>
      <w:r w:rsidR="00945F1F" w:rsidRPr="00945F1F">
        <w:rPr>
          <w:sz w:val="21"/>
          <w:szCs w:val="21"/>
        </w:rPr>
        <w:t>S</w:t>
      </w:r>
      <w:r w:rsidR="00945F1F">
        <w:rPr>
          <w:sz w:val="21"/>
          <w:szCs w:val="21"/>
        </w:rPr>
        <w:t>ignificance. However,</w:t>
      </w:r>
      <w:r w:rsidR="00945F1F" w:rsidRPr="00945F1F">
        <w:rPr>
          <w:sz w:val="21"/>
          <w:szCs w:val="21"/>
        </w:rPr>
        <w:t xml:space="preserve"> a referral</w:t>
      </w:r>
      <w:r w:rsidR="00945F1F">
        <w:rPr>
          <w:sz w:val="21"/>
          <w:szCs w:val="21"/>
        </w:rPr>
        <w:t xml:space="preserve"> under the EPBC Act is likely to be triggered if the activity associated with the Commonwealth heritage place potentially impacts World Heritage Values or National Heritage Values</w:t>
      </w:r>
      <w:r w:rsidR="00945F1F" w:rsidRPr="00945F1F">
        <w:rPr>
          <w:sz w:val="21"/>
          <w:szCs w:val="21"/>
        </w:rPr>
        <w:t>.</w:t>
      </w:r>
      <w:r w:rsidR="00945F1F">
        <w:rPr>
          <w:sz w:val="21"/>
          <w:szCs w:val="21"/>
        </w:rPr>
        <w:t xml:space="preserve"> </w:t>
      </w:r>
    </w:p>
    <w:p w14:paraId="7F1E47F2" w14:textId="4EFF3D0F" w:rsidR="00E83CB1" w:rsidRPr="00E83CB1" w:rsidRDefault="00E83CB1" w:rsidP="00E83CB1">
      <w:pPr>
        <w:pStyle w:val="BodyTextNumbering"/>
        <w:numPr>
          <w:ilvl w:val="0"/>
          <w:numId w:val="12"/>
        </w:numPr>
        <w:spacing w:before="120"/>
        <w:rPr>
          <w:color w:val="0563C1" w:themeColor="hyperlink"/>
          <w:sz w:val="21"/>
          <w:szCs w:val="21"/>
          <w:u w:val="single"/>
        </w:rPr>
      </w:pPr>
      <w:r w:rsidRPr="00E83CB1">
        <w:rPr>
          <w:sz w:val="21"/>
          <w:szCs w:val="21"/>
        </w:rPr>
        <w:t>The Burra Charter notes that adaptation of a place for a new use is often referred to as ‘adaptive re</w:t>
      </w:r>
      <w:r w:rsidRPr="00E83CB1">
        <w:rPr>
          <w:rFonts w:ascii="MS Gothic" w:eastAsia="MS Gothic" w:hAnsi="MS Gothic" w:cs="MS Gothic" w:hint="eastAsia"/>
          <w:sz w:val="21"/>
          <w:szCs w:val="21"/>
        </w:rPr>
        <w:t>‑</w:t>
      </w:r>
      <w:r w:rsidRPr="00E83CB1">
        <w:rPr>
          <w:sz w:val="21"/>
          <w:szCs w:val="21"/>
        </w:rPr>
        <w:t>use</w:t>
      </w:r>
      <w:r w:rsidRPr="00E83CB1">
        <w:rPr>
          <w:rFonts w:cs="Arial"/>
          <w:sz w:val="21"/>
          <w:szCs w:val="21"/>
        </w:rPr>
        <w:t>’</w:t>
      </w:r>
      <w:r w:rsidRPr="00E83CB1">
        <w:rPr>
          <w:sz w:val="21"/>
          <w:szCs w:val="21"/>
        </w:rPr>
        <w:t xml:space="preserve"> and should be consistent with Article 7.2 of the </w:t>
      </w:r>
      <w:r w:rsidR="00A224D1">
        <w:rPr>
          <w:sz w:val="21"/>
          <w:szCs w:val="21"/>
        </w:rPr>
        <w:t xml:space="preserve">Burra </w:t>
      </w:r>
      <w:r w:rsidRPr="00E83CB1">
        <w:rPr>
          <w:sz w:val="21"/>
          <w:szCs w:val="21"/>
        </w:rPr>
        <w:t>Charter.</w:t>
      </w:r>
      <w:r w:rsidRPr="00E83CB1">
        <w:rPr>
          <w:sz w:val="21"/>
          <w:szCs w:val="21"/>
        </w:rPr>
        <w:fldChar w:fldCharType="begin"/>
      </w:r>
      <w:r w:rsidRPr="00E83CB1">
        <w:rPr>
          <w:sz w:val="21"/>
          <w:szCs w:val="21"/>
        </w:rPr>
        <w:instrText>ADDIN RW.CITE{{24659 AustraliaInternationalCouncilonMonumentsandSites(ICOMOS) 2013}}</w:instrText>
      </w:r>
      <w:r w:rsidRPr="00E83CB1">
        <w:rPr>
          <w:sz w:val="21"/>
          <w:szCs w:val="21"/>
        </w:rPr>
        <w:fldChar w:fldCharType="separate"/>
      </w:r>
      <w:r w:rsidRPr="00E83CB1">
        <w:rPr>
          <w:rFonts w:cs="Arial"/>
          <w:sz w:val="21"/>
          <w:szCs w:val="21"/>
          <w:vertAlign w:val="superscript"/>
        </w:rPr>
        <w:t>3</w:t>
      </w:r>
      <w:r w:rsidRPr="00E83CB1">
        <w:rPr>
          <w:sz w:val="21"/>
          <w:szCs w:val="21"/>
        </w:rPr>
        <w:fldChar w:fldCharType="end"/>
      </w:r>
      <w:r w:rsidRPr="00E83CB1">
        <w:rPr>
          <w:sz w:val="21"/>
          <w:szCs w:val="21"/>
        </w:rPr>
        <w:t xml:space="preserve"> Article 7.2 states a place should have a compatible use and appropriate use or combination of uses or constraints on uses that retain the cultural significance of the place identified. New use of a place should involve minimal change to significant fabric and use; should respect associations and meanings; and where appropriate should provide for continuation of activities and practices which contribute to the cultural significance of the place. </w:t>
      </w:r>
    </w:p>
    <w:p w14:paraId="47BB02D4" w14:textId="2C09D9CE" w:rsidR="00E83CB1" w:rsidRPr="00E83CB1" w:rsidRDefault="00E83CB1" w:rsidP="00E83CB1">
      <w:pPr>
        <w:pStyle w:val="BodyTextNumbering"/>
        <w:numPr>
          <w:ilvl w:val="0"/>
          <w:numId w:val="12"/>
        </w:numPr>
        <w:spacing w:before="120"/>
        <w:rPr>
          <w:color w:val="0563C1" w:themeColor="hyperlink"/>
          <w:sz w:val="21"/>
          <w:szCs w:val="21"/>
          <w:u w:val="single"/>
        </w:rPr>
      </w:pPr>
      <w:r w:rsidRPr="00E83CB1">
        <w:rPr>
          <w:color w:val="auto"/>
          <w:sz w:val="21"/>
          <w:szCs w:val="21"/>
        </w:rPr>
        <w:t xml:space="preserve">Under a lease agreement associated with Lightstations and </w:t>
      </w:r>
      <w:r w:rsidR="006B2103">
        <w:rPr>
          <w:color w:val="auto"/>
          <w:sz w:val="21"/>
          <w:szCs w:val="21"/>
        </w:rPr>
        <w:t>AtoN</w:t>
      </w:r>
      <w:r w:rsidRPr="00E83CB1">
        <w:rPr>
          <w:color w:val="auto"/>
          <w:sz w:val="21"/>
          <w:szCs w:val="21"/>
        </w:rPr>
        <w:t xml:space="preserve">, requirements of the lessee are outlined and any relevant Marine Park permit is aligned with the lease. In the case of AMSA, when significant works are proposed to an </w:t>
      </w:r>
      <w:r w:rsidR="00C97694">
        <w:rPr>
          <w:color w:val="auto"/>
          <w:sz w:val="21"/>
          <w:szCs w:val="21"/>
        </w:rPr>
        <w:t>AtoN</w:t>
      </w:r>
      <w:r w:rsidRPr="00E83CB1">
        <w:rPr>
          <w:color w:val="auto"/>
          <w:sz w:val="21"/>
          <w:szCs w:val="21"/>
        </w:rPr>
        <w:t xml:space="preserve">, an EMP is often a requirement of a direction given under Part 5.2 of the Zoning Plan. </w:t>
      </w:r>
      <w:r w:rsidRPr="00E83CB1">
        <w:rPr>
          <w:sz w:val="21"/>
          <w:szCs w:val="21"/>
        </w:rPr>
        <w:t>An EMP should be developed by the applicant or lease holder with consideration to relevant policies, principles and guidelines by an appropriately qualified person (refer to Assessment guidelines for further information EMP specifications).</w:t>
      </w:r>
    </w:p>
    <w:p w14:paraId="6C6858DA" w14:textId="157F8ABD" w:rsidR="00E83CB1" w:rsidRPr="00E83CB1" w:rsidRDefault="00E83CB1" w:rsidP="00E83CB1">
      <w:pPr>
        <w:pStyle w:val="BodyTextNumbering"/>
        <w:numPr>
          <w:ilvl w:val="0"/>
          <w:numId w:val="12"/>
        </w:numPr>
        <w:rPr>
          <w:color w:val="auto"/>
          <w:sz w:val="21"/>
          <w:szCs w:val="21"/>
        </w:rPr>
      </w:pPr>
      <w:r w:rsidRPr="00E83CB1">
        <w:rPr>
          <w:sz w:val="21"/>
          <w:szCs w:val="21"/>
        </w:rPr>
        <w:t xml:space="preserve">Heritage is important to people of present and future generations, thus the significance of a place or site is determined through its social values, such as the aesthetics, personal connection, equity, enjoyment, appreciation and understanding (refer to </w:t>
      </w:r>
      <w:hyperlink r:id="rId46" w:history="1">
        <w:r w:rsidRPr="00E83CB1">
          <w:rPr>
            <w:rStyle w:val="Hyperlink"/>
            <w:sz w:val="21"/>
            <w:szCs w:val="21"/>
          </w:rPr>
          <w:t>Social value assessment guidelines</w:t>
        </w:r>
      </w:hyperlink>
      <w:r w:rsidRPr="00E83CB1">
        <w:rPr>
          <w:sz w:val="21"/>
          <w:szCs w:val="21"/>
        </w:rPr>
        <w:t>).</w:t>
      </w:r>
      <w:r w:rsidRPr="00E83CB1">
        <w:rPr>
          <w:color w:val="auto"/>
          <w:sz w:val="21"/>
          <w:szCs w:val="21"/>
        </w:rPr>
        <w:t xml:space="preserve"> Tangible and </w:t>
      </w:r>
      <w:r w:rsidRPr="00E83CB1">
        <w:rPr>
          <w:sz w:val="21"/>
          <w:szCs w:val="21"/>
        </w:rPr>
        <w:t>intangible attributes associated with the sites need to be considered (refer to</w:t>
      </w:r>
      <w:r w:rsidRPr="00E83CB1" w:rsidDel="006E278C">
        <w:rPr>
          <w:sz w:val="21"/>
          <w:szCs w:val="21"/>
        </w:rPr>
        <w:t xml:space="preserve"> </w:t>
      </w:r>
      <w:r w:rsidRPr="00E83CB1">
        <w:rPr>
          <w:sz w:val="21"/>
          <w:szCs w:val="21"/>
        </w:rPr>
        <w:t>Social value assessment guidelines).</w:t>
      </w:r>
    </w:p>
    <w:p w14:paraId="7A259B3A" w14:textId="70D4E521" w:rsidR="00E83CB1" w:rsidRPr="00E83CB1" w:rsidRDefault="00E83CB1" w:rsidP="00E83CB1">
      <w:pPr>
        <w:pStyle w:val="BodyTextNumbering"/>
        <w:numPr>
          <w:ilvl w:val="0"/>
          <w:numId w:val="12"/>
        </w:numPr>
        <w:rPr>
          <w:color w:val="auto"/>
          <w:sz w:val="21"/>
          <w:szCs w:val="21"/>
        </w:rPr>
      </w:pPr>
      <w:r w:rsidRPr="00E83CB1">
        <w:rPr>
          <w:sz w:val="21"/>
          <w:szCs w:val="21"/>
        </w:rPr>
        <w:t xml:space="preserve">As many of the lightstations and other significant </w:t>
      </w:r>
      <w:r w:rsidR="006B2103">
        <w:rPr>
          <w:sz w:val="21"/>
          <w:szCs w:val="21"/>
        </w:rPr>
        <w:t>AtoN</w:t>
      </w:r>
      <w:r w:rsidRPr="00E83CB1">
        <w:rPr>
          <w:sz w:val="21"/>
          <w:szCs w:val="21"/>
        </w:rPr>
        <w:t xml:space="preserve"> have intangible attributes that contribute to historic heritage value, background research may be required to determine the social significance. This is mostly undertaken through archival research investigating archival records, historic news articles or local stories, including face to face interviews. </w:t>
      </w:r>
    </w:p>
    <w:p w14:paraId="0FC0FFFA" w14:textId="5EFF8A06" w:rsidR="00E83CB1" w:rsidRPr="00E83CB1" w:rsidRDefault="00E83CB1" w:rsidP="00E83CB1">
      <w:pPr>
        <w:pStyle w:val="BodyTextNumbering"/>
        <w:numPr>
          <w:ilvl w:val="0"/>
          <w:numId w:val="12"/>
        </w:numPr>
        <w:rPr>
          <w:color w:val="auto"/>
          <w:sz w:val="21"/>
          <w:szCs w:val="21"/>
        </w:rPr>
      </w:pPr>
      <w:r w:rsidRPr="00E83CB1">
        <w:rPr>
          <w:sz w:val="21"/>
          <w:szCs w:val="21"/>
        </w:rPr>
        <w:t xml:space="preserve">In some cases a social impact assessment may be required and to understand how the proposed activities are likely to impact on the historic heritage value of the location (refer to Social value assessment guidelines). </w:t>
      </w:r>
      <w:r w:rsidRPr="00E83CB1">
        <w:rPr>
          <w:rFonts w:cs="Arial"/>
          <w:sz w:val="21"/>
          <w:szCs w:val="21"/>
        </w:rPr>
        <w:t xml:space="preserve">Where applicants are considering using a particular tool or methodology for determining social impact, this should be discussed with </w:t>
      </w:r>
      <w:r w:rsidR="00F82D4E" w:rsidRPr="00F82D4E">
        <w:rPr>
          <w:sz w:val="21"/>
          <w:szCs w:val="21"/>
        </w:rPr>
        <w:t>the Authority</w:t>
      </w:r>
      <w:r w:rsidRPr="00E83CB1">
        <w:rPr>
          <w:rFonts w:cs="Arial"/>
          <w:sz w:val="21"/>
          <w:szCs w:val="21"/>
        </w:rPr>
        <w:t xml:space="preserve"> early in the process to be sure it meets requirements.</w:t>
      </w:r>
    </w:p>
    <w:p w14:paraId="48906450" w14:textId="77777777" w:rsidR="00E83CB1" w:rsidRPr="00E83CB1" w:rsidRDefault="00E83CB1" w:rsidP="00E83CB1">
      <w:pPr>
        <w:pStyle w:val="BodyTextNumbering"/>
        <w:numPr>
          <w:ilvl w:val="0"/>
          <w:numId w:val="12"/>
        </w:numPr>
        <w:rPr>
          <w:sz w:val="21"/>
          <w:szCs w:val="21"/>
        </w:rPr>
      </w:pPr>
      <w:r w:rsidRPr="00E83CB1">
        <w:rPr>
          <w:sz w:val="21"/>
          <w:szCs w:val="21"/>
        </w:rPr>
        <w:t>If this research identifies that historic heritage is likely to be present, a field-based survey should be conducted by a qualified archaeologist using appropriate methods, on behalf of the applicant.</w:t>
      </w:r>
    </w:p>
    <w:p w14:paraId="66653D55" w14:textId="77777777" w:rsidR="00E83CB1" w:rsidRPr="00E83CB1" w:rsidRDefault="00E83CB1" w:rsidP="00E83CB1">
      <w:pPr>
        <w:pStyle w:val="BodyTextNumbering"/>
        <w:numPr>
          <w:ilvl w:val="0"/>
          <w:numId w:val="12"/>
        </w:numPr>
        <w:rPr>
          <w:sz w:val="21"/>
          <w:szCs w:val="21"/>
        </w:rPr>
      </w:pPr>
      <w:r w:rsidRPr="00E83CB1">
        <w:rPr>
          <w:sz w:val="21"/>
          <w:szCs w:val="21"/>
        </w:rPr>
        <w:t xml:space="preserve">In some cases where activities are likely to disturb the seabed (such as dredging, marina development or installing significant moorings) in any area, an in-depth site survey may also be required (such as visual, sonar and magnetometer surveys). </w:t>
      </w:r>
    </w:p>
    <w:p w14:paraId="54EED1C6" w14:textId="77777777" w:rsidR="00E83CB1" w:rsidRPr="00E83CB1" w:rsidRDefault="00E83CB1" w:rsidP="001E7E05">
      <w:pPr>
        <w:pStyle w:val="Heading2"/>
      </w:pPr>
      <w:r w:rsidRPr="00E83CB1">
        <w:t>Links to other values</w:t>
      </w:r>
    </w:p>
    <w:p w14:paraId="68F28859" w14:textId="77777777" w:rsidR="00E83CB1" w:rsidRPr="00E83CB1" w:rsidRDefault="00E83CB1" w:rsidP="001E7E05">
      <w:pPr>
        <w:pStyle w:val="Heading3"/>
        <w:rPr>
          <w:rFonts w:eastAsia="Times New Roman"/>
        </w:rPr>
      </w:pPr>
      <w:r w:rsidRPr="00E83CB1">
        <w:rPr>
          <w:rFonts w:eastAsia="Times New Roman"/>
        </w:rPr>
        <w:t xml:space="preserve">Social Values </w:t>
      </w:r>
    </w:p>
    <w:p w14:paraId="3B659BFE" w14:textId="26B816CE" w:rsidR="00E83CB1" w:rsidRPr="00E83CB1" w:rsidRDefault="00E83CB1" w:rsidP="00E83CB1">
      <w:pPr>
        <w:pStyle w:val="BodyTextNumbering"/>
        <w:numPr>
          <w:ilvl w:val="0"/>
          <w:numId w:val="12"/>
        </w:numPr>
        <w:rPr>
          <w:sz w:val="21"/>
          <w:szCs w:val="21"/>
        </w:rPr>
      </w:pPr>
      <w:r w:rsidRPr="00E83CB1">
        <w:rPr>
          <w:color w:val="auto"/>
          <w:sz w:val="21"/>
          <w:szCs w:val="21"/>
        </w:rPr>
        <w:t xml:space="preserve">Historic heritage sites are significant to people and therefore have social value, aesthetic value, historic value and/or scientific value (such as its archaeological attributes). The degree of historic significance of a lightstation or other </w:t>
      </w:r>
      <w:r w:rsidR="00B873CC">
        <w:rPr>
          <w:color w:val="auto"/>
          <w:sz w:val="21"/>
          <w:szCs w:val="21"/>
        </w:rPr>
        <w:t>AtoN</w:t>
      </w:r>
      <w:r w:rsidRPr="00E83CB1">
        <w:rPr>
          <w:color w:val="auto"/>
          <w:sz w:val="21"/>
          <w:szCs w:val="21"/>
        </w:rPr>
        <w:t xml:space="preserve"> may be influenced by its uniqueness or how rare it is. Also </w:t>
      </w:r>
      <w:r w:rsidRPr="00E83CB1">
        <w:rPr>
          <w:sz w:val="21"/>
          <w:szCs w:val="21"/>
        </w:rPr>
        <w:t xml:space="preserve">refer to Social value assessment guidelines </w:t>
      </w:r>
      <w:r w:rsidRPr="00E83CB1">
        <w:rPr>
          <w:color w:val="auto"/>
          <w:sz w:val="21"/>
          <w:szCs w:val="21"/>
        </w:rPr>
        <w:t>for more information on social values</w:t>
      </w:r>
      <w:r w:rsidRPr="00E83CB1">
        <w:rPr>
          <w:sz w:val="21"/>
          <w:szCs w:val="21"/>
        </w:rPr>
        <w:t xml:space="preserve">. </w:t>
      </w:r>
    </w:p>
    <w:p w14:paraId="441E3B10" w14:textId="77777777" w:rsidR="00E83CB1" w:rsidRPr="00E83CB1" w:rsidRDefault="00E83CB1" w:rsidP="00E83CB1">
      <w:pPr>
        <w:pStyle w:val="BodyTextNumbering"/>
        <w:numPr>
          <w:ilvl w:val="0"/>
          <w:numId w:val="12"/>
        </w:numPr>
        <w:rPr>
          <w:sz w:val="21"/>
          <w:szCs w:val="21"/>
        </w:rPr>
      </w:pPr>
      <w:r w:rsidRPr="00E83CB1">
        <w:rPr>
          <w:color w:val="auto"/>
          <w:sz w:val="21"/>
          <w:szCs w:val="21"/>
        </w:rPr>
        <w:t>S</w:t>
      </w:r>
      <w:r w:rsidRPr="00E83CB1">
        <w:rPr>
          <w:sz w:val="21"/>
          <w:szCs w:val="21"/>
        </w:rPr>
        <w:t>ome examples of interactions between social value, aesthetic value and historic heritage value are provided below.</w:t>
      </w:r>
    </w:p>
    <w:p w14:paraId="56CC9BD8" w14:textId="6008B1AF" w:rsidR="00E83CB1" w:rsidRPr="00E83CB1" w:rsidRDefault="00E83CB1" w:rsidP="00E83CB1">
      <w:pPr>
        <w:pStyle w:val="BodyTextNumbering"/>
        <w:numPr>
          <w:ilvl w:val="1"/>
          <w:numId w:val="16"/>
        </w:numPr>
        <w:spacing w:before="120"/>
        <w:ind w:left="1134" w:hanging="567"/>
        <w:rPr>
          <w:sz w:val="21"/>
          <w:szCs w:val="21"/>
        </w:rPr>
      </w:pPr>
      <w:r w:rsidRPr="00E83CB1">
        <w:rPr>
          <w:sz w:val="21"/>
          <w:szCs w:val="21"/>
          <w:u w:val="single"/>
        </w:rPr>
        <w:t>Personal connection</w:t>
      </w:r>
      <w:r w:rsidRPr="00E83CB1">
        <w:rPr>
          <w:sz w:val="21"/>
          <w:szCs w:val="21"/>
        </w:rPr>
        <w:t xml:space="preserve"> – The lighthouse may provide personal conn</w:t>
      </w:r>
      <w:r w:rsidR="006F0B2E">
        <w:rPr>
          <w:sz w:val="21"/>
          <w:szCs w:val="21"/>
        </w:rPr>
        <w:t>ection and Lady Elliot Island.</w:t>
      </w:r>
      <w:r w:rsidRPr="00E83CB1">
        <w:rPr>
          <w:sz w:val="21"/>
          <w:szCs w:val="21"/>
        </w:rPr>
        <w:t xml:space="preserve"> “</w:t>
      </w:r>
      <w:r w:rsidRPr="00E83CB1">
        <w:rPr>
          <w:i/>
          <w:sz w:val="21"/>
          <w:szCs w:val="21"/>
        </w:rPr>
        <w:t xml:space="preserve">Lighthouse is significant </w:t>
      </w:r>
      <w:r w:rsidRPr="00E83CB1">
        <w:rPr>
          <w:rFonts w:cs="Arial"/>
          <w:i/>
          <w:sz w:val="21"/>
          <w:szCs w:val="21"/>
        </w:rPr>
        <w:t>for its association with the architects responsible for its design and construction: Foreman of Works Robert Ferguson and Colonial Architect F.D.G. Stanley</w:t>
      </w:r>
      <w:r w:rsidRPr="00E83CB1">
        <w:rPr>
          <w:rFonts w:cs="Arial"/>
          <w:sz w:val="21"/>
          <w:szCs w:val="21"/>
        </w:rPr>
        <w:t>”.</w:t>
      </w:r>
      <w:r w:rsidRPr="00E83CB1">
        <w:rPr>
          <w:rFonts w:cs="Arial"/>
          <w:sz w:val="21"/>
          <w:szCs w:val="21"/>
        </w:rPr>
        <w:fldChar w:fldCharType="begin"/>
      </w:r>
      <w:r w:rsidRPr="00E83CB1">
        <w:rPr>
          <w:rFonts w:cs="Arial"/>
          <w:sz w:val="21"/>
          <w:szCs w:val="21"/>
        </w:rPr>
        <w:instrText>ADDIN RW.CITE{{21824 GreatBarrierReefMarineParkAuthority 2012}}</w:instrText>
      </w:r>
      <w:r w:rsidRPr="00E83CB1">
        <w:rPr>
          <w:rFonts w:cs="Arial"/>
          <w:sz w:val="21"/>
          <w:szCs w:val="21"/>
        </w:rPr>
        <w:fldChar w:fldCharType="separate"/>
      </w:r>
      <w:r w:rsidRPr="00E83CB1">
        <w:rPr>
          <w:rFonts w:cs="Arial"/>
          <w:sz w:val="21"/>
          <w:szCs w:val="21"/>
          <w:vertAlign w:val="superscript"/>
        </w:rPr>
        <w:t>2</w:t>
      </w:r>
      <w:r w:rsidRPr="00E83CB1">
        <w:rPr>
          <w:rFonts w:cs="Arial"/>
          <w:sz w:val="21"/>
          <w:szCs w:val="21"/>
        </w:rPr>
        <w:fldChar w:fldCharType="end"/>
      </w:r>
    </w:p>
    <w:p w14:paraId="02838ECE" w14:textId="77777777" w:rsidR="00E83CB1" w:rsidRPr="00E83CB1" w:rsidRDefault="00E83CB1" w:rsidP="00E83CB1">
      <w:pPr>
        <w:pStyle w:val="BodyTextNumbering"/>
        <w:numPr>
          <w:ilvl w:val="1"/>
          <w:numId w:val="16"/>
        </w:numPr>
        <w:spacing w:before="120"/>
        <w:ind w:left="1134" w:hanging="567"/>
        <w:rPr>
          <w:sz w:val="21"/>
          <w:szCs w:val="21"/>
        </w:rPr>
      </w:pPr>
      <w:r w:rsidRPr="00E83CB1">
        <w:rPr>
          <w:sz w:val="21"/>
          <w:szCs w:val="21"/>
          <w:u w:val="single"/>
        </w:rPr>
        <w:t>Aesthetics</w:t>
      </w:r>
      <w:r w:rsidRPr="00E83CB1">
        <w:rPr>
          <w:sz w:val="21"/>
          <w:szCs w:val="21"/>
        </w:rPr>
        <w:t xml:space="preserve"> – The lighthouse may provide aesthetic characteristics (such as described in the management plan for Lady Elliot Island - the relevant criterion for its Commonwealth heritage listing states “</w:t>
      </w:r>
      <w:r w:rsidRPr="00E83CB1">
        <w:rPr>
          <w:rFonts w:cs="Arial"/>
          <w:i/>
          <w:sz w:val="21"/>
          <w:szCs w:val="21"/>
        </w:rPr>
        <w:t>The lighthouse is a prominent feature and focal point of this low island. It has a high level of aesthetic appeal because of its pure geometric form and white and red colour scheme which contrast strongly with the vivid blues and greens of its setting. The keepers’ houses have aesthetic value arising from their uniformity and their surroundings of coral paths, shady trees and green grass. The lighthouse is also recognised for its landmark qualities</w:t>
      </w:r>
      <w:r w:rsidRPr="00E83CB1">
        <w:rPr>
          <w:rFonts w:cs="Arial"/>
          <w:sz w:val="21"/>
          <w:szCs w:val="21"/>
        </w:rPr>
        <w:t>”.</w:t>
      </w:r>
      <w:r w:rsidRPr="00E83CB1">
        <w:rPr>
          <w:rFonts w:cs="Arial"/>
          <w:sz w:val="21"/>
          <w:szCs w:val="21"/>
        </w:rPr>
        <w:fldChar w:fldCharType="begin"/>
      </w:r>
      <w:r w:rsidRPr="00E83CB1">
        <w:rPr>
          <w:rFonts w:cs="Arial"/>
          <w:sz w:val="21"/>
          <w:szCs w:val="21"/>
        </w:rPr>
        <w:instrText>ADDIN RW.CITE{{21824 GreatBarrierReefMarineParkAuthority 2012}}</w:instrText>
      </w:r>
      <w:r w:rsidRPr="00E83CB1">
        <w:rPr>
          <w:rFonts w:cs="Arial"/>
          <w:sz w:val="21"/>
          <w:szCs w:val="21"/>
        </w:rPr>
        <w:fldChar w:fldCharType="separate"/>
      </w:r>
      <w:r w:rsidRPr="00E83CB1">
        <w:rPr>
          <w:rFonts w:cs="Arial"/>
          <w:sz w:val="21"/>
          <w:szCs w:val="21"/>
          <w:vertAlign w:val="superscript"/>
        </w:rPr>
        <w:t>2</w:t>
      </w:r>
      <w:r w:rsidRPr="00E83CB1">
        <w:rPr>
          <w:rFonts w:cs="Arial"/>
          <w:sz w:val="21"/>
          <w:szCs w:val="21"/>
        </w:rPr>
        <w:fldChar w:fldCharType="end"/>
      </w:r>
    </w:p>
    <w:p w14:paraId="0C0A2671" w14:textId="77777777" w:rsidR="00E83CB1" w:rsidRPr="00E83CB1" w:rsidRDefault="00E83CB1" w:rsidP="00E83CB1">
      <w:pPr>
        <w:pStyle w:val="BodyTextNumbering"/>
        <w:numPr>
          <w:ilvl w:val="1"/>
          <w:numId w:val="16"/>
        </w:numPr>
        <w:spacing w:before="120"/>
        <w:ind w:left="1134" w:hanging="567"/>
        <w:rPr>
          <w:sz w:val="21"/>
          <w:szCs w:val="21"/>
        </w:rPr>
      </w:pPr>
      <w:r w:rsidRPr="00E83CB1">
        <w:rPr>
          <w:sz w:val="21"/>
          <w:szCs w:val="21"/>
          <w:u w:val="single"/>
        </w:rPr>
        <w:t>Access</w:t>
      </w:r>
      <w:r w:rsidRPr="00E83CB1">
        <w:rPr>
          <w:sz w:val="21"/>
          <w:szCs w:val="21"/>
        </w:rPr>
        <w:t xml:space="preserve"> – Historic heritage sites may have limited access in order to protect the historic heritage values or to protect people from potentially unstable sites. </w:t>
      </w:r>
    </w:p>
    <w:p w14:paraId="7C7179F7" w14:textId="77777777" w:rsidR="00E83CB1" w:rsidRPr="00E83CB1" w:rsidRDefault="00E83CB1" w:rsidP="00E83CB1">
      <w:pPr>
        <w:pStyle w:val="BodyTextNumbering"/>
        <w:numPr>
          <w:ilvl w:val="1"/>
          <w:numId w:val="16"/>
        </w:numPr>
        <w:spacing w:before="120"/>
        <w:ind w:left="1134" w:hanging="567"/>
        <w:rPr>
          <w:sz w:val="21"/>
          <w:szCs w:val="21"/>
        </w:rPr>
      </w:pPr>
      <w:r w:rsidRPr="00E83CB1">
        <w:rPr>
          <w:sz w:val="21"/>
          <w:szCs w:val="21"/>
          <w:u w:val="single"/>
        </w:rPr>
        <w:t>Enjoyment, appreciation and understanding</w:t>
      </w:r>
      <w:r w:rsidRPr="00E83CB1">
        <w:rPr>
          <w:sz w:val="21"/>
          <w:szCs w:val="21"/>
        </w:rPr>
        <w:t xml:space="preserve"> – Rare examples of lightstations and their features provide important avenues for enjoyment, appreciation and understanding. </w:t>
      </w:r>
    </w:p>
    <w:p w14:paraId="2861036A" w14:textId="77777777" w:rsidR="00E83CB1" w:rsidRPr="00E83CB1" w:rsidRDefault="00E83CB1" w:rsidP="00E83CB1">
      <w:pPr>
        <w:pStyle w:val="BodyTextNumbering"/>
        <w:spacing w:before="120"/>
        <w:ind w:left="1134"/>
        <w:rPr>
          <w:sz w:val="21"/>
          <w:szCs w:val="21"/>
        </w:rPr>
      </w:pPr>
      <w:r w:rsidRPr="00E83CB1">
        <w:rPr>
          <w:sz w:val="21"/>
          <w:szCs w:val="21"/>
        </w:rPr>
        <w:t>For example Lady Elliot Island Lightstation “</w:t>
      </w:r>
      <w:r w:rsidRPr="00E83CB1">
        <w:rPr>
          <w:rFonts w:cs="Arial"/>
          <w:i/>
          <w:sz w:val="21"/>
          <w:szCs w:val="21"/>
        </w:rPr>
        <w:t>The lighthouse tower, built in 1873, is exceptionally important, as the prototype timber-framed iron-plated lighthouse, in demonstrating development of a structural system local to Queensland…. The station demonstrates the way of life of the light keepers and their families, and the historical pattern of episodic change in the technology and practice of lighthouse operation at an established lightstation from the 1870s to the 1990s</w:t>
      </w:r>
      <w:r w:rsidRPr="00E83CB1">
        <w:rPr>
          <w:rFonts w:cs="Arial"/>
          <w:sz w:val="21"/>
          <w:szCs w:val="21"/>
        </w:rPr>
        <w:t>”.</w:t>
      </w:r>
      <w:r w:rsidRPr="00E83CB1">
        <w:rPr>
          <w:rFonts w:cs="Arial"/>
          <w:sz w:val="21"/>
          <w:szCs w:val="21"/>
        </w:rPr>
        <w:fldChar w:fldCharType="begin"/>
      </w:r>
      <w:r w:rsidRPr="00E83CB1">
        <w:rPr>
          <w:rFonts w:cs="Arial"/>
          <w:sz w:val="21"/>
          <w:szCs w:val="21"/>
        </w:rPr>
        <w:instrText>ADDIN RW.CITE{{21824 GreatBarrierReefMarineParkAuthority 2012}}</w:instrText>
      </w:r>
      <w:r w:rsidRPr="00E83CB1">
        <w:rPr>
          <w:rFonts w:cs="Arial"/>
          <w:sz w:val="21"/>
          <w:szCs w:val="21"/>
        </w:rPr>
        <w:fldChar w:fldCharType="separate"/>
      </w:r>
      <w:r w:rsidRPr="00E83CB1">
        <w:rPr>
          <w:rFonts w:cs="Arial"/>
          <w:sz w:val="21"/>
          <w:szCs w:val="21"/>
          <w:vertAlign w:val="superscript"/>
        </w:rPr>
        <w:t>2</w:t>
      </w:r>
      <w:r w:rsidRPr="00E83CB1">
        <w:rPr>
          <w:rFonts w:cs="Arial"/>
          <w:sz w:val="21"/>
          <w:szCs w:val="21"/>
        </w:rPr>
        <w:fldChar w:fldCharType="end"/>
      </w:r>
      <w:r w:rsidRPr="00E83CB1">
        <w:rPr>
          <w:sz w:val="21"/>
          <w:szCs w:val="21"/>
        </w:rPr>
        <w:t xml:space="preserve"> </w:t>
      </w:r>
    </w:p>
    <w:p w14:paraId="2CCCCC74" w14:textId="77777777" w:rsidR="00E83CB1" w:rsidRPr="00E83CB1" w:rsidRDefault="00E83CB1" w:rsidP="00E83CB1">
      <w:pPr>
        <w:pStyle w:val="BodyTextNumbering"/>
        <w:spacing w:before="120"/>
        <w:ind w:left="1134"/>
        <w:rPr>
          <w:sz w:val="21"/>
          <w:szCs w:val="21"/>
        </w:rPr>
      </w:pPr>
      <w:r w:rsidRPr="00E83CB1">
        <w:rPr>
          <w:sz w:val="21"/>
          <w:szCs w:val="21"/>
        </w:rPr>
        <w:t>For example at Dent Island  “</w:t>
      </w:r>
      <w:r w:rsidRPr="00E83CB1">
        <w:rPr>
          <w:i/>
          <w:sz w:val="21"/>
          <w:szCs w:val="21"/>
        </w:rPr>
        <w:t>The Lighthouse is significant as an intact representative example of a timber-framed, iron clad tower (Type B), an adaptation by the Queensland Government of the imported prefabricated type using components from the United Kingdom. Dent Lighthouse is important as one of a pair of identical lighthouse towers in the Whitsunday Passage, the other being situated at Cape Cleveland</w:t>
      </w:r>
      <w:r w:rsidRPr="00E83CB1">
        <w:rPr>
          <w:sz w:val="21"/>
          <w:szCs w:val="21"/>
        </w:rPr>
        <w:t>”.</w:t>
      </w:r>
      <w:r w:rsidRPr="00E83CB1">
        <w:rPr>
          <w:sz w:val="21"/>
          <w:szCs w:val="21"/>
        </w:rPr>
        <w:fldChar w:fldCharType="begin"/>
      </w:r>
      <w:r w:rsidRPr="00E83CB1">
        <w:rPr>
          <w:sz w:val="21"/>
          <w:szCs w:val="21"/>
        </w:rPr>
        <w:instrText>ADDIN RW.CITE{{25128 GreatBarrierReefMarineParkAuthorityandtheAustralianMaritimeSafetyAuthority 2013}}</w:instrText>
      </w:r>
      <w:r w:rsidRPr="00E83CB1">
        <w:rPr>
          <w:sz w:val="21"/>
          <w:szCs w:val="21"/>
        </w:rPr>
        <w:fldChar w:fldCharType="separate"/>
      </w:r>
      <w:r w:rsidRPr="00E83CB1">
        <w:rPr>
          <w:rFonts w:cs="Arial"/>
          <w:sz w:val="21"/>
          <w:szCs w:val="21"/>
          <w:vertAlign w:val="superscript"/>
        </w:rPr>
        <w:t>1</w:t>
      </w:r>
      <w:r w:rsidRPr="00E83CB1">
        <w:rPr>
          <w:sz w:val="21"/>
          <w:szCs w:val="21"/>
        </w:rPr>
        <w:fldChar w:fldCharType="end"/>
      </w:r>
      <w:r w:rsidRPr="00E83CB1">
        <w:rPr>
          <w:sz w:val="21"/>
          <w:szCs w:val="21"/>
        </w:rPr>
        <w:t xml:space="preserve"> Dent Island Lightstation also contains a shore-mounted derrick crane built around 1960 and is considered a rare element of lightstations.</w:t>
      </w:r>
      <w:r w:rsidRPr="00E83CB1">
        <w:rPr>
          <w:sz w:val="21"/>
          <w:szCs w:val="21"/>
        </w:rPr>
        <w:fldChar w:fldCharType="begin"/>
      </w:r>
      <w:r w:rsidRPr="00E83CB1">
        <w:rPr>
          <w:sz w:val="21"/>
          <w:szCs w:val="21"/>
        </w:rPr>
        <w:instrText>ADDIN RW.CITE{{25128 GreatBarrierReefMarineParkAuthorityandtheAustralianMaritimeSafetyAuthority 2013}}</w:instrText>
      </w:r>
      <w:r w:rsidRPr="00E83CB1">
        <w:rPr>
          <w:sz w:val="21"/>
          <w:szCs w:val="21"/>
        </w:rPr>
        <w:fldChar w:fldCharType="separate"/>
      </w:r>
      <w:r w:rsidRPr="00E83CB1">
        <w:rPr>
          <w:rFonts w:cs="Arial"/>
          <w:sz w:val="21"/>
          <w:szCs w:val="21"/>
          <w:vertAlign w:val="superscript"/>
        </w:rPr>
        <w:t>1</w:t>
      </w:r>
      <w:r w:rsidRPr="00E83CB1">
        <w:rPr>
          <w:sz w:val="21"/>
          <w:szCs w:val="21"/>
        </w:rPr>
        <w:fldChar w:fldCharType="end"/>
      </w:r>
      <w:r w:rsidRPr="00E83CB1">
        <w:rPr>
          <w:sz w:val="21"/>
          <w:szCs w:val="21"/>
        </w:rPr>
        <w:t xml:space="preserve"> </w:t>
      </w:r>
    </w:p>
    <w:p w14:paraId="47CC5AE7" w14:textId="77777777" w:rsidR="00E83CB1" w:rsidRPr="00E83CB1" w:rsidRDefault="00E83CB1" w:rsidP="00E83CB1">
      <w:pPr>
        <w:pStyle w:val="BodyTextNumbering"/>
        <w:numPr>
          <w:ilvl w:val="1"/>
          <w:numId w:val="16"/>
        </w:numPr>
        <w:spacing w:before="120"/>
        <w:ind w:left="1134" w:hanging="567"/>
        <w:rPr>
          <w:sz w:val="21"/>
          <w:szCs w:val="21"/>
        </w:rPr>
      </w:pPr>
      <w:r w:rsidRPr="00E83CB1">
        <w:rPr>
          <w:sz w:val="21"/>
          <w:szCs w:val="21"/>
          <w:u w:val="single"/>
        </w:rPr>
        <w:t>Equity</w:t>
      </w:r>
      <w:r w:rsidRPr="00E83CB1">
        <w:rPr>
          <w:sz w:val="21"/>
          <w:szCs w:val="21"/>
        </w:rPr>
        <w:t xml:space="preserve"> – referring to both intra- and inter-generational equity, the value of historic heritage should be considered within each generation, as well as between generations. The loss or damage to historic heritage is likely to erode social equity. Equity is maintained through sustainable use.</w:t>
      </w:r>
    </w:p>
    <w:p w14:paraId="05C824D1" w14:textId="77777777" w:rsidR="00E83CB1" w:rsidRPr="00E83CB1" w:rsidRDefault="00E83CB1" w:rsidP="001E7E05">
      <w:pPr>
        <w:pStyle w:val="Heading3"/>
        <w:rPr>
          <w:rFonts w:eastAsia="Times New Roman"/>
        </w:rPr>
      </w:pPr>
      <w:r w:rsidRPr="00E83CB1">
        <w:rPr>
          <w:rFonts w:eastAsia="Times New Roman"/>
        </w:rPr>
        <w:t xml:space="preserve">Traditional Owner values </w:t>
      </w:r>
    </w:p>
    <w:p w14:paraId="6A3911AF" w14:textId="7417863E" w:rsidR="00E83CB1" w:rsidRPr="00E83CB1" w:rsidRDefault="00E83CB1" w:rsidP="00E83CB1">
      <w:pPr>
        <w:pStyle w:val="BodyTextNumbering"/>
        <w:numPr>
          <w:ilvl w:val="0"/>
          <w:numId w:val="12"/>
        </w:numPr>
        <w:rPr>
          <w:sz w:val="21"/>
          <w:szCs w:val="21"/>
        </w:rPr>
      </w:pPr>
      <w:r w:rsidRPr="00E83CB1">
        <w:rPr>
          <w:sz w:val="21"/>
          <w:szCs w:val="21"/>
        </w:rPr>
        <w:t>Places of historic heritage are often associated with significant Traditional Owner heritage values as well. For example, the Low Island Commonwealth heritage listing includes ‘Indigenous Tradition’ as one of the criteria and is significant to Kuku Yalanji and Yir</w:t>
      </w:r>
      <w:r w:rsidR="00B06372">
        <w:rPr>
          <w:sz w:val="21"/>
          <w:szCs w:val="21"/>
        </w:rPr>
        <w:t>r</w:t>
      </w:r>
      <w:r w:rsidRPr="00E83CB1">
        <w:rPr>
          <w:sz w:val="21"/>
          <w:szCs w:val="21"/>
        </w:rPr>
        <w:t>gan</w:t>
      </w:r>
      <w:r w:rsidR="00B06372">
        <w:rPr>
          <w:sz w:val="21"/>
          <w:szCs w:val="21"/>
        </w:rPr>
        <w:t>d</w:t>
      </w:r>
      <w:r w:rsidRPr="00E83CB1">
        <w:rPr>
          <w:sz w:val="21"/>
          <w:szCs w:val="21"/>
        </w:rPr>
        <w:t xml:space="preserve">ji as part of their dreamings. Traditional Owners continue to have strong spiritual connection to Low Island. </w:t>
      </w:r>
    </w:p>
    <w:p w14:paraId="2A684369" w14:textId="77777777" w:rsidR="00E83CB1" w:rsidRPr="00E83CB1" w:rsidRDefault="00E83CB1" w:rsidP="00E83CB1">
      <w:pPr>
        <w:pStyle w:val="BodyTextNumbering"/>
        <w:numPr>
          <w:ilvl w:val="0"/>
          <w:numId w:val="12"/>
        </w:numPr>
        <w:rPr>
          <w:sz w:val="21"/>
          <w:szCs w:val="21"/>
        </w:rPr>
      </w:pPr>
      <w:r w:rsidRPr="00E83CB1">
        <w:rPr>
          <w:sz w:val="21"/>
          <w:szCs w:val="21"/>
        </w:rPr>
        <w:t xml:space="preserve">Another example is Dent Island, which is one of many islands in the Whitsunday region that is culturally </w:t>
      </w:r>
      <w:r w:rsidRPr="00F9254C">
        <w:rPr>
          <w:sz w:val="21"/>
          <w:szCs w:val="21"/>
        </w:rPr>
        <w:t>significant to the Gnaro people. It is known that the Gnaro people v</w:t>
      </w:r>
      <w:r w:rsidRPr="00E83CB1">
        <w:rPr>
          <w:sz w:val="21"/>
          <w:szCs w:val="21"/>
        </w:rPr>
        <w:t>isited and occupied all of the Whitsunday islands for subsistence, shelter, seasonal resources, ceremonies and other reasons.</w:t>
      </w:r>
      <w:r w:rsidRPr="00E83CB1">
        <w:rPr>
          <w:sz w:val="21"/>
          <w:szCs w:val="21"/>
        </w:rPr>
        <w:fldChar w:fldCharType="begin"/>
      </w:r>
      <w:r w:rsidRPr="00E83CB1">
        <w:rPr>
          <w:sz w:val="21"/>
          <w:szCs w:val="21"/>
        </w:rPr>
        <w:instrText>ADDIN RW.CITE{{25128 GreatBarrierReefMarineParkAuthorityandtheAustralianMaritimeSafetyAuthority 2013}}</w:instrText>
      </w:r>
      <w:r w:rsidRPr="00E83CB1">
        <w:rPr>
          <w:sz w:val="21"/>
          <w:szCs w:val="21"/>
        </w:rPr>
        <w:fldChar w:fldCharType="separate"/>
      </w:r>
      <w:r w:rsidRPr="00E83CB1">
        <w:rPr>
          <w:rFonts w:cs="Arial"/>
          <w:sz w:val="21"/>
          <w:szCs w:val="21"/>
          <w:vertAlign w:val="superscript"/>
        </w:rPr>
        <w:t>1</w:t>
      </w:r>
      <w:r w:rsidRPr="00E83CB1">
        <w:rPr>
          <w:sz w:val="21"/>
          <w:szCs w:val="21"/>
        </w:rPr>
        <w:fldChar w:fldCharType="end"/>
      </w:r>
      <w:r w:rsidRPr="00E83CB1">
        <w:rPr>
          <w:sz w:val="21"/>
          <w:szCs w:val="21"/>
        </w:rPr>
        <w:t xml:space="preserve"> Dent Island (including area around Dent Island lightstation) was a refuge for many Aboriginal people during the early post European contact period. By 1930s most of the offshore islands were largely de-populated of Aboriginal people.</w:t>
      </w:r>
      <w:r w:rsidRPr="00E83CB1">
        <w:rPr>
          <w:sz w:val="21"/>
          <w:szCs w:val="21"/>
        </w:rPr>
        <w:fldChar w:fldCharType="begin"/>
      </w:r>
      <w:r w:rsidRPr="00E83CB1">
        <w:rPr>
          <w:sz w:val="21"/>
          <w:szCs w:val="21"/>
        </w:rPr>
        <w:instrText>ADDIN RW.CITE{{25128 GreatBarrierReefMarineParkAuthorityandtheAustralianMaritimeSafetyAuthority 2013; 25583 Blackwood,Ray 1997}}</w:instrText>
      </w:r>
      <w:r w:rsidRPr="00E83CB1">
        <w:rPr>
          <w:sz w:val="21"/>
          <w:szCs w:val="21"/>
        </w:rPr>
        <w:fldChar w:fldCharType="separate"/>
      </w:r>
      <w:r w:rsidRPr="00E83CB1">
        <w:rPr>
          <w:rFonts w:cs="Arial"/>
          <w:sz w:val="21"/>
          <w:szCs w:val="21"/>
          <w:vertAlign w:val="superscript"/>
        </w:rPr>
        <w:t>1,4</w:t>
      </w:r>
      <w:r w:rsidRPr="00E83CB1">
        <w:rPr>
          <w:sz w:val="21"/>
          <w:szCs w:val="21"/>
        </w:rPr>
        <w:fldChar w:fldCharType="end"/>
      </w:r>
      <w:r w:rsidRPr="00E83CB1">
        <w:rPr>
          <w:sz w:val="21"/>
          <w:szCs w:val="21"/>
        </w:rPr>
        <w:t xml:space="preserve"> </w:t>
      </w:r>
    </w:p>
    <w:p w14:paraId="7CEEEF01" w14:textId="77777777" w:rsidR="00E83CB1" w:rsidRPr="00E83CB1" w:rsidRDefault="00E83CB1" w:rsidP="00E83CB1">
      <w:pPr>
        <w:pStyle w:val="BodyTextNumbering"/>
        <w:numPr>
          <w:ilvl w:val="0"/>
          <w:numId w:val="12"/>
        </w:numPr>
        <w:rPr>
          <w:sz w:val="21"/>
          <w:szCs w:val="21"/>
        </w:rPr>
      </w:pPr>
      <w:r w:rsidRPr="00E83CB1">
        <w:rPr>
          <w:sz w:val="21"/>
          <w:szCs w:val="21"/>
        </w:rPr>
        <w:t xml:space="preserve">Traditional Owners were severely impacted by colonisation, and many Traditional Owner heritage values declined during and following that period in Australian history. Stories and sites associated with colonisation are reminders of this difficult time and link present generations to their ancestors. </w:t>
      </w:r>
    </w:p>
    <w:p w14:paraId="7553EDB9" w14:textId="77777777" w:rsidR="00E83CB1" w:rsidRPr="00E83CB1" w:rsidRDefault="00E83CB1" w:rsidP="00E83CB1">
      <w:pPr>
        <w:pStyle w:val="BodyTextNumbering"/>
        <w:numPr>
          <w:ilvl w:val="0"/>
          <w:numId w:val="12"/>
        </w:numPr>
        <w:rPr>
          <w:sz w:val="21"/>
          <w:szCs w:val="21"/>
        </w:rPr>
      </w:pPr>
      <w:r w:rsidRPr="00E83CB1">
        <w:rPr>
          <w:sz w:val="21"/>
          <w:szCs w:val="21"/>
        </w:rPr>
        <w:t xml:space="preserve">Traditional Owners have inhabited their sea country for thousands of years and have Aboriginal and/or Torres Strait Islander names for many locations throughout the Marine Park, some of which have been formally recognised. Further, historic heritage significance for Traditional Owners may include recent recognition and rights. </w:t>
      </w:r>
    </w:p>
    <w:p w14:paraId="2FD3D5DB" w14:textId="24E7FCB2" w:rsidR="00E83CB1" w:rsidRPr="00E83CB1" w:rsidRDefault="00E83CB1" w:rsidP="00E83CB1">
      <w:pPr>
        <w:pStyle w:val="BodyTextNumbering"/>
        <w:numPr>
          <w:ilvl w:val="0"/>
          <w:numId w:val="12"/>
        </w:numPr>
        <w:rPr>
          <w:sz w:val="21"/>
          <w:szCs w:val="21"/>
        </w:rPr>
      </w:pPr>
      <w:r w:rsidRPr="00E83CB1">
        <w:rPr>
          <w:sz w:val="21"/>
          <w:szCs w:val="21"/>
        </w:rPr>
        <w:t xml:space="preserve">See the </w:t>
      </w:r>
      <w:hyperlink r:id="rId47" w:history="1">
        <w:r w:rsidRPr="00E83CB1">
          <w:rPr>
            <w:rStyle w:val="Hyperlink"/>
            <w:sz w:val="21"/>
            <w:szCs w:val="21"/>
          </w:rPr>
          <w:t>Traditional Owner heritage assessment guidelines</w:t>
        </w:r>
      </w:hyperlink>
      <w:r w:rsidRPr="00E83CB1">
        <w:rPr>
          <w:sz w:val="21"/>
          <w:szCs w:val="21"/>
        </w:rPr>
        <w:t xml:space="preserve"> </w:t>
      </w:r>
      <w:r w:rsidRPr="00E83CB1">
        <w:rPr>
          <w:color w:val="auto"/>
          <w:sz w:val="21"/>
          <w:szCs w:val="21"/>
        </w:rPr>
        <w:t>for more information.</w:t>
      </w:r>
      <w:r w:rsidRPr="00E83CB1">
        <w:rPr>
          <w:sz w:val="21"/>
          <w:szCs w:val="21"/>
        </w:rPr>
        <w:t xml:space="preserve"> </w:t>
      </w:r>
    </w:p>
    <w:p w14:paraId="6CC011F1" w14:textId="77777777" w:rsidR="00E83CB1" w:rsidRPr="00E83CB1" w:rsidRDefault="00E83CB1" w:rsidP="001E7E05">
      <w:pPr>
        <w:pStyle w:val="Heading3"/>
        <w:rPr>
          <w:rFonts w:eastAsia="Times New Roman"/>
        </w:rPr>
      </w:pPr>
      <w:r w:rsidRPr="00E83CB1">
        <w:rPr>
          <w:rFonts w:eastAsia="Times New Roman"/>
        </w:rPr>
        <w:t>Biodiversity values</w:t>
      </w:r>
    </w:p>
    <w:p w14:paraId="1F7D2D29" w14:textId="77777777" w:rsidR="00E83CB1" w:rsidRPr="00E83CB1" w:rsidRDefault="00E83CB1" w:rsidP="00E83CB1">
      <w:pPr>
        <w:pStyle w:val="BodyTextNumbering"/>
        <w:numPr>
          <w:ilvl w:val="0"/>
          <w:numId w:val="12"/>
        </w:numPr>
        <w:rPr>
          <w:sz w:val="21"/>
          <w:szCs w:val="21"/>
        </w:rPr>
      </w:pPr>
      <w:r w:rsidRPr="00E83CB1">
        <w:rPr>
          <w:sz w:val="21"/>
          <w:szCs w:val="21"/>
        </w:rPr>
        <w:t>Many historic heritage sites and features also support biodiversity values. For example, Lady Elliot Island is an important seabird nesting site in the GBRWHA. Seabird diversity is the highest on any island on the Great Barrier Reef. It is home to a number of threatened bird species, including the red-tailed tropicbird (</w:t>
      </w:r>
      <w:r w:rsidRPr="00E83CB1">
        <w:rPr>
          <w:i/>
          <w:sz w:val="21"/>
          <w:szCs w:val="21"/>
        </w:rPr>
        <w:t>Phaethon rubricauda</w:t>
      </w:r>
      <w:r w:rsidRPr="00E83CB1">
        <w:rPr>
          <w:sz w:val="21"/>
          <w:szCs w:val="21"/>
        </w:rPr>
        <w:t>) and roseate terns (</w:t>
      </w:r>
      <w:r w:rsidRPr="00E83CB1">
        <w:rPr>
          <w:i/>
          <w:sz w:val="21"/>
          <w:szCs w:val="21"/>
        </w:rPr>
        <w:t>Sterna dougallii</w:t>
      </w:r>
      <w:r w:rsidRPr="00E83CB1">
        <w:rPr>
          <w:sz w:val="21"/>
          <w:szCs w:val="21"/>
        </w:rPr>
        <w:t>).</w:t>
      </w:r>
      <w:r w:rsidRPr="00E83CB1">
        <w:rPr>
          <w:sz w:val="21"/>
          <w:szCs w:val="21"/>
        </w:rPr>
        <w:fldChar w:fldCharType="begin"/>
      </w:r>
      <w:r w:rsidRPr="00E83CB1">
        <w:rPr>
          <w:sz w:val="21"/>
          <w:szCs w:val="21"/>
        </w:rPr>
        <w:instrText>ADDIN RW.CITE{{21824 GreatBarrierReefMarineParkAuthority 2012}}</w:instrText>
      </w:r>
      <w:r w:rsidRPr="00E83CB1">
        <w:rPr>
          <w:sz w:val="21"/>
          <w:szCs w:val="21"/>
        </w:rPr>
        <w:fldChar w:fldCharType="separate"/>
      </w:r>
      <w:r w:rsidRPr="00E83CB1">
        <w:rPr>
          <w:rFonts w:cs="Arial"/>
          <w:sz w:val="21"/>
          <w:szCs w:val="21"/>
          <w:vertAlign w:val="superscript"/>
        </w:rPr>
        <w:t>2</w:t>
      </w:r>
      <w:r w:rsidRPr="00E83CB1">
        <w:rPr>
          <w:sz w:val="21"/>
          <w:szCs w:val="21"/>
        </w:rPr>
        <w:fldChar w:fldCharType="end"/>
      </w:r>
      <w:r w:rsidRPr="00E83CB1">
        <w:rPr>
          <w:sz w:val="21"/>
          <w:szCs w:val="21"/>
        </w:rPr>
        <w:t xml:space="preserve"> The island is also a nesting site for green turtles (</w:t>
      </w:r>
      <w:r w:rsidRPr="00E83CB1">
        <w:rPr>
          <w:i/>
          <w:sz w:val="21"/>
          <w:szCs w:val="21"/>
        </w:rPr>
        <w:t>Chelonia mydas</w:t>
      </w:r>
      <w:r w:rsidRPr="00E83CB1">
        <w:rPr>
          <w:sz w:val="21"/>
          <w:szCs w:val="21"/>
        </w:rPr>
        <w:t>) and the island nesting turtles are an important component of the southern Great Barrier Reef populations.</w:t>
      </w:r>
      <w:r w:rsidRPr="00E83CB1">
        <w:rPr>
          <w:sz w:val="21"/>
          <w:szCs w:val="21"/>
        </w:rPr>
        <w:fldChar w:fldCharType="begin"/>
      </w:r>
      <w:r w:rsidRPr="00E83CB1">
        <w:rPr>
          <w:sz w:val="21"/>
          <w:szCs w:val="21"/>
        </w:rPr>
        <w:instrText>ADDIN RW.CITE{{21824 GreatBarrierReefMarineParkAuthority 2012}}</w:instrText>
      </w:r>
      <w:r w:rsidRPr="00E83CB1">
        <w:rPr>
          <w:sz w:val="21"/>
          <w:szCs w:val="21"/>
        </w:rPr>
        <w:fldChar w:fldCharType="separate"/>
      </w:r>
      <w:r w:rsidRPr="00E83CB1">
        <w:rPr>
          <w:rFonts w:cs="Arial"/>
          <w:sz w:val="21"/>
          <w:szCs w:val="21"/>
          <w:vertAlign w:val="superscript"/>
        </w:rPr>
        <w:t>2</w:t>
      </w:r>
      <w:r w:rsidRPr="00E83CB1">
        <w:rPr>
          <w:sz w:val="21"/>
          <w:szCs w:val="21"/>
        </w:rPr>
        <w:fldChar w:fldCharType="end"/>
      </w:r>
      <w:r w:rsidRPr="00E83CB1">
        <w:rPr>
          <w:sz w:val="21"/>
          <w:szCs w:val="21"/>
        </w:rPr>
        <w:t xml:space="preserve">  </w:t>
      </w:r>
    </w:p>
    <w:p w14:paraId="203A32DF" w14:textId="3E437153" w:rsidR="00E83CB1" w:rsidRPr="00E83CB1" w:rsidRDefault="00E83CB1" w:rsidP="00E83CB1">
      <w:pPr>
        <w:pStyle w:val="BodyTextNumbering"/>
        <w:numPr>
          <w:ilvl w:val="0"/>
          <w:numId w:val="12"/>
        </w:numPr>
        <w:rPr>
          <w:sz w:val="21"/>
          <w:szCs w:val="21"/>
        </w:rPr>
      </w:pPr>
      <w:r w:rsidRPr="00E83CB1">
        <w:rPr>
          <w:sz w:val="21"/>
          <w:szCs w:val="21"/>
        </w:rPr>
        <w:t xml:space="preserve">Another example is Raine Island where it has been a nesting site </w:t>
      </w:r>
      <w:r w:rsidR="009024CA">
        <w:rPr>
          <w:sz w:val="21"/>
          <w:szCs w:val="21"/>
        </w:rPr>
        <w:t>for green turtles for over 1000 </w:t>
      </w:r>
      <w:r w:rsidRPr="00E83CB1">
        <w:rPr>
          <w:sz w:val="21"/>
          <w:szCs w:val="21"/>
        </w:rPr>
        <w:t xml:space="preserve">years (the longest known marine turtle rookery anywhere in the world). The green turtles that nest at Raine Island are part of the world’s largest remaining stocks. They belong to the northern Great Barrier Reef genetic stock that nest throughout the northern Great Barrier Reef (north of Princess Charlotte Bay) and eastern Torres Strait. Further, eighty-four bird species have been recorded at Raine Island - five of these are considered uncommon/rare in Queensland. Sixteen species are known to breed on the island. The most significant breeding species is the herald petrel, listed as critically endangered in Australia under the EPBC Act, with the red-tailed tropicbird listed as vulnerable in Queensland under the </w:t>
      </w:r>
      <w:r w:rsidRPr="00E83CB1">
        <w:rPr>
          <w:i/>
          <w:sz w:val="21"/>
          <w:szCs w:val="21"/>
        </w:rPr>
        <w:t>Nature Conservation Act 1992</w:t>
      </w:r>
      <w:r w:rsidRPr="00E83CB1">
        <w:rPr>
          <w:sz w:val="21"/>
          <w:szCs w:val="21"/>
        </w:rPr>
        <w:t>.</w:t>
      </w:r>
    </w:p>
    <w:p w14:paraId="73BE5898" w14:textId="77777777" w:rsidR="00E83CB1" w:rsidRPr="00E83CB1" w:rsidRDefault="00E83CB1" w:rsidP="001E7E05">
      <w:pPr>
        <w:pStyle w:val="Heading2"/>
      </w:pPr>
      <w:r w:rsidRPr="00E83CB1">
        <w:t>Hazards</w:t>
      </w:r>
    </w:p>
    <w:p w14:paraId="6859B946" w14:textId="1AD2A3B6" w:rsidR="00E83CB1" w:rsidRPr="00E83CB1" w:rsidRDefault="00E83CB1" w:rsidP="00E83CB1">
      <w:pPr>
        <w:pStyle w:val="ListParagraph"/>
        <w:numPr>
          <w:ilvl w:val="0"/>
          <w:numId w:val="12"/>
        </w:numPr>
        <w:spacing w:before="120" w:after="40"/>
        <w:contextualSpacing/>
        <w:rPr>
          <w:color w:val="000000" w:themeColor="text1"/>
        </w:rPr>
      </w:pPr>
      <w:r w:rsidRPr="00E83CB1">
        <w:rPr>
          <w:color w:val="000000" w:themeColor="text1"/>
        </w:rPr>
        <w:t xml:space="preserve">The </w:t>
      </w:r>
      <w:hyperlink r:id="rId48" w:history="1">
        <w:r w:rsidRPr="00E83CB1">
          <w:rPr>
            <w:rStyle w:val="Hyperlink"/>
          </w:rPr>
          <w:t>Risk assessment procedure</w:t>
        </w:r>
      </w:hyperlink>
      <w:r w:rsidRPr="00E83CB1">
        <w:rPr>
          <w:color w:val="8496B0" w:themeColor="text2" w:themeTint="99"/>
        </w:rPr>
        <w:t xml:space="preserve"> </w:t>
      </w:r>
      <w:r w:rsidRPr="00E83CB1">
        <w:rPr>
          <w:color w:val="000000" w:themeColor="text1"/>
        </w:rPr>
        <w:t>lists the most common potential hazards to the values of the Marine Park derived from permitted activities. Those that are most likely to impact directly on historic heritage values are:</w:t>
      </w:r>
    </w:p>
    <w:p w14:paraId="5525AE96" w14:textId="77777777" w:rsidR="00E83CB1" w:rsidRPr="00E83CB1" w:rsidRDefault="00E83CB1" w:rsidP="00E83CB1">
      <w:pPr>
        <w:numPr>
          <w:ilvl w:val="0"/>
          <w:numId w:val="15"/>
        </w:numPr>
        <w:spacing w:before="240" w:after="40"/>
        <w:contextualSpacing/>
        <w:rPr>
          <w:color w:val="000000" w:themeColor="text1"/>
          <w:szCs w:val="21"/>
        </w:rPr>
      </w:pPr>
      <w:r w:rsidRPr="00E83CB1">
        <w:rPr>
          <w:color w:val="000000" w:themeColor="text1"/>
          <w:szCs w:val="21"/>
          <w:u w:val="single"/>
        </w:rPr>
        <w:t>Change in current or future human use patterns</w:t>
      </w:r>
      <w:r w:rsidRPr="00E83CB1">
        <w:rPr>
          <w:color w:val="000000" w:themeColor="text1"/>
          <w:szCs w:val="21"/>
        </w:rPr>
        <w:t>: Increasing recreational use may have positive impacts by educating more people about the historic heritage of a location or site, but may also have negative impacts from accidental or intentional damage. Change in aesthetics may also arise and impact on the features that contribute to the historic heritage significance of a location or site. There may also be impacts to intangible social significance. There are also possible equity considerations for a particular generation and future generations. Use is to be consistent with the Burra Charter (in accordance with article 7).</w:t>
      </w:r>
      <w:r w:rsidRPr="00E83CB1">
        <w:rPr>
          <w:color w:val="000000" w:themeColor="text1"/>
          <w:szCs w:val="21"/>
        </w:rPr>
        <w:fldChar w:fldCharType="begin"/>
      </w:r>
      <w:r w:rsidRPr="00E83CB1">
        <w:rPr>
          <w:color w:val="000000" w:themeColor="text1"/>
          <w:szCs w:val="21"/>
        </w:rPr>
        <w:instrText>ADDIN RW.CITE{{24659 AustraliaInternationalCouncilonMonumentsandSites(ICOMOS) 2013}}</w:instrText>
      </w:r>
      <w:r w:rsidRPr="00E83CB1">
        <w:rPr>
          <w:color w:val="000000" w:themeColor="text1"/>
          <w:szCs w:val="21"/>
        </w:rPr>
        <w:fldChar w:fldCharType="separate"/>
      </w:r>
      <w:r w:rsidRPr="00E83CB1">
        <w:rPr>
          <w:rFonts w:cs="Arial"/>
          <w:color w:val="000000" w:themeColor="text1"/>
          <w:szCs w:val="21"/>
          <w:vertAlign w:val="superscript"/>
        </w:rPr>
        <w:t>3</w:t>
      </w:r>
      <w:r w:rsidRPr="00E83CB1">
        <w:rPr>
          <w:color w:val="000000" w:themeColor="text1"/>
          <w:szCs w:val="21"/>
        </w:rPr>
        <w:fldChar w:fldCharType="end"/>
      </w:r>
      <w:r w:rsidRPr="00E83CB1">
        <w:rPr>
          <w:color w:val="000000" w:themeColor="text1"/>
          <w:szCs w:val="21"/>
        </w:rPr>
        <w:t xml:space="preserve"> </w:t>
      </w:r>
    </w:p>
    <w:p w14:paraId="21A78982" w14:textId="77777777" w:rsidR="00E83CB1" w:rsidRPr="00E83CB1" w:rsidRDefault="00E83CB1" w:rsidP="00E83CB1">
      <w:pPr>
        <w:spacing w:after="120"/>
        <w:ind w:left="1134"/>
        <w:contextualSpacing/>
        <w:rPr>
          <w:color w:val="000000" w:themeColor="text1"/>
          <w:szCs w:val="21"/>
        </w:rPr>
      </w:pPr>
      <w:r w:rsidRPr="00E83CB1">
        <w:rPr>
          <w:color w:val="000000" w:themeColor="text1"/>
          <w:szCs w:val="21"/>
        </w:rPr>
        <w:t xml:space="preserve">Permission types primarily associated with the potential hazard – include: </w:t>
      </w:r>
    </w:p>
    <w:p w14:paraId="335311F9" w14:textId="77777777" w:rsidR="00E83CB1" w:rsidRPr="00E83CB1" w:rsidRDefault="00E83CB1" w:rsidP="00E83CB1">
      <w:pPr>
        <w:pStyle w:val="ListParagraph"/>
        <w:numPr>
          <w:ilvl w:val="2"/>
          <w:numId w:val="16"/>
        </w:numPr>
        <w:spacing w:after="120"/>
        <w:ind w:left="2336" w:hanging="357"/>
        <w:contextualSpacing/>
        <w:rPr>
          <w:color w:val="000000" w:themeColor="text1"/>
        </w:rPr>
      </w:pPr>
      <w:r w:rsidRPr="00E83CB1">
        <w:rPr>
          <w:color w:val="000000" w:themeColor="text1"/>
        </w:rPr>
        <w:t>Operating a facility</w:t>
      </w:r>
    </w:p>
    <w:p w14:paraId="14E55DD1" w14:textId="77777777" w:rsidR="00E83CB1" w:rsidRPr="00E83CB1" w:rsidRDefault="00E83CB1" w:rsidP="00E83CB1">
      <w:pPr>
        <w:pStyle w:val="ListParagraph"/>
        <w:numPr>
          <w:ilvl w:val="2"/>
          <w:numId w:val="16"/>
        </w:numPr>
        <w:spacing w:before="240" w:after="40"/>
        <w:contextualSpacing/>
        <w:rPr>
          <w:color w:val="000000" w:themeColor="text1"/>
        </w:rPr>
      </w:pPr>
      <w:r w:rsidRPr="00E83CB1">
        <w:rPr>
          <w:color w:val="000000" w:themeColor="text1"/>
        </w:rPr>
        <w:t>Conducting a tourism program or education program</w:t>
      </w:r>
    </w:p>
    <w:p w14:paraId="3E4CE508" w14:textId="77777777" w:rsidR="00E83CB1" w:rsidRPr="00E83CB1" w:rsidRDefault="00E83CB1" w:rsidP="00E83CB1">
      <w:pPr>
        <w:pStyle w:val="ListParagraph"/>
        <w:numPr>
          <w:ilvl w:val="2"/>
          <w:numId w:val="16"/>
        </w:numPr>
        <w:spacing w:before="240" w:after="120"/>
        <w:contextualSpacing/>
        <w:rPr>
          <w:color w:val="000000" w:themeColor="text1"/>
        </w:rPr>
      </w:pPr>
      <w:r w:rsidRPr="00E83CB1">
        <w:rPr>
          <w:color w:val="000000" w:themeColor="text1"/>
        </w:rPr>
        <w:t>Conducting a vessel or aircraft operation.</w:t>
      </w:r>
    </w:p>
    <w:p w14:paraId="26FB3009" w14:textId="77777777" w:rsidR="00E83CB1" w:rsidRPr="00E83CB1" w:rsidRDefault="00E83CB1" w:rsidP="00E83CB1">
      <w:pPr>
        <w:numPr>
          <w:ilvl w:val="0"/>
          <w:numId w:val="15"/>
        </w:numPr>
        <w:kinsoku w:val="0"/>
        <w:overflowPunct w:val="0"/>
        <w:spacing w:after="120"/>
        <w:contextualSpacing/>
        <w:rPr>
          <w:color w:val="000000" w:themeColor="text1"/>
          <w:szCs w:val="21"/>
        </w:rPr>
      </w:pPr>
      <w:r w:rsidRPr="00E83CB1">
        <w:rPr>
          <w:color w:val="000000" w:themeColor="text1"/>
          <w:szCs w:val="21"/>
          <w:u w:val="single"/>
        </w:rPr>
        <w:t>Change in hydrodynamics</w:t>
      </w:r>
      <w:r w:rsidRPr="00E83CB1">
        <w:rPr>
          <w:color w:val="000000" w:themeColor="text1"/>
          <w:szCs w:val="21"/>
        </w:rPr>
        <w:t xml:space="preserve">: Altered waves or water currents could destabilise or erode sites. There may also be implications for the aesthetics of a location or site. Permission types primarily associated with the potential hazard – include: </w:t>
      </w:r>
    </w:p>
    <w:p w14:paraId="0D6E91BB" w14:textId="77777777" w:rsidR="00E83CB1" w:rsidRPr="00E83CB1" w:rsidRDefault="00E83CB1" w:rsidP="00E83CB1">
      <w:pPr>
        <w:pStyle w:val="ListParagraph"/>
        <w:numPr>
          <w:ilvl w:val="2"/>
          <w:numId w:val="16"/>
        </w:numPr>
        <w:kinsoku w:val="0"/>
        <w:overflowPunct w:val="0"/>
        <w:spacing w:after="120"/>
        <w:contextualSpacing/>
        <w:rPr>
          <w:color w:val="000000" w:themeColor="text1"/>
        </w:rPr>
      </w:pPr>
      <w:r w:rsidRPr="00E83CB1">
        <w:rPr>
          <w:color w:val="000000" w:themeColor="text1"/>
        </w:rPr>
        <w:t>Carrying out works (reclamation, dredging, dumping of spoil, harbour works)</w:t>
      </w:r>
    </w:p>
    <w:p w14:paraId="65D958D8" w14:textId="77777777" w:rsidR="00E83CB1" w:rsidRPr="00E83CB1" w:rsidRDefault="00E83CB1" w:rsidP="00E83CB1">
      <w:pPr>
        <w:pStyle w:val="ListParagraph"/>
        <w:numPr>
          <w:ilvl w:val="2"/>
          <w:numId w:val="16"/>
        </w:numPr>
        <w:kinsoku w:val="0"/>
        <w:overflowPunct w:val="0"/>
        <w:spacing w:after="120"/>
        <w:contextualSpacing/>
        <w:rPr>
          <w:color w:val="000000" w:themeColor="text1"/>
        </w:rPr>
      </w:pPr>
      <w:r w:rsidRPr="00E83CB1">
        <w:rPr>
          <w:color w:val="000000" w:themeColor="text1"/>
        </w:rPr>
        <w:t>Operating a facility</w:t>
      </w:r>
    </w:p>
    <w:p w14:paraId="5E325339" w14:textId="77777777" w:rsidR="00E83CB1" w:rsidRPr="00E83CB1" w:rsidRDefault="00E83CB1" w:rsidP="00E83CB1">
      <w:pPr>
        <w:pStyle w:val="ListParagraph"/>
        <w:numPr>
          <w:ilvl w:val="2"/>
          <w:numId w:val="16"/>
        </w:numPr>
        <w:kinsoku w:val="0"/>
        <w:overflowPunct w:val="0"/>
        <w:spacing w:after="120"/>
        <w:contextualSpacing/>
        <w:rPr>
          <w:color w:val="000000" w:themeColor="text1"/>
        </w:rPr>
      </w:pPr>
      <w:r w:rsidRPr="00E83CB1">
        <w:rPr>
          <w:color w:val="000000" w:themeColor="text1"/>
        </w:rPr>
        <w:t>Navigating a managed vessel, aircraft or ship</w:t>
      </w:r>
    </w:p>
    <w:p w14:paraId="4BAF9C1B" w14:textId="77777777" w:rsidR="00E83CB1" w:rsidRPr="00E83CB1" w:rsidRDefault="00E83CB1" w:rsidP="00E83CB1">
      <w:pPr>
        <w:pStyle w:val="ListParagraph"/>
        <w:numPr>
          <w:ilvl w:val="2"/>
          <w:numId w:val="16"/>
        </w:numPr>
        <w:kinsoku w:val="0"/>
        <w:overflowPunct w:val="0"/>
        <w:spacing w:after="120"/>
        <w:contextualSpacing/>
        <w:rPr>
          <w:color w:val="000000" w:themeColor="text1"/>
        </w:rPr>
      </w:pPr>
      <w:r w:rsidRPr="00E83CB1">
        <w:rPr>
          <w:color w:val="000000" w:themeColor="text1"/>
        </w:rPr>
        <w:t>Operating a vessel or aircraft.</w:t>
      </w:r>
    </w:p>
    <w:p w14:paraId="2B048EF4" w14:textId="77777777" w:rsidR="00E83CB1" w:rsidRPr="00E83CB1" w:rsidRDefault="00E83CB1" w:rsidP="00E83CB1">
      <w:pPr>
        <w:numPr>
          <w:ilvl w:val="0"/>
          <w:numId w:val="15"/>
        </w:numPr>
        <w:kinsoku w:val="0"/>
        <w:overflowPunct w:val="0"/>
        <w:spacing w:after="120"/>
        <w:contextualSpacing/>
        <w:rPr>
          <w:color w:val="000000" w:themeColor="text1"/>
          <w:szCs w:val="21"/>
        </w:rPr>
      </w:pPr>
      <w:r w:rsidRPr="00E83CB1">
        <w:rPr>
          <w:color w:val="000000" w:themeColor="text1"/>
          <w:szCs w:val="21"/>
          <w:u w:val="single"/>
        </w:rPr>
        <w:t>Changes in sedimentation</w:t>
      </w:r>
      <w:r w:rsidRPr="00E83CB1">
        <w:rPr>
          <w:color w:val="000000" w:themeColor="text1"/>
          <w:szCs w:val="21"/>
        </w:rPr>
        <w:t>: Change in the inflow, dispersion, resuspension or consolidation of sediments could erode or bury sites. There may also be implications for the aesthetics of a location or site. There may also be equity considerations for a particular generation or future generations. Permission types primarily associated with the potential hazard – include:</w:t>
      </w:r>
    </w:p>
    <w:p w14:paraId="68ECE3A1" w14:textId="77777777" w:rsidR="00E83CB1" w:rsidRPr="00E83CB1" w:rsidRDefault="00E83CB1" w:rsidP="00E83CB1">
      <w:pPr>
        <w:pStyle w:val="ListParagraph"/>
        <w:numPr>
          <w:ilvl w:val="2"/>
          <w:numId w:val="16"/>
        </w:numPr>
        <w:kinsoku w:val="0"/>
        <w:overflowPunct w:val="0"/>
        <w:spacing w:after="120"/>
        <w:contextualSpacing/>
        <w:rPr>
          <w:color w:val="000000" w:themeColor="text1"/>
        </w:rPr>
      </w:pPr>
      <w:r w:rsidRPr="00E83CB1">
        <w:rPr>
          <w:color w:val="000000" w:themeColor="text1"/>
        </w:rPr>
        <w:t>Carrying out works – reclamation, dredging, dumping of spoil, harbour works</w:t>
      </w:r>
    </w:p>
    <w:p w14:paraId="62E59225" w14:textId="77777777" w:rsidR="00E83CB1" w:rsidRPr="00E83CB1" w:rsidRDefault="00E83CB1" w:rsidP="00E83CB1">
      <w:pPr>
        <w:pStyle w:val="ListParagraph"/>
        <w:numPr>
          <w:ilvl w:val="2"/>
          <w:numId w:val="16"/>
        </w:numPr>
        <w:kinsoku w:val="0"/>
        <w:overflowPunct w:val="0"/>
        <w:spacing w:after="120"/>
        <w:contextualSpacing/>
        <w:rPr>
          <w:color w:val="000000" w:themeColor="text1"/>
        </w:rPr>
      </w:pPr>
      <w:r w:rsidRPr="00E83CB1">
        <w:rPr>
          <w:color w:val="000000" w:themeColor="text1"/>
        </w:rPr>
        <w:t>Navigating a Ship</w:t>
      </w:r>
    </w:p>
    <w:p w14:paraId="1C247C8C" w14:textId="77777777" w:rsidR="00E83CB1" w:rsidRPr="00E83CB1" w:rsidRDefault="00E83CB1" w:rsidP="00E83CB1">
      <w:pPr>
        <w:pStyle w:val="ListParagraph"/>
        <w:numPr>
          <w:ilvl w:val="2"/>
          <w:numId w:val="16"/>
        </w:numPr>
        <w:kinsoku w:val="0"/>
        <w:overflowPunct w:val="0"/>
        <w:spacing w:after="120"/>
        <w:contextualSpacing/>
        <w:rPr>
          <w:color w:val="000000" w:themeColor="text1"/>
        </w:rPr>
      </w:pPr>
      <w:r w:rsidRPr="00E83CB1">
        <w:rPr>
          <w:color w:val="000000" w:themeColor="text1"/>
        </w:rPr>
        <w:t>Operating a facility</w:t>
      </w:r>
    </w:p>
    <w:p w14:paraId="3ECAB7F0" w14:textId="77777777" w:rsidR="00E83CB1" w:rsidRPr="00E83CB1" w:rsidRDefault="00E83CB1" w:rsidP="00E83CB1">
      <w:pPr>
        <w:pStyle w:val="ListParagraph"/>
        <w:numPr>
          <w:ilvl w:val="2"/>
          <w:numId w:val="16"/>
        </w:numPr>
        <w:kinsoku w:val="0"/>
        <w:overflowPunct w:val="0"/>
        <w:spacing w:after="120"/>
        <w:contextualSpacing/>
        <w:rPr>
          <w:color w:val="000000" w:themeColor="text1"/>
        </w:rPr>
      </w:pPr>
      <w:r w:rsidRPr="00E83CB1">
        <w:rPr>
          <w:color w:val="000000" w:themeColor="text1"/>
        </w:rPr>
        <w:t>Navigating a managed vessel, aircraft or ship</w:t>
      </w:r>
    </w:p>
    <w:p w14:paraId="01FF4B0E" w14:textId="77777777" w:rsidR="00E83CB1" w:rsidRPr="00E83CB1" w:rsidRDefault="00E83CB1" w:rsidP="00E83CB1">
      <w:pPr>
        <w:pStyle w:val="ListParagraph"/>
        <w:numPr>
          <w:ilvl w:val="2"/>
          <w:numId w:val="16"/>
        </w:numPr>
        <w:kinsoku w:val="0"/>
        <w:overflowPunct w:val="0"/>
        <w:spacing w:after="120"/>
        <w:contextualSpacing/>
        <w:rPr>
          <w:color w:val="000000" w:themeColor="text1"/>
        </w:rPr>
      </w:pPr>
      <w:r w:rsidRPr="00E83CB1">
        <w:rPr>
          <w:color w:val="000000" w:themeColor="text1"/>
        </w:rPr>
        <w:t>Operating a vessel or aircraft.</w:t>
      </w:r>
    </w:p>
    <w:p w14:paraId="39EF1BE6" w14:textId="77777777" w:rsidR="00E83CB1" w:rsidRPr="00E83CB1" w:rsidRDefault="00E83CB1" w:rsidP="00E83CB1">
      <w:pPr>
        <w:numPr>
          <w:ilvl w:val="0"/>
          <w:numId w:val="15"/>
        </w:numPr>
        <w:kinsoku w:val="0"/>
        <w:overflowPunct w:val="0"/>
        <w:spacing w:after="120"/>
        <w:contextualSpacing/>
        <w:rPr>
          <w:color w:val="000000" w:themeColor="text1"/>
          <w:szCs w:val="21"/>
        </w:rPr>
      </w:pPr>
      <w:r w:rsidRPr="00E83CB1">
        <w:rPr>
          <w:color w:val="000000" w:themeColor="text1"/>
          <w:szCs w:val="21"/>
          <w:u w:val="single"/>
        </w:rPr>
        <w:t>Direct damage, removal or destruction of non-living things:</w:t>
      </w:r>
      <w:r w:rsidRPr="00E83CB1">
        <w:rPr>
          <w:color w:val="000000" w:themeColor="text1"/>
          <w:szCs w:val="21"/>
        </w:rPr>
        <w:t xml:space="preserve"> Actions or events that disturb or damage a site and/or structures are likely to degrade the historic heritage values. It may result in impacts on aesthetics and influence people’s enjoyment and appreciation and in some cases, personal connection. There are likely to be equity considerations for a particular generation and future generations. Permission types primarily associated with the potential hazard – include: </w:t>
      </w:r>
    </w:p>
    <w:p w14:paraId="250E08CC" w14:textId="77777777" w:rsidR="00E83CB1" w:rsidRPr="00E83CB1" w:rsidRDefault="00E83CB1" w:rsidP="00E83CB1">
      <w:pPr>
        <w:pStyle w:val="ListParagraph"/>
        <w:numPr>
          <w:ilvl w:val="2"/>
          <w:numId w:val="16"/>
        </w:numPr>
        <w:kinsoku w:val="0"/>
        <w:overflowPunct w:val="0"/>
        <w:spacing w:after="120"/>
        <w:contextualSpacing/>
        <w:rPr>
          <w:color w:val="000000" w:themeColor="text1"/>
        </w:rPr>
      </w:pPr>
      <w:r w:rsidRPr="00E83CB1">
        <w:rPr>
          <w:color w:val="000000" w:themeColor="text1"/>
        </w:rPr>
        <w:t>Carrying out works – reclamation, dredging, dumping of spoil, harbour works</w:t>
      </w:r>
    </w:p>
    <w:p w14:paraId="2674341B" w14:textId="77777777" w:rsidR="00E83CB1" w:rsidRPr="00E83CB1" w:rsidRDefault="00E83CB1" w:rsidP="00E83CB1">
      <w:pPr>
        <w:pStyle w:val="ListParagraph"/>
        <w:numPr>
          <w:ilvl w:val="2"/>
          <w:numId w:val="16"/>
        </w:numPr>
        <w:kinsoku w:val="0"/>
        <w:overflowPunct w:val="0"/>
        <w:spacing w:after="120"/>
        <w:contextualSpacing/>
        <w:rPr>
          <w:color w:val="000000" w:themeColor="text1"/>
        </w:rPr>
      </w:pPr>
      <w:r w:rsidRPr="00E83CB1">
        <w:rPr>
          <w:color w:val="000000" w:themeColor="text1"/>
        </w:rPr>
        <w:t>Operating a facility.</w:t>
      </w:r>
    </w:p>
    <w:p w14:paraId="52FFB9E9" w14:textId="12E3F145" w:rsidR="00E83CB1" w:rsidRPr="00E83CB1" w:rsidRDefault="00E83CB1" w:rsidP="00E83CB1">
      <w:pPr>
        <w:pStyle w:val="BodyTextNumbering"/>
        <w:numPr>
          <w:ilvl w:val="0"/>
          <w:numId w:val="12"/>
        </w:numPr>
        <w:rPr>
          <w:sz w:val="21"/>
          <w:szCs w:val="21"/>
        </w:rPr>
      </w:pPr>
      <w:r w:rsidRPr="00E83CB1">
        <w:rPr>
          <w:sz w:val="21"/>
          <w:szCs w:val="21"/>
        </w:rPr>
        <w:t xml:space="preserve">The </w:t>
      </w:r>
      <w:hyperlink r:id="rId49" w:history="1">
        <w:r w:rsidRPr="00E83CB1">
          <w:rPr>
            <w:rStyle w:val="Hyperlink"/>
            <w:sz w:val="21"/>
            <w:szCs w:val="21"/>
          </w:rPr>
          <w:t>Reef Integrated Monitoring and Reporting Program</w:t>
        </w:r>
      </w:hyperlink>
      <w:r w:rsidRPr="00E83CB1">
        <w:rPr>
          <w:sz w:val="21"/>
          <w:szCs w:val="21"/>
        </w:rPr>
        <w:t xml:space="preserve"> is establishing monitoring protocol for setting baseline conditions and monitoring changes to historic heritage values. </w:t>
      </w:r>
    </w:p>
    <w:p w14:paraId="378C1223" w14:textId="77777777" w:rsidR="00E83CB1" w:rsidRPr="00E83CB1" w:rsidRDefault="00E83CB1" w:rsidP="001E7E05">
      <w:pPr>
        <w:pStyle w:val="Heading2"/>
      </w:pPr>
      <w:r w:rsidRPr="00E83CB1">
        <w:t xml:space="preserve">Mitigation and monitoring </w:t>
      </w:r>
    </w:p>
    <w:p w14:paraId="13A0912C" w14:textId="77777777" w:rsidR="00E83CB1" w:rsidRPr="00E83CB1" w:rsidRDefault="00E83CB1" w:rsidP="00E83CB1">
      <w:pPr>
        <w:pStyle w:val="BodyTextNumbering"/>
        <w:numPr>
          <w:ilvl w:val="0"/>
          <w:numId w:val="12"/>
        </w:numPr>
        <w:rPr>
          <w:sz w:val="21"/>
          <w:szCs w:val="21"/>
        </w:rPr>
      </w:pPr>
      <w:r w:rsidRPr="00E83CB1">
        <w:rPr>
          <w:sz w:val="21"/>
          <w:szCs w:val="21"/>
        </w:rPr>
        <w:t>Mitigation and monitoring measures are to be developed on a case-by-case basis in consultation with relevant experts.</w:t>
      </w:r>
    </w:p>
    <w:p w14:paraId="11EE1144" w14:textId="77777777" w:rsidR="00E83CB1" w:rsidRPr="00E83CB1" w:rsidRDefault="00E83CB1" w:rsidP="001E7E05">
      <w:pPr>
        <w:pStyle w:val="Heading2"/>
      </w:pPr>
      <w:r w:rsidRPr="00E83CB1">
        <w:t xml:space="preserve">Consequence </w:t>
      </w:r>
    </w:p>
    <w:p w14:paraId="75190DBB" w14:textId="62CCCF7E" w:rsidR="00E83CB1" w:rsidRPr="00E83CB1" w:rsidRDefault="00E83CB1" w:rsidP="00E83CB1">
      <w:pPr>
        <w:pStyle w:val="ListParagraph"/>
        <w:numPr>
          <w:ilvl w:val="0"/>
          <w:numId w:val="12"/>
        </w:numPr>
        <w:spacing w:before="240" w:after="40"/>
        <w:contextualSpacing/>
        <w:rPr>
          <w:color w:val="000000" w:themeColor="text1"/>
        </w:rPr>
      </w:pPr>
      <w:r w:rsidRPr="00E83CB1">
        <w:rPr>
          <w:color w:val="000000" w:themeColor="text1"/>
        </w:rPr>
        <w:t xml:space="preserve">Consequences of any proposed activity to the immediate and adjacent area of a lightstation and other </w:t>
      </w:r>
      <w:r w:rsidR="005B5973">
        <w:rPr>
          <w:color w:val="000000" w:themeColor="text1"/>
        </w:rPr>
        <w:t>AtoN</w:t>
      </w:r>
      <w:r w:rsidRPr="00E83CB1">
        <w:rPr>
          <w:color w:val="000000" w:themeColor="text1"/>
        </w:rPr>
        <w:t xml:space="preserve"> of historic heritage importance will be determined on a case by case basis. It will be assessed and evaluated by appropriate </w:t>
      </w:r>
      <w:r w:rsidR="00F82D4E">
        <w:rPr>
          <w:color w:val="000000" w:themeColor="text1"/>
        </w:rPr>
        <w:t>Authority</w:t>
      </w:r>
      <w:r w:rsidRPr="00E83CB1">
        <w:rPr>
          <w:color w:val="000000" w:themeColor="text1"/>
        </w:rPr>
        <w:t xml:space="preserve"> staff, including staff managing Commonwealth islands, and in some cases involve other experts.</w:t>
      </w:r>
    </w:p>
    <w:p w14:paraId="5D30A955" w14:textId="3DAAB7D8" w:rsidR="00E83CB1" w:rsidRPr="00E83CB1" w:rsidRDefault="00E83CB1" w:rsidP="00E83CB1">
      <w:pPr>
        <w:pStyle w:val="ListParagraph"/>
        <w:numPr>
          <w:ilvl w:val="0"/>
          <w:numId w:val="12"/>
        </w:numPr>
        <w:spacing w:before="240" w:after="40"/>
        <w:rPr>
          <w:color w:val="000000" w:themeColor="text1"/>
        </w:rPr>
      </w:pPr>
      <w:r w:rsidRPr="00E83CB1">
        <w:rPr>
          <w:color w:val="000000" w:themeColor="text1"/>
        </w:rPr>
        <w:t xml:space="preserve">The </w:t>
      </w:r>
      <w:hyperlink r:id="rId50" w:history="1">
        <w:r w:rsidRPr="00E83CB1">
          <w:rPr>
            <w:rStyle w:val="Hyperlink"/>
          </w:rPr>
          <w:t>Risk assessment procedure</w:t>
        </w:r>
      </w:hyperlink>
      <w:r w:rsidRPr="00E83CB1">
        <w:rPr>
          <w:color w:val="8496B0" w:themeColor="text2" w:themeTint="99"/>
        </w:rPr>
        <w:t xml:space="preserve"> </w:t>
      </w:r>
      <w:r w:rsidRPr="00E83CB1">
        <w:rPr>
          <w:color w:val="000000" w:themeColor="text1"/>
        </w:rPr>
        <w:t xml:space="preserve">provides more information on how to determine risk and consequences. </w:t>
      </w:r>
    </w:p>
    <w:p w14:paraId="2EDCF906" w14:textId="77777777" w:rsidR="00E83CB1" w:rsidRPr="00E83CB1" w:rsidRDefault="00E83CB1" w:rsidP="001E7E05">
      <w:pPr>
        <w:pStyle w:val="Heading2"/>
      </w:pPr>
      <w:r w:rsidRPr="00E83CB1">
        <w:t xml:space="preserve">Assessment information </w:t>
      </w:r>
    </w:p>
    <w:p w14:paraId="6E4A182B" w14:textId="7003FC87" w:rsidR="00E83CB1" w:rsidRPr="00E83CB1" w:rsidRDefault="00E83CB1" w:rsidP="00E83CB1">
      <w:pPr>
        <w:pStyle w:val="BodyTextNumbering"/>
        <w:numPr>
          <w:ilvl w:val="0"/>
          <w:numId w:val="12"/>
        </w:numPr>
        <w:spacing w:before="120"/>
        <w:rPr>
          <w:sz w:val="21"/>
          <w:szCs w:val="21"/>
        </w:rPr>
      </w:pPr>
      <w:r w:rsidRPr="00E83CB1">
        <w:rPr>
          <w:sz w:val="21"/>
          <w:szCs w:val="21"/>
        </w:rPr>
        <w:t xml:space="preserve">Additional information may be required depending on the type of activity. This is outlined based on the assessment process. Refer to the </w:t>
      </w:r>
      <w:hyperlink r:id="rId51" w:history="1">
        <w:r w:rsidRPr="00E83CB1">
          <w:rPr>
            <w:rStyle w:val="Hyperlink"/>
            <w:sz w:val="21"/>
            <w:szCs w:val="21"/>
          </w:rPr>
          <w:t>Application guidelines</w:t>
        </w:r>
      </w:hyperlink>
      <w:r w:rsidRPr="00E83CB1">
        <w:rPr>
          <w:sz w:val="21"/>
          <w:szCs w:val="21"/>
        </w:rPr>
        <w:t xml:space="preserve"> for more information on how assessment processes are determined. </w:t>
      </w:r>
    </w:p>
    <w:p w14:paraId="2B8E2448" w14:textId="49D23DAD" w:rsidR="00E83CB1" w:rsidRPr="00D90FEA" w:rsidRDefault="00E83CB1" w:rsidP="00E83CB1">
      <w:pPr>
        <w:pStyle w:val="BodyTextNumbering"/>
        <w:numPr>
          <w:ilvl w:val="0"/>
          <w:numId w:val="12"/>
        </w:numPr>
        <w:spacing w:before="120"/>
      </w:pPr>
      <w:r w:rsidRPr="00E83CB1">
        <w:rPr>
          <w:rFonts w:cs="Arial"/>
          <w:sz w:val="21"/>
          <w:szCs w:val="21"/>
        </w:rPr>
        <w:t xml:space="preserve">Depending on the permission type, </w:t>
      </w:r>
      <w:r w:rsidR="00F82D4E" w:rsidRPr="00F82D4E">
        <w:rPr>
          <w:sz w:val="21"/>
          <w:szCs w:val="21"/>
        </w:rPr>
        <w:t>the Authority</w:t>
      </w:r>
      <w:r w:rsidRPr="00E83CB1">
        <w:rPr>
          <w:rFonts w:cs="Arial"/>
          <w:sz w:val="21"/>
          <w:szCs w:val="21"/>
        </w:rPr>
        <w:t xml:space="preserve"> may require applicants to provide social and heritage impact assessment conducted and reported by an appropriately qualified person.</w:t>
      </w:r>
      <w:r w:rsidRPr="00AD768E">
        <w:rPr>
          <w:rFonts w:cs="Arial"/>
          <w:szCs w:val="20"/>
        </w:rPr>
        <w:t xml:space="preserve"> </w:t>
      </w:r>
    </w:p>
    <w:p w14:paraId="058FEC1D" w14:textId="720530C0" w:rsidR="00726463" w:rsidRDefault="00726463" w:rsidP="006838F4">
      <w:pPr>
        <w:pStyle w:val="Heading1"/>
      </w:pPr>
      <w:r>
        <w:t xml:space="preserve">Implementation </w:t>
      </w:r>
    </w:p>
    <w:p w14:paraId="27F8F397" w14:textId="77777777" w:rsidR="00E83CB1" w:rsidRPr="00E83CB1" w:rsidRDefault="00E83CB1" w:rsidP="00E83CB1">
      <w:pPr>
        <w:numPr>
          <w:ilvl w:val="0"/>
          <w:numId w:val="12"/>
        </w:numPr>
        <w:spacing w:after="120"/>
        <w:rPr>
          <w:color w:val="000000" w:themeColor="text1"/>
          <w:szCs w:val="21"/>
        </w:rPr>
      </w:pPr>
      <w:r w:rsidRPr="00E83CB1">
        <w:rPr>
          <w:color w:val="000000" w:themeColor="text1"/>
          <w:szCs w:val="21"/>
        </w:rPr>
        <w:t>These guidelines will be reviewed and updated if required at least every three (3) years.</w:t>
      </w:r>
    </w:p>
    <w:p w14:paraId="14A5AD3E" w14:textId="77777777" w:rsidR="00E83CB1" w:rsidRPr="00E83CB1" w:rsidRDefault="00E83CB1" w:rsidP="00E83CB1">
      <w:pPr>
        <w:numPr>
          <w:ilvl w:val="0"/>
          <w:numId w:val="12"/>
        </w:numPr>
        <w:spacing w:after="120"/>
        <w:rPr>
          <w:color w:val="000000" w:themeColor="text1"/>
          <w:szCs w:val="21"/>
        </w:rPr>
      </w:pPr>
      <w:r w:rsidRPr="00E83CB1">
        <w:rPr>
          <w:szCs w:val="21"/>
          <w:lang w:val="en-US"/>
        </w:rPr>
        <w:t xml:space="preserve">The Permission System Policy and other guidelines are available which provide further detail on how the </w:t>
      </w:r>
      <w:r w:rsidRPr="00E83CB1">
        <w:rPr>
          <w:rFonts w:cs="Arial"/>
          <w:color w:val="000000" w:themeColor="text1"/>
          <w:szCs w:val="21"/>
        </w:rPr>
        <w:t>Authority</w:t>
      </w:r>
      <w:r w:rsidRPr="00E83CB1">
        <w:rPr>
          <w:szCs w:val="21"/>
          <w:lang w:val="en-US"/>
        </w:rPr>
        <w:t xml:space="preserve"> assesses, decides and manages specific aspects of the permission system and the application process.</w:t>
      </w:r>
    </w:p>
    <w:p w14:paraId="32F3DEA5" w14:textId="77777777" w:rsidR="00E83CB1" w:rsidRPr="00E83CB1" w:rsidRDefault="00E83CB1" w:rsidP="00E83CB1">
      <w:pPr>
        <w:numPr>
          <w:ilvl w:val="0"/>
          <w:numId w:val="12"/>
        </w:numPr>
        <w:spacing w:after="120"/>
        <w:rPr>
          <w:color w:val="000000" w:themeColor="text1"/>
          <w:szCs w:val="21"/>
        </w:rPr>
      </w:pPr>
      <w:r w:rsidRPr="00E83CB1">
        <w:rPr>
          <w:color w:val="000000" w:themeColor="text1"/>
          <w:szCs w:val="21"/>
        </w:rPr>
        <w:t xml:space="preserve">For actions that are wholly or partially outside the Marine Parks, the </w:t>
      </w:r>
      <w:r w:rsidRPr="00E83CB1">
        <w:rPr>
          <w:rFonts w:cs="Arial"/>
          <w:color w:val="000000" w:themeColor="text1"/>
          <w:szCs w:val="21"/>
        </w:rPr>
        <w:t>Authority</w:t>
      </w:r>
      <w:r w:rsidRPr="00E83CB1">
        <w:rPr>
          <w:color w:val="000000" w:themeColor="text1"/>
          <w:szCs w:val="21"/>
        </w:rPr>
        <w:t xml:space="preserve"> will continue to liaise with the Commonwealth Department responsible for the EPBC Act</w:t>
      </w:r>
      <w:r w:rsidRPr="00E83CB1">
        <w:rPr>
          <w:rFonts w:cs="Arial"/>
          <w:i/>
          <w:color w:val="000000" w:themeColor="text1"/>
          <w:szCs w:val="21"/>
        </w:rPr>
        <w:t>.</w:t>
      </w:r>
      <w:r w:rsidRPr="00E83CB1">
        <w:rPr>
          <w:color w:val="000000" w:themeColor="text1"/>
          <w:szCs w:val="21"/>
        </w:rPr>
        <w:t xml:space="preserve"> Where a bilateral agreement exists between the Australian Government and the Queensland Government, depending on the terms of the agreement the Commonwealth Department’s role may be delivered by the Queensland Government. The </w:t>
      </w:r>
      <w:r w:rsidRPr="00E83CB1">
        <w:rPr>
          <w:rFonts w:cs="Arial"/>
          <w:color w:val="000000" w:themeColor="text1"/>
          <w:szCs w:val="21"/>
        </w:rPr>
        <w:t>Authority</w:t>
      </w:r>
      <w:r w:rsidRPr="00E83CB1">
        <w:rPr>
          <w:color w:val="000000" w:themeColor="text1"/>
          <w:szCs w:val="21"/>
        </w:rPr>
        <w:t xml:space="preserve"> will work with both levels of government according to agreed procedures, such as a Memorandum of Understanding, to provide advice on matters that may affect the Great Barrier Reef. </w:t>
      </w:r>
    </w:p>
    <w:p w14:paraId="058FEC1F" w14:textId="77777777" w:rsidR="00544C7A" w:rsidRDefault="005A10C6" w:rsidP="006838F4">
      <w:pPr>
        <w:pStyle w:val="Heading1"/>
      </w:pPr>
      <w:r>
        <w:t>Definitions</w:t>
      </w:r>
    </w:p>
    <w:p w14:paraId="331E37DF" w14:textId="07012AFA" w:rsidR="00E83CB1" w:rsidRPr="00E83CB1" w:rsidRDefault="00E83CB1" w:rsidP="00E83CB1">
      <w:pPr>
        <w:pStyle w:val="DefinitionTerm0"/>
        <w:ind w:left="0"/>
        <w:rPr>
          <w:rFonts w:cs="Times New Roman"/>
          <w:bCs w:val="0"/>
          <w:sz w:val="21"/>
          <w:szCs w:val="21"/>
        </w:rPr>
      </w:pPr>
      <w:r w:rsidRPr="00E83CB1">
        <w:rPr>
          <w:rFonts w:cs="Times New Roman"/>
          <w:bCs w:val="0"/>
          <w:sz w:val="21"/>
          <w:szCs w:val="21"/>
        </w:rPr>
        <w:t xml:space="preserve">Refer to the </w:t>
      </w:r>
      <w:hyperlink r:id="rId52" w:history="1">
        <w:r w:rsidRPr="00E83CB1">
          <w:rPr>
            <w:rStyle w:val="Hyperlink"/>
            <w:rFonts w:cs="Times New Roman"/>
            <w:bCs w:val="0"/>
            <w:sz w:val="21"/>
            <w:szCs w:val="21"/>
          </w:rPr>
          <w:t>Permission System Policy</w:t>
        </w:r>
      </w:hyperlink>
      <w:r w:rsidRPr="00E83CB1">
        <w:rPr>
          <w:rFonts w:cs="Times New Roman"/>
          <w:bCs w:val="0"/>
          <w:sz w:val="21"/>
          <w:szCs w:val="21"/>
        </w:rPr>
        <w:t xml:space="preserve"> for a list of general definitions relating to the permission system. </w:t>
      </w:r>
    </w:p>
    <w:p w14:paraId="2952385C" w14:textId="77777777" w:rsidR="00E83CB1" w:rsidRPr="00E83CB1" w:rsidRDefault="00E83CB1" w:rsidP="00E83CB1">
      <w:pPr>
        <w:pStyle w:val="DefinitionHeadings"/>
        <w:rPr>
          <w:sz w:val="21"/>
          <w:szCs w:val="21"/>
        </w:rPr>
      </w:pPr>
    </w:p>
    <w:p w14:paraId="5248FB2F" w14:textId="77777777" w:rsidR="00E83CB1" w:rsidRPr="00E83CB1" w:rsidRDefault="00E83CB1" w:rsidP="00E83CB1">
      <w:pPr>
        <w:pStyle w:val="DefinitionHeadings"/>
        <w:rPr>
          <w:sz w:val="21"/>
          <w:szCs w:val="21"/>
        </w:rPr>
      </w:pPr>
      <w:r w:rsidRPr="00E83CB1">
        <w:rPr>
          <w:sz w:val="21"/>
          <w:szCs w:val="21"/>
        </w:rPr>
        <w:t xml:space="preserve">Burra Charter </w:t>
      </w:r>
    </w:p>
    <w:p w14:paraId="54D92B24" w14:textId="77777777" w:rsidR="00E83CB1" w:rsidRPr="00E83CB1" w:rsidRDefault="00E83CB1" w:rsidP="00E83CB1">
      <w:pPr>
        <w:pStyle w:val="DefinitionTerm0"/>
        <w:rPr>
          <w:sz w:val="21"/>
          <w:szCs w:val="21"/>
        </w:rPr>
      </w:pPr>
      <w:r w:rsidRPr="00E83CB1">
        <w:rPr>
          <w:sz w:val="21"/>
          <w:szCs w:val="21"/>
        </w:rPr>
        <w:t>Is the primary reference for managing the heritage values of historic places.</w:t>
      </w:r>
      <w:r w:rsidRPr="00E83CB1">
        <w:rPr>
          <w:sz w:val="21"/>
          <w:szCs w:val="21"/>
        </w:rPr>
        <w:fldChar w:fldCharType="begin"/>
      </w:r>
      <w:r w:rsidRPr="00E83CB1">
        <w:rPr>
          <w:sz w:val="21"/>
          <w:szCs w:val="21"/>
        </w:rPr>
        <w:instrText>ADDIN RW.CITE{{24659 AustraliaInternationalCouncilonMonumentsandSites(ICOMOS) 2013}}</w:instrText>
      </w:r>
      <w:r w:rsidRPr="00E83CB1">
        <w:rPr>
          <w:sz w:val="21"/>
          <w:szCs w:val="21"/>
        </w:rPr>
        <w:fldChar w:fldCharType="separate"/>
      </w:r>
      <w:r w:rsidRPr="00E83CB1">
        <w:rPr>
          <w:sz w:val="21"/>
          <w:szCs w:val="21"/>
          <w:vertAlign w:val="superscript"/>
        </w:rPr>
        <w:t>3</w:t>
      </w:r>
      <w:r w:rsidRPr="00E83CB1">
        <w:rPr>
          <w:sz w:val="21"/>
          <w:szCs w:val="21"/>
        </w:rPr>
        <w:fldChar w:fldCharType="end"/>
      </w:r>
      <w:r w:rsidRPr="00E83CB1">
        <w:rPr>
          <w:sz w:val="21"/>
          <w:szCs w:val="21"/>
        </w:rPr>
        <w:t xml:space="preserve"> </w:t>
      </w:r>
    </w:p>
    <w:p w14:paraId="2A58E197" w14:textId="77777777" w:rsidR="00E83CB1" w:rsidRPr="00E83CB1" w:rsidRDefault="00E83CB1" w:rsidP="00E83CB1">
      <w:pPr>
        <w:spacing w:before="40" w:after="40"/>
        <w:rPr>
          <w:rFonts w:cs="Arial"/>
          <w:b/>
          <w:bCs/>
          <w:color w:val="000000" w:themeColor="text1"/>
          <w:szCs w:val="21"/>
        </w:rPr>
      </w:pPr>
      <w:r w:rsidRPr="00E83CB1">
        <w:rPr>
          <w:rFonts w:cs="Arial"/>
          <w:b/>
          <w:bCs/>
          <w:color w:val="000000" w:themeColor="text1"/>
          <w:szCs w:val="21"/>
        </w:rPr>
        <w:t xml:space="preserve">Fabric </w:t>
      </w:r>
    </w:p>
    <w:p w14:paraId="2ED32BB5" w14:textId="77777777" w:rsidR="00E83CB1" w:rsidRPr="00E83CB1" w:rsidRDefault="00E83CB1" w:rsidP="00E83CB1">
      <w:pPr>
        <w:pStyle w:val="DefinitionTerm0"/>
        <w:rPr>
          <w:b/>
          <w:sz w:val="21"/>
          <w:szCs w:val="21"/>
        </w:rPr>
      </w:pPr>
      <w:r w:rsidRPr="00E83CB1">
        <w:rPr>
          <w:sz w:val="21"/>
          <w:szCs w:val="21"/>
        </w:rPr>
        <w:t>Means all the physical material of the place including elements, fixtures, contents, and objects (</w:t>
      </w:r>
      <w:r w:rsidRPr="00E83CB1">
        <w:rPr>
          <w:i/>
          <w:sz w:val="21"/>
          <w:szCs w:val="21"/>
        </w:rPr>
        <w:t>Burra Charter</w:t>
      </w:r>
      <w:r w:rsidRPr="00E83CB1">
        <w:rPr>
          <w:sz w:val="21"/>
          <w:szCs w:val="21"/>
        </w:rPr>
        <w:t>).</w:t>
      </w:r>
      <w:r w:rsidRPr="00E83CB1">
        <w:rPr>
          <w:sz w:val="21"/>
          <w:szCs w:val="21"/>
        </w:rPr>
        <w:fldChar w:fldCharType="begin"/>
      </w:r>
      <w:r w:rsidRPr="00E83CB1">
        <w:rPr>
          <w:sz w:val="21"/>
          <w:szCs w:val="21"/>
        </w:rPr>
        <w:instrText>ADDIN RW.CITE{{24659 AustraliaInternationalCouncilonMonumentsandSites(ICOMOS) 2013}}</w:instrText>
      </w:r>
      <w:r w:rsidRPr="00E83CB1">
        <w:rPr>
          <w:sz w:val="21"/>
          <w:szCs w:val="21"/>
        </w:rPr>
        <w:fldChar w:fldCharType="separate"/>
      </w:r>
      <w:r w:rsidRPr="00E83CB1">
        <w:rPr>
          <w:sz w:val="21"/>
          <w:szCs w:val="21"/>
          <w:vertAlign w:val="superscript"/>
        </w:rPr>
        <w:t>3</w:t>
      </w:r>
      <w:r w:rsidRPr="00E83CB1">
        <w:rPr>
          <w:sz w:val="21"/>
          <w:szCs w:val="21"/>
        </w:rPr>
        <w:fldChar w:fldCharType="end"/>
      </w:r>
      <w:r w:rsidRPr="00E83CB1">
        <w:rPr>
          <w:b/>
          <w:sz w:val="21"/>
          <w:szCs w:val="21"/>
        </w:rPr>
        <w:t xml:space="preserve"> </w:t>
      </w:r>
    </w:p>
    <w:p w14:paraId="76408E06" w14:textId="77777777" w:rsidR="00E83CB1" w:rsidRPr="00E83CB1" w:rsidRDefault="00E83CB1" w:rsidP="00E83CB1">
      <w:pPr>
        <w:spacing w:before="40" w:after="40"/>
        <w:rPr>
          <w:rFonts w:cs="Arial"/>
          <w:b/>
          <w:color w:val="000000" w:themeColor="text1"/>
          <w:szCs w:val="21"/>
        </w:rPr>
      </w:pPr>
      <w:r w:rsidRPr="00E83CB1">
        <w:rPr>
          <w:rFonts w:cs="Arial"/>
          <w:b/>
          <w:color w:val="000000" w:themeColor="text1"/>
          <w:szCs w:val="21"/>
        </w:rPr>
        <w:t xml:space="preserve">Site </w:t>
      </w:r>
    </w:p>
    <w:p w14:paraId="25958321" w14:textId="77777777" w:rsidR="00E83CB1" w:rsidRPr="00E83CB1" w:rsidRDefault="00E83CB1" w:rsidP="00E83CB1">
      <w:pPr>
        <w:pStyle w:val="DefinitionTerm0"/>
        <w:rPr>
          <w:sz w:val="21"/>
          <w:szCs w:val="21"/>
        </w:rPr>
      </w:pPr>
      <w:r w:rsidRPr="00E83CB1">
        <w:rPr>
          <w:sz w:val="21"/>
          <w:szCs w:val="21"/>
        </w:rPr>
        <w:t>Includes the main feature of the site plus the surrounding area that is likely to include artefacts.</w:t>
      </w:r>
    </w:p>
    <w:p w14:paraId="058FEC24" w14:textId="77777777" w:rsidR="005A10C6" w:rsidRDefault="00326E02" w:rsidP="006838F4">
      <w:pPr>
        <w:pStyle w:val="Heading1"/>
      </w:pPr>
      <w:r>
        <w:t>Supporting information</w:t>
      </w:r>
    </w:p>
    <w:p w14:paraId="574870AE" w14:textId="77777777" w:rsidR="00E83CB1" w:rsidRPr="00A6744E" w:rsidRDefault="00E83CB1" w:rsidP="00E83CB1">
      <w:pPr>
        <w:pStyle w:val="NormalWeb"/>
        <w:ind w:firstLine="450"/>
        <w:rPr>
          <w:rFonts w:ascii="Arial" w:hAnsi="Arial" w:cs="Arial"/>
          <w:sz w:val="20"/>
          <w:szCs w:val="20"/>
        </w:rPr>
      </w:pPr>
      <w:r w:rsidRPr="00A6744E">
        <w:rPr>
          <w:rFonts w:ascii="Arial" w:hAnsi="Arial" w:cs="Arial"/>
          <w:sz w:val="20"/>
          <w:szCs w:val="20"/>
        </w:rPr>
        <w:fldChar w:fldCharType="begin"/>
      </w:r>
      <w:r w:rsidRPr="00A6744E">
        <w:rPr>
          <w:rFonts w:ascii="Arial" w:hAnsi="Arial" w:cs="Arial"/>
          <w:sz w:val="20"/>
          <w:szCs w:val="20"/>
        </w:rPr>
        <w:instrText>ADDIN RW.BIB</w:instrText>
      </w:r>
      <w:r w:rsidRPr="00A6744E">
        <w:rPr>
          <w:rFonts w:ascii="Arial" w:hAnsi="Arial" w:cs="Arial"/>
          <w:sz w:val="20"/>
          <w:szCs w:val="20"/>
        </w:rPr>
        <w:fldChar w:fldCharType="separate"/>
      </w:r>
      <w:r w:rsidRPr="00A6744E">
        <w:rPr>
          <w:rFonts w:ascii="Arial" w:hAnsi="Arial" w:cs="Arial"/>
          <w:sz w:val="20"/>
          <w:szCs w:val="20"/>
        </w:rPr>
        <w:t xml:space="preserve">1. Great Barrier Reef Marine Park Authority and the Australian Maritime Safety Authority 2013, </w:t>
      </w:r>
      <w:r w:rsidRPr="00A6744E">
        <w:rPr>
          <w:rFonts w:ascii="Arial" w:hAnsi="Arial" w:cs="Arial"/>
          <w:i/>
          <w:iCs/>
          <w:sz w:val="20"/>
          <w:szCs w:val="20"/>
        </w:rPr>
        <w:t>Dent Island Lightstation heritage management plan</w:t>
      </w:r>
      <w:r w:rsidRPr="00A6744E">
        <w:rPr>
          <w:rFonts w:ascii="Arial" w:hAnsi="Arial" w:cs="Arial"/>
          <w:sz w:val="20"/>
          <w:szCs w:val="20"/>
        </w:rPr>
        <w:t>, GBRMPA, Townsville and AMSA, Canberra.</w:t>
      </w:r>
    </w:p>
    <w:p w14:paraId="11179EA0" w14:textId="77777777" w:rsidR="00E83CB1" w:rsidRPr="00A6744E" w:rsidRDefault="00E83CB1" w:rsidP="00E83CB1">
      <w:pPr>
        <w:pStyle w:val="NormalWeb"/>
        <w:ind w:firstLine="450"/>
        <w:rPr>
          <w:rFonts w:ascii="Arial" w:hAnsi="Arial" w:cs="Arial"/>
          <w:sz w:val="20"/>
          <w:szCs w:val="20"/>
        </w:rPr>
      </w:pPr>
      <w:r w:rsidRPr="00A6744E">
        <w:rPr>
          <w:rFonts w:ascii="Arial" w:hAnsi="Arial" w:cs="Arial"/>
          <w:sz w:val="20"/>
          <w:szCs w:val="20"/>
        </w:rPr>
        <w:t xml:space="preserve">2. Great Barrier Reef Marine Park Authority 2012, </w:t>
      </w:r>
      <w:r w:rsidRPr="00A6744E">
        <w:rPr>
          <w:rFonts w:ascii="Arial" w:hAnsi="Arial" w:cs="Arial"/>
          <w:i/>
          <w:iCs/>
          <w:sz w:val="20"/>
          <w:szCs w:val="20"/>
        </w:rPr>
        <w:t>Lady Elliot Island lightstation heritage management plan</w:t>
      </w:r>
      <w:r w:rsidRPr="00A6744E">
        <w:rPr>
          <w:rFonts w:ascii="Arial" w:hAnsi="Arial" w:cs="Arial"/>
          <w:sz w:val="20"/>
          <w:szCs w:val="20"/>
        </w:rPr>
        <w:t>, GBRMPA, Townsville.</w:t>
      </w:r>
    </w:p>
    <w:p w14:paraId="522D2AAE" w14:textId="77777777" w:rsidR="00E83CB1" w:rsidRPr="00A6744E" w:rsidRDefault="00E83CB1" w:rsidP="00E83CB1">
      <w:pPr>
        <w:pStyle w:val="NormalWeb"/>
        <w:ind w:firstLine="450"/>
        <w:rPr>
          <w:rFonts w:ascii="Arial" w:hAnsi="Arial" w:cs="Arial"/>
          <w:sz w:val="20"/>
          <w:szCs w:val="20"/>
        </w:rPr>
      </w:pPr>
      <w:r w:rsidRPr="00A6744E">
        <w:rPr>
          <w:rFonts w:ascii="Arial" w:hAnsi="Arial" w:cs="Arial"/>
          <w:sz w:val="20"/>
          <w:szCs w:val="20"/>
        </w:rPr>
        <w:t>3. Australia International Council on Monuments and Sites (ICOMOS) 2013, Charter for Places of Cultural Significance, The Burra Charter, 2013.</w:t>
      </w:r>
    </w:p>
    <w:p w14:paraId="29CB24C9" w14:textId="77777777" w:rsidR="00E83CB1" w:rsidRPr="00A6744E" w:rsidRDefault="00E83CB1" w:rsidP="00E83CB1">
      <w:pPr>
        <w:pStyle w:val="NormalWeb"/>
        <w:ind w:firstLine="450"/>
        <w:rPr>
          <w:rFonts w:ascii="Arial" w:hAnsi="Arial" w:cs="Arial"/>
          <w:sz w:val="20"/>
          <w:szCs w:val="20"/>
        </w:rPr>
      </w:pPr>
      <w:r w:rsidRPr="00A6744E">
        <w:rPr>
          <w:rFonts w:ascii="Arial" w:hAnsi="Arial" w:cs="Arial"/>
          <w:sz w:val="20"/>
          <w:szCs w:val="20"/>
        </w:rPr>
        <w:t xml:space="preserve">4. Blackwood, R. 1997, </w:t>
      </w:r>
      <w:r w:rsidRPr="00A6744E">
        <w:rPr>
          <w:rFonts w:ascii="Arial" w:hAnsi="Arial" w:cs="Arial"/>
          <w:i/>
          <w:iCs/>
          <w:sz w:val="20"/>
          <w:szCs w:val="20"/>
        </w:rPr>
        <w:t xml:space="preserve">Whitsunday Islands: an historical dictionary, </w:t>
      </w:r>
      <w:r w:rsidRPr="00A6744E">
        <w:rPr>
          <w:rFonts w:ascii="Arial" w:hAnsi="Arial" w:cs="Arial"/>
          <w:sz w:val="20"/>
          <w:szCs w:val="20"/>
        </w:rPr>
        <w:t>CQU Press, Rockhampton, Qld.</w:t>
      </w:r>
      <w:r w:rsidRPr="00A6744E">
        <w:rPr>
          <w:rFonts w:ascii="Calibri" w:eastAsia="Times New Roman" w:hAnsi="Calibri"/>
          <w:sz w:val="20"/>
          <w:szCs w:val="20"/>
        </w:rPr>
        <w:t> </w:t>
      </w:r>
      <w:r w:rsidRPr="00A6744E">
        <w:rPr>
          <w:sz w:val="20"/>
          <w:szCs w:val="20"/>
        </w:rPr>
        <w:fldChar w:fldCharType="end"/>
      </w:r>
    </w:p>
    <w:p w14:paraId="058FEC26" w14:textId="77777777" w:rsidR="00326E02" w:rsidRDefault="00326E02" w:rsidP="006838F4">
      <w:pPr>
        <w:pStyle w:val="Heading1"/>
      </w:pPr>
      <w:r>
        <w:t>Further information</w:t>
      </w:r>
    </w:p>
    <w:p w14:paraId="18237DBF" w14:textId="77777777" w:rsidR="00E83CB1" w:rsidRDefault="00E83CB1" w:rsidP="00E83CB1">
      <w:pPr>
        <w:pStyle w:val="FurtherInformationText"/>
        <w:spacing w:after="0"/>
        <w:rPr>
          <w:sz w:val="21"/>
          <w:szCs w:val="21"/>
        </w:rPr>
      </w:pPr>
      <w:r w:rsidRPr="00E83CB1">
        <w:rPr>
          <w:sz w:val="21"/>
          <w:szCs w:val="21"/>
        </w:rPr>
        <w:t>Director – Policy and Planning</w:t>
      </w:r>
    </w:p>
    <w:p w14:paraId="3B536A04" w14:textId="77777777" w:rsidR="00E83CB1" w:rsidRPr="00E83CB1" w:rsidRDefault="00E83CB1" w:rsidP="00E83CB1">
      <w:pPr>
        <w:pStyle w:val="FurtherInformationText"/>
        <w:spacing w:after="0"/>
        <w:rPr>
          <w:sz w:val="21"/>
          <w:szCs w:val="21"/>
        </w:rPr>
      </w:pPr>
    </w:p>
    <w:p w14:paraId="058FEC28" w14:textId="77777777" w:rsidR="00326E02" w:rsidRPr="00EF11D8" w:rsidRDefault="00EF11D8" w:rsidP="00EF11D8">
      <w:pPr>
        <w:spacing w:after="0"/>
        <w:ind w:left="567" w:hanging="567"/>
        <w:rPr>
          <w:rFonts w:cs="Arial"/>
          <w:b/>
          <w:szCs w:val="21"/>
        </w:rPr>
      </w:pPr>
      <w:r w:rsidRPr="00EF11D8">
        <w:rPr>
          <w:rFonts w:cs="Arial"/>
          <w:b/>
          <w:szCs w:val="21"/>
        </w:rPr>
        <w:t>Great Barrier Reef Marine Park Authority</w:t>
      </w:r>
    </w:p>
    <w:p w14:paraId="058FEC29" w14:textId="7F031ED2" w:rsidR="00EF11D8" w:rsidRDefault="00C76ECE" w:rsidP="00EF11D8">
      <w:pPr>
        <w:spacing w:after="0"/>
        <w:ind w:left="567" w:hanging="567"/>
        <w:rPr>
          <w:rFonts w:cs="Arial"/>
          <w:szCs w:val="21"/>
        </w:rPr>
      </w:pPr>
      <w:r>
        <w:rPr>
          <w:rFonts w:cs="Arial"/>
          <w:szCs w:val="21"/>
        </w:rPr>
        <w:t>280 Flinders Street</w:t>
      </w:r>
    </w:p>
    <w:p w14:paraId="058FEC2A" w14:textId="77777777" w:rsidR="00EF11D8" w:rsidRDefault="00EF11D8" w:rsidP="00EF11D8">
      <w:pPr>
        <w:spacing w:after="0"/>
        <w:ind w:left="567" w:hanging="567"/>
        <w:rPr>
          <w:rFonts w:cs="Arial"/>
          <w:szCs w:val="21"/>
        </w:rPr>
      </w:pPr>
      <w:r>
        <w:rPr>
          <w:rFonts w:cs="Arial"/>
          <w:szCs w:val="21"/>
        </w:rPr>
        <w:t>PO Box 1379</w:t>
      </w:r>
    </w:p>
    <w:p w14:paraId="058FEC2B" w14:textId="77777777" w:rsidR="00EF11D8" w:rsidRDefault="00EF11D8" w:rsidP="00EF11D8">
      <w:pPr>
        <w:spacing w:after="0"/>
        <w:ind w:left="567" w:hanging="567"/>
        <w:rPr>
          <w:rFonts w:cs="Arial"/>
          <w:szCs w:val="21"/>
        </w:rPr>
      </w:pPr>
      <w:r>
        <w:rPr>
          <w:rFonts w:cs="Arial"/>
          <w:szCs w:val="21"/>
        </w:rPr>
        <w:t>Townsville Qld 4810</w:t>
      </w:r>
    </w:p>
    <w:p w14:paraId="058FEC2C" w14:textId="77777777" w:rsidR="00EF11D8" w:rsidRDefault="00EF11D8" w:rsidP="00EF11D8">
      <w:pPr>
        <w:spacing w:after="0"/>
        <w:ind w:left="567" w:hanging="567"/>
        <w:rPr>
          <w:rFonts w:cs="Arial"/>
          <w:szCs w:val="21"/>
        </w:rPr>
      </w:pPr>
      <w:r>
        <w:rPr>
          <w:rFonts w:cs="Arial"/>
          <w:szCs w:val="21"/>
        </w:rPr>
        <w:t>Australia</w:t>
      </w:r>
    </w:p>
    <w:p w14:paraId="058FEC2D" w14:textId="77777777" w:rsidR="00EF11D8" w:rsidRDefault="00EF11D8" w:rsidP="00EF11D8">
      <w:pPr>
        <w:spacing w:after="0"/>
        <w:ind w:left="567" w:hanging="567"/>
        <w:rPr>
          <w:rFonts w:cs="Arial"/>
          <w:szCs w:val="21"/>
        </w:rPr>
      </w:pPr>
    </w:p>
    <w:p w14:paraId="058FEC2E" w14:textId="77777777" w:rsidR="00EF11D8" w:rsidRDefault="00EF11D8" w:rsidP="00EF11D8">
      <w:pPr>
        <w:tabs>
          <w:tab w:val="left" w:pos="851"/>
        </w:tabs>
        <w:spacing w:after="0"/>
        <w:ind w:left="567" w:hanging="567"/>
        <w:rPr>
          <w:rFonts w:cs="Arial"/>
          <w:szCs w:val="21"/>
        </w:rPr>
      </w:pPr>
      <w:r>
        <w:rPr>
          <w:rFonts w:cs="Arial"/>
          <w:szCs w:val="21"/>
        </w:rPr>
        <w:t xml:space="preserve">Phone: </w:t>
      </w:r>
      <w:r>
        <w:rPr>
          <w:rFonts w:cs="Arial"/>
          <w:szCs w:val="21"/>
        </w:rPr>
        <w:tab/>
        <w:t>+ 61 7 4750 0700</w:t>
      </w:r>
    </w:p>
    <w:p w14:paraId="058FEC2F" w14:textId="77777777" w:rsidR="00EF11D8" w:rsidRDefault="00EF11D8" w:rsidP="00EF11D8">
      <w:pPr>
        <w:tabs>
          <w:tab w:val="left" w:pos="851"/>
        </w:tabs>
        <w:spacing w:after="0"/>
        <w:ind w:left="567" w:hanging="567"/>
        <w:rPr>
          <w:rFonts w:cs="Arial"/>
          <w:szCs w:val="21"/>
        </w:rPr>
      </w:pPr>
      <w:r>
        <w:rPr>
          <w:rFonts w:cs="Arial"/>
          <w:szCs w:val="21"/>
        </w:rPr>
        <w:t xml:space="preserve">Fax: </w:t>
      </w:r>
      <w:r>
        <w:rPr>
          <w:rFonts w:cs="Arial"/>
          <w:szCs w:val="21"/>
        </w:rPr>
        <w:tab/>
      </w:r>
      <w:r>
        <w:rPr>
          <w:rFonts w:cs="Arial"/>
          <w:szCs w:val="21"/>
        </w:rPr>
        <w:tab/>
        <w:t>+ 61 7 4722 6093</w:t>
      </w:r>
    </w:p>
    <w:p w14:paraId="058FEC30" w14:textId="77777777" w:rsidR="00EF11D8" w:rsidRDefault="00EF11D8" w:rsidP="00EF11D8">
      <w:pPr>
        <w:tabs>
          <w:tab w:val="left" w:pos="851"/>
        </w:tabs>
        <w:spacing w:after="0"/>
        <w:ind w:left="567" w:hanging="567"/>
        <w:rPr>
          <w:rFonts w:cs="Arial"/>
          <w:szCs w:val="21"/>
        </w:rPr>
      </w:pPr>
      <w:r>
        <w:rPr>
          <w:rFonts w:cs="Arial"/>
          <w:szCs w:val="21"/>
        </w:rPr>
        <w:t xml:space="preserve">Email: </w:t>
      </w:r>
      <w:r>
        <w:rPr>
          <w:rFonts w:cs="Arial"/>
          <w:szCs w:val="21"/>
        </w:rPr>
        <w:tab/>
      </w:r>
      <w:hyperlink r:id="rId53" w:history="1">
        <w:r w:rsidRPr="00E23407">
          <w:rPr>
            <w:rStyle w:val="Hyperlink"/>
            <w:rFonts w:cs="Arial"/>
            <w:szCs w:val="21"/>
          </w:rPr>
          <w:t>info@gbrmpa.gov.au</w:t>
        </w:r>
      </w:hyperlink>
      <w:r>
        <w:rPr>
          <w:rFonts w:cs="Arial"/>
          <w:szCs w:val="21"/>
        </w:rPr>
        <w:t xml:space="preserve"> </w:t>
      </w:r>
    </w:p>
    <w:p w14:paraId="058FEC31" w14:textId="77777777" w:rsidR="00EF11D8" w:rsidRDefault="00EF11D8" w:rsidP="00EF11D8">
      <w:pPr>
        <w:spacing w:after="0"/>
        <w:ind w:left="567" w:hanging="567"/>
        <w:rPr>
          <w:rFonts w:cs="Arial"/>
          <w:szCs w:val="21"/>
        </w:rPr>
      </w:pPr>
    </w:p>
    <w:p w14:paraId="058FEC32" w14:textId="77777777" w:rsidR="00EF11D8" w:rsidRDefault="00EC30B8" w:rsidP="00EF11D8">
      <w:pPr>
        <w:spacing w:after="0"/>
        <w:ind w:left="567" w:hanging="567"/>
        <w:rPr>
          <w:rFonts w:cs="Arial"/>
          <w:szCs w:val="21"/>
        </w:rPr>
      </w:pPr>
      <w:hyperlink r:id="rId54" w:tooltip="web site for the Great Barrier Reef Marine Park Authority" w:history="1">
        <w:r w:rsidR="00D968F0" w:rsidRPr="00A83438">
          <w:rPr>
            <w:rStyle w:val="Hyperlink"/>
            <w:rFonts w:cs="Arial"/>
            <w:szCs w:val="21"/>
          </w:rPr>
          <w:t>www.gbrmpa.gov.au</w:t>
        </w:r>
      </w:hyperlink>
      <w:r w:rsidR="00EF11D8">
        <w:rPr>
          <w:rFonts w:cs="Arial"/>
          <w:szCs w:val="21"/>
        </w:rPr>
        <w:t xml:space="preserve"> </w:t>
      </w:r>
    </w:p>
    <w:p w14:paraId="058FEC33" w14:textId="77777777" w:rsidR="00BA644E" w:rsidRDefault="00BA644E" w:rsidP="00EF11D8">
      <w:pPr>
        <w:spacing w:after="0"/>
        <w:ind w:left="567" w:hanging="567"/>
        <w:rPr>
          <w:rFonts w:cs="Arial"/>
          <w:szCs w:val="21"/>
        </w:rPr>
      </w:pPr>
    </w:p>
    <w:tbl>
      <w:tblPr>
        <w:tblW w:w="9752" w:type="dxa"/>
        <w:tblInd w:w="-5" w:type="dxa"/>
        <w:tblBorders>
          <w:top w:val="single" w:sz="4" w:space="0" w:color="8496B0" w:themeColor="text2" w:themeTint="99"/>
          <w:left w:val="single" w:sz="4" w:space="0" w:color="8496B0" w:themeColor="text2" w:themeTint="99"/>
          <w:bottom w:val="single" w:sz="4" w:space="0" w:color="8496B0" w:themeColor="text2" w:themeTint="99"/>
          <w:right w:val="single" w:sz="4" w:space="0" w:color="8496B0" w:themeColor="text2" w:themeTint="99"/>
        </w:tblBorders>
        <w:tblLook w:val="0680" w:firstRow="0" w:lastRow="0" w:firstColumn="1" w:lastColumn="0" w:noHBand="1" w:noVBand="1"/>
        <w:tblDescription w:val="A table which provides the control information for this document. Specifically, it includes who approved it and when, when it was last reviewed, when its next due for review, when it was created, the &quot;document custodian&quot;, and the document this one replaces (if any)."/>
      </w:tblPr>
      <w:tblGrid>
        <w:gridCol w:w="1956"/>
        <w:gridCol w:w="5103"/>
        <w:gridCol w:w="1418"/>
        <w:gridCol w:w="1275"/>
      </w:tblGrid>
      <w:tr w:rsidR="00BA644E" w:rsidRPr="007C4BCE" w14:paraId="058FEC35" w14:textId="77777777" w:rsidTr="00D968F0">
        <w:trPr>
          <w:trHeight w:val="283"/>
          <w:tblHeader/>
        </w:trPr>
        <w:tc>
          <w:tcPr>
            <w:tcW w:w="9752" w:type="dxa"/>
            <w:gridSpan w:val="4"/>
            <w:tcBorders>
              <w:top w:val="single" w:sz="4" w:space="0" w:color="8496B0" w:themeColor="text2" w:themeTint="99"/>
              <w:bottom w:val="single" w:sz="4" w:space="0" w:color="8496B0" w:themeColor="text2" w:themeTint="99"/>
            </w:tcBorders>
            <w:shd w:val="clear" w:color="auto" w:fill="D5DCE4" w:themeFill="text2" w:themeFillTint="33"/>
            <w:vAlign w:val="center"/>
            <w:hideMark/>
          </w:tcPr>
          <w:p w14:paraId="058FEC34" w14:textId="77777777" w:rsidR="00BA644E" w:rsidRPr="007C4BCE" w:rsidRDefault="00BA644E" w:rsidP="00C26D02">
            <w:pPr>
              <w:pStyle w:val="Header"/>
              <w:numPr>
                <w:ilvl w:val="12"/>
                <w:numId w:val="0"/>
              </w:numPr>
              <w:spacing w:beforeLines="20" w:before="48" w:afterLines="20" w:after="48"/>
              <w:rPr>
                <w:rFonts w:cs="Arial"/>
                <w:b/>
                <w:i/>
                <w:color w:val="808080" w:themeColor="background1" w:themeShade="80"/>
                <w:sz w:val="18"/>
                <w:szCs w:val="18"/>
              </w:rPr>
            </w:pPr>
            <w:r w:rsidRPr="007C4BCE">
              <w:rPr>
                <w:rFonts w:cs="Arial"/>
                <w:b/>
                <w:i/>
                <w:color w:val="808080" w:themeColor="background1" w:themeShade="80"/>
                <w:sz w:val="18"/>
                <w:szCs w:val="18"/>
              </w:rPr>
              <w:t>Document Control Information</w:t>
            </w:r>
          </w:p>
        </w:tc>
      </w:tr>
      <w:tr w:rsidR="00BA644E" w:rsidRPr="007C4BCE" w14:paraId="058FEC3A" w14:textId="77777777" w:rsidTr="00D968F0">
        <w:trPr>
          <w:trHeight w:val="255"/>
        </w:trPr>
        <w:tc>
          <w:tcPr>
            <w:tcW w:w="1956" w:type="dxa"/>
            <w:tcBorders>
              <w:top w:val="single" w:sz="4" w:space="0" w:color="8496B0" w:themeColor="text2" w:themeTint="99"/>
            </w:tcBorders>
            <w:shd w:val="clear" w:color="auto" w:fill="F2F2F2" w:themeFill="background1" w:themeFillShade="F2"/>
            <w:hideMark/>
          </w:tcPr>
          <w:p w14:paraId="058FEC36"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Approved by:</w:t>
            </w:r>
          </w:p>
        </w:tc>
        <w:tc>
          <w:tcPr>
            <w:tcW w:w="5103" w:type="dxa"/>
            <w:tcBorders>
              <w:top w:val="single" w:sz="4" w:space="0" w:color="8496B0" w:themeColor="text2" w:themeTint="99"/>
            </w:tcBorders>
            <w:shd w:val="clear" w:color="auto" w:fill="F2F2F2" w:themeFill="background1" w:themeFillShade="F2"/>
            <w:hideMark/>
          </w:tcPr>
          <w:p w14:paraId="058FEC37" w14:textId="361C9B63" w:rsidR="00BA644E" w:rsidRPr="007C4BCE" w:rsidRDefault="000C0C51" w:rsidP="000C0C51">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General Manager Reef Protection</w:t>
            </w:r>
          </w:p>
        </w:tc>
        <w:tc>
          <w:tcPr>
            <w:tcW w:w="1418" w:type="dxa"/>
            <w:tcBorders>
              <w:top w:val="single" w:sz="4" w:space="0" w:color="8496B0" w:themeColor="text2" w:themeTint="99"/>
            </w:tcBorders>
            <w:shd w:val="clear" w:color="auto" w:fill="F2F2F2" w:themeFill="background1" w:themeFillShade="F2"/>
            <w:hideMark/>
          </w:tcPr>
          <w:p w14:paraId="058FEC38" w14:textId="77777777" w:rsidR="00BA644E" w:rsidRPr="007C4BCE" w:rsidRDefault="00BA644E" w:rsidP="00D968F0">
            <w:pPr>
              <w:pStyle w:val="Header"/>
              <w:numPr>
                <w:ilvl w:val="12"/>
                <w:numId w:val="0"/>
              </w:numPr>
              <w:ind w:left="-108" w:right="-108"/>
              <w:rPr>
                <w:rFonts w:cs="Arial"/>
                <w:i/>
                <w:color w:val="808080" w:themeColor="background1" w:themeShade="80"/>
                <w:sz w:val="18"/>
                <w:szCs w:val="18"/>
              </w:rPr>
            </w:pPr>
            <w:r w:rsidRPr="007C4BCE">
              <w:rPr>
                <w:rFonts w:cs="Arial"/>
                <w:i/>
                <w:color w:val="808080" w:themeColor="background1" w:themeShade="80"/>
                <w:sz w:val="18"/>
                <w:szCs w:val="18"/>
              </w:rPr>
              <w:t>Approved date:</w:t>
            </w:r>
          </w:p>
        </w:tc>
        <w:sdt>
          <w:sdtPr>
            <w:rPr>
              <w:rFonts w:cs="Arial"/>
              <w:i/>
              <w:color w:val="808080" w:themeColor="background1" w:themeShade="80"/>
              <w:sz w:val="18"/>
              <w:szCs w:val="18"/>
            </w:rPr>
            <w:id w:val="410814182"/>
            <w:placeholder>
              <w:docPart w:val="2748C21E4E99448ABA2ED00B8639FE34"/>
            </w:placeholder>
            <w:date w:fullDate="2019-11-06T00:00:00Z">
              <w:dateFormat w:val="d-MMM-yy"/>
              <w:lid w:val="en-AU"/>
              <w:storeMappedDataAs w:val="dateTime"/>
              <w:calendar w:val="gregorian"/>
            </w:date>
          </w:sdtPr>
          <w:sdtEndPr/>
          <w:sdtContent>
            <w:tc>
              <w:tcPr>
                <w:tcW w:w="1275" w:type="dxa"/>
                <w:tcBorders>
                  <w:top w:val="single" w:sz="4" w:space="0" w:color="8496B0" w:themeColor="text2" w:themeTint="99"/>
                </w:tcBorders>
                <w:shd w:val="clear" w:color="auto" w:fill="F2F2F2" w:themeFill="background1" w:themeFillShade="F2"/>
              </w:tcPr>
              <w:p w14:paraId="058FEC39" w14:textId="17F2E791" w:rsidR="00BA644E" w:rsidRPr="007C4BCE" w:rsidRDefault="000C0C51" w:rsidP="00D968F0">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6-Nov-19</w:t>
                </w:r>
              </w:p>
            </w:tc>
          </w:sdtContent>
        </w:sdt>
      </w:tr>
      <w:tr w:rsidR="00BA644E" w:rsidRPr="007C4BCE" w14:paraId="058FEC3D" w14:textId="77777777" w:rsidTr="00D968F0">
        <w:trPr>
          <w:trHeight w:val="255"/>
        </w:trPr>
        <w:tc>
          <w:tcPr>
            <w:tcW w:w="1956" w:type="dxa"/>
            <w:shd w:val="clear" w:color="auto" w:fill="F2F2F2" w:themeFill="background1" w:themeFillShade="F2"/>
            <w:hideMark/>
          </w:tcPr>
          <w:p w14:paraId="058FEC3B"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Last reviewed:</w:t>
            </w:r>
          </w:p>
        </w:tc>
        <w:tc>
          <w:tcPr>
            <w:tcW w:w="7796" w:type="dxa"/>
            <w:gridSpan w:val="3"/>
            <w:shd w:val="clear" w:color="auto" w:fill="F2F2F2" w:themeFill="background1" w:themeFillShade="F2"/>
            <w:hideMark/>
          </w:tcPr>
          <w:p w14:paraId="058FEC3C" w14:textId="65DAAC3A" w:rsidR="00BA644E" w:rsidRPr="007C4BCE" w:rsidRDefault="00EC30B8" w:rsidP="00D968F0">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2066687607"/>
                <w:placeholder>
                  <w:docPart w:val="B4E88953D7784E6986A142D2032396FE"/>
                </w:placeholder>
                <w:date w:fullDate="2019-11-06T00:00:00Z">
                  <w:dateFormat w:val="d-MMM-yy"/>
                  <w:lid w:val="en-AU"/>
                  <w:storeMappedDataAs w:val="dateTime"/>
                  <w:calendar w:val="gregorian"/>
                </w:date>
              </w:sdtPr>
              <w:sdtEndPr/>
              <w:sdtContent>
                <w:r w:rsidR="002923C3">
                  <w:rPr>
                    <w:rFonts w:cs="Arial"/>
                    <w:i/>
                    <w:color w:val="808080" w:themeColor="background1" w:themeShade="80"/>
                    <w:sz w:val="18"/>
                    <w:szCs w:val="18"/>
                  </w:rPr>
                  <w:t>6-Nov-19</w:t>
                </w:r>
              </w:sdtContent>
            </w:sdt>
            <w:r w:rsidR="00BA644E" w:rsidRPr="007C4BCE">
              <w:rPr>
                <w:rFonts w:cs="Arial"/>
                <w:i/>
                <w:color w:val="808080" w:themeColor="background1" w:themeShade="80"/>
                <w:sz w:val="18"/>
                <w:szCs w:val="18"/>
              </w:rPr>
              <w:t xml:space="preserve">  </w:t>
            </w:r>
          </w:p>
        </w:tc>
      </w:tr>
      <w:tr w:rsidR="00BA644E" w:rsidRPr="007C4BCE" w14:paraId="058FEC40" w14:textId="77777777" w:rsidTr="00D968F0">
        <w:trPr>
          <w:trHeight w:val="255"/>
        </w:trPr>
        <w:tc>
          <w:tcPr>
            <w:tcW w:w="1956" w:type="dxa"/>
            <w:shd w:val="clear" w:color="auto" w:fill="F2F2F2" w:themeFill="background1" w:themeFillShade="F2"/>
            <w:hideMark/>
          </w:tcPr>
          <w:p w14:paraId="058FEC3E"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Next review:</w:t>
            </w:r>
          </w:p>
        </w:tc>
        <w:tc>
          <w:tcPr>
            <w:tcW w:w="7796" w:type="dxa"/>
            <w:gridSpan w:val="3"/>
            <w:shd w:val="clear" w:color="auto" w:fill="F2F2F2" w:themeFill="background1" w:themeFillShade="F2"/>
            <w:hideMark/>
          </w:tcPr>
          <w:p w14:paraId="058FEC3F" w14:textId="138A8C73" w:rsidR="00BA644E" w:rsidRPr="007C4BCE" w:rsidRDefault="00EC30B8" w:rsidP="00D968F0">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102880633"/>
                <w:placeholder>
                  <w:docPart w:val="95B3FED54A8D4E0F9F378467FDBABF61"/>
                </w:placeholder>
                <w:date w:fullDate="2024-11-06T00:00:00Z">
                  <w:dateFormat w:val="d-MMM-yy"/>
                  <w:lid w:val="en-AU"/>
                  <w:storeMappedDataAs w:val="dateTime"/>
                  <w:calendar w:val="gregorian"/>
                </w:date>
              </w:sdtPr>
              <w:sdtEndPr/>
              <w:sdtContent>
                <w:r w:rsidR="002923C3">
                  <w:rPr>
                    <w:rFonts w:cs="Arial"/>
                    <w:i/>
                    <w:color w:val="808080" w:themeColor="background1" w:themeShade="80"/>
                    <w:sz w:val="18"/>
                    <w:szCs w:val="18"/>
                  </w:rPr>
                  <w:t>6-Nov-24</w:t>
                </w:r>
              </w:sdtContent>
            </w:sdt>
            <w:r w:rsidR="00BA644E" w:rsidRPr="007C4BCE">
              <w:rPr>
                <w:rFonts w:cs="Arial"/>
                <w:i/>
                <w:color w:val="808080" w:themeColor="background1" w:themeShade="80"/>
                <w:sz w:val="18"/>
                <w:szCs w:val="18"/>
              </w:rPr>
              <w:t xml:space="preserve"> </w:t>
            </w:r>
          </w:p>
        </w:tc>
      </w:tr>
      <w:tr w:rsidR="00BA644E" w:rsidRPr="007C4BCE" w14:paraId="058FEC43" w14:textId="77777777" w:rsidTr="00D968F0">
        <w:trPr>
          <w:trHeight w:val="255"/>
        </w:trPr>
        <w:tc>
          <w:tcPr>
            <w:tcW w:w="1956" w:type="dxa"/>
            <w:shd w:val="clear" w:color="auto" w:fill="F2F2F2" w:themeFill="background1" w:themeFillShade="F2"/>
            <w:hideMark/>
          </w:tcPr>
          <w:p w14:paraId="058FEC41"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Created:</w:t>
            </w:r>
          </w:p>
        </w:tc>
        <w:tc>
          <w:tcPr>
            <w:tcW w:w="7796" w:type="dxa"/>
            <w:gridSpan w:val="3"/>
            <w:shd w:val="clear" w:color="auto" w:fill="F2F2F2" w:themeFill="background1" w:themeFillShade="F2"/>
            <w:hideMark/>
          </w:tcPr>
          <w:p w14:paraId="058FEC42" w14:textId="5BE0AFA9" w:rsidR="00BA644E" w:rsidRPr="007C4BCE" w:rsidRDefault="00EC30B8" w:rsidP="00D968F0">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1163159528"/>
                <w:placeholder>
                  <w:docPart w:val="5D37C3F44A5A49049B285B6334494C82"/>
                </w:placeholder>
                <w:date w:fullDate="2019-11-06T00:00:00Z">
                  <w:dateFormat w:val="d-MMM-yy"/>
                  <w:lid w:val="en-AU"/>
                  <w:storeMappedDataAs w:val="dateTime"/>
                  <w:calendar w:val="gregorian"/>
                </w:date>
              </w:sdtPr>
              <w:sdtEndPr/>
              <w:sdtContent>
                <w:r w:rsidR="002923C3">
                  <w:rPr>
                    <w:rFonts w:cs="Arial"/>
                    <w:i/>
                    <w:color w:val="808080" w:themeColor="background1" w:themeShade="80"/>
                    <w:sz w:val="18"/>
                    <w:szCs w:val="18"/>
                  </w:rPr>
                  <w:t>6-Nov-19</w:t>
                </w:r>
              </w:sdtContent>
            </w:sdt>
            <w:r w:rsidR="00BA644E" w:rsidRPr="007C4BCE">
              <w:rPr>
                <w:rFonts w:cs="Arial"/>
                <w:i/>
                <w:color w:val="808080" w:themeColor="background1" w:themeShade="80"/>
                <w:sz w:val="18"/>
                <w:szCs w:val="18"/>
              </w:rPr>
              <w:t xml:space="preserve">  </w:t>
            </w:r>
          </w:p>
        </w:tc>
      </w:tr>
      <w:tr w:rsidR="00BA644E" w:rsidRPr="007C4BCE" w14:paraId="058FEC46" w14:textId="77777777" w:rsidTr="00D968F0">
        <w:trPr>
          <w:trHeight w:val="255"/>
        </w:trPr>
        <w:tc>
          <w:tcPr>
            <w:tcW w:w="1956" w:type="dxa"/>
            <w:shd w:val="clear" w:color="auto" w:fill="F2F2F2" w:themeFill="background1" w:themeFillShade="F2"/>
            <w:hideMark/>
          </w:tcPr>
          <w:p w14:paraId="058FEC44"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Document custodian:</w:t>
            </w:r>
          </w:p>
        </w:tc>
        <w:tc>
          <w:tcPr>
            <w:tcW w:w="7796" w:type="dxa"/>
            <w:gridSpan w:val="3"/>
            <w:shd w:val="clear" w:color="auto" w:fill="F2F2F2" w:themeFill="background1" w:themeFillShade="F2"/>
            <w:hideMark/>
          </w:tcPr>
          <w:p w14:paraId="058FEC45" w14:textId="00017879" w:rsidR="00BA644E" w:rsidRPr="007C4BCE" w:rsidRDefault="002923C3" w:rsidP="002923C3">
            <w:pPr>
              <w:pStyle w:val="Header"/>
              <w:numPr>
                <w:ilvl w:val="12"/>
                <w:numId w:val="0"/>
              </w:numPr>
              <w:rPr>
                <w:rFonts w:cs="Arial"/>
                <w:i/>
                <w:color w:val="808080" w:themeColor="background1" w:themeShade="80"/>
                <w:sz w:val="18"/>
                <w:szCs w:val="18"/>
                <w:highlight w:val="yellow"/>
              </w:rPr>
            </w:pPr>
            <w:r>
              <w:rPr>
                <w:rFonts w:cs="Arial"/>
                <w:i/>
                <w:color w:val="808080" w:themeColor="background1" w:themeShade="80"/>
                <w:sz w:val="18"/>
                <w:szCs w:val="18"/>
              </w:rPr>
              <w:t>Director, Policy and Planning</w:t>
            </w:r>
          </w:p>
        </w:tc>
      </w:tr>
      <w:tr w:rsidR="00BA644E" w:rsidRPr="007C4BCE" w14:paraId="058FEC49" w14:textId="77777777" w:rsidTr="00D968F0">
        <w:trPr>
          <w:trHeight w:val="255"/>
        </w:trPr>
        <w:tc>
          <w:tcPr>
            <w:tcW w:w="1956" w:type="dxa"/>
            <w:shd w:val="clear" w:color="auto" w:fill="F2F2F2" w:themeFill="background1" w:themeFillShade="F2"/>
            <w:hideMark/>
          </w:tcPr>
          <w:p w14:paraId="058FEC47"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Replaces:</w:t>
            </w:r>
          </w:p>
        </w:tc>
        <w:tc>
          <w:tcPr>
            <w:tcW w:w="7796" w:type="dxa"/>
            <w:gridSpan w:val="3"/>
            <w:shd w:val="clear" w:color="auto" w:fill="F2F2F2" w:themeFill="background1" w:themeFillShade="F2"/>
            <w:hideMark/>
          </w:tcPr>
          <w:p w14:paraId="058FEC48" w14:textId="6BB4A084" w:rsidR="00BA644E" w:rsidRPr="007C4BCE" w:rsidRDefault="00EC30B8" w:rsidP="002923C3">
            <w:pPr>
              <w:pStyle w:val="Header"/>
              <w:numPr>
                <w:ilvl w:val="12"/>
                <w:numId w:val="0"/>
              </w:numPr>
              <w:rPr>
                <w:rFonts w:cs="Arial"/>
                <w:i/>
                <w:color w:val="808080" w:themeColor="background1" w:themeShade="80"/>
                <w:sz w:val="18"/>
                <w:szCs w:val="18"/>
                <w:highlight w:val="yellow"/>
              </w:rPr>
            </w:pPr>
            <w:sdt>
              <w:sdtPr>
                <w:rPr>
                  <w:rFonts w:cs="Arial"/>
                  <w:i/>
                  <w:color w:val="808080" w:themeColor="background1" w:themeShade="80"/>
                  <w:sz w:val="18"/>
                  <w:szCs w:val="18"/>
                </w:rPr>
                <w:id w:val="-954319110"/>
                <w:placeholder>
                  <w:docPart w:val="EEED32D9AAEC425D809AA141C065DD61"/>
                </w:placeholder>
                <w:text/>
              </w:sdtPr>
              <w:sdtEndPr/>
              <w:sdtContent>
                <w:r w:rsidR="002923C3">
                  <w:rPr>
                    <w:rFonts w:cs="Arial"/>
                    <w:i/>
                    <w:color w:val="808080" w:themeColor="background1" w:themeShade="80"/>
                    <w:sz w:val="18"/>
                    <w:szCs w:val="18"/>
                  </w:rPr>
                  <w:t>New</w:t>
                </w:r>
              </w:sdtContent>
            </w:sdt>
          </w:p>
        </w:tc>
      </w:tr>
    </w:tbl>
    <w:p w14:paraId="058FEC4A" w14:textId="77777777" w:rsidR="00BA644E" w:rsidRDefault="00BA644E" w:rsidP="00BA644E">
      <w:pPr>
        <w:spacing w:after="0"/>
        <w:ind w:left="567" w:hanging="567"/>
        <w:rPr>
          <w:rFonts w:cs="Arial"/>
          <w:szCs w:val="21"/>
        </w:rPr>
      </w:pPr>
    </w:p>
    <w:sectPr w:rsidR="00BA644E" w:rsidSect="00326E02">
      <w:headerReference w:type="default" r:id="rId55"/>
      <w:type w:val="continuous"/>
      <w:pgSz w:w="11906" w:h="16838" w:code="9"/>
      <w:pgMar w:top="1134" w:right="1134" w:bottom="1560" w:left="1134"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8FEC4D" w14:textId="77777777" w:rsidR="006F0B2E" w:rsidRDefault="006F0B2E" w:rsidP="00C418D2">
      <w:pPr>
        <w:spacing w:after="0"/>
      </w:pPr>
      <w:r>
        <w:separator/>
      </w:r>
    </w:p>
  </w:endnote>
  <w:endnote w:type="continuationSeparator" w:id="0">
    <w:p w14:paraId="058FEC4E" w14:textId="77777777" w:rsidR="006F0B2E" w:rsidRDefault="006F0B2E" w:rsidP="00C418D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Bold">
    <w:panose1 w:val="020B0704020202020204"/>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B44F58" w14:textId="77777777" w:rsidR="00093D5D" w:rsidRDefault="00093D5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3" w14:textId="77777777" w:rsidR="006F0B2E" w:rsidRPr="00326E02" w:rsidRDefault="006F0B2E" w:rsidP="00C418D2">
    <w:pPr>
      <w:pStyle w:val="Footer"/>
      <w:pBdr>
        <w:top w:val="single" w:sz="4" w:space="1" w:color="DEEAF6" w:themeColor="accent1" w:themeTint="33"/>
      </w:pBdr>
      <w:ind w:right="107"/>
      <w:jc w:val="center"/>
      <w:rPr>
        <w:rFonts w:cs="Arial"/>
        <w:color w:val="BFBFBF" w:themeColor="background1" w:themeShade="BF"/>
        <w:sz w:val="16"/>
        <w:szCs w:val="16"/>
      </w:rPr>
    </w:pPr>
    <w:r w:rsidRPr="00326E02">
      <w:rPr>
        <w:rFonts w:cs="Arial"/>
        <w:b/>
        <w:color w:val="BFBFBF" w:themeColor="background1" w:themeShade="BF"/>
        <w:sz w:val="16"/>
        <w:szCs w:val="16"/>
      </w:rPr>
      <w:t>CAUTION</w:t>
    </w:r>
    <w:r w:rsidRPr="00326E02">
      <w:rPr>
        <w:rFonts w:cs="Arial"/>
        <w:color w:val="BFBFBF" w:themeColor="background1" w:themeShade="BF"/>
        <w:sz w:val="16"/>
        <w:szCs w:val="16"/>
      </w:rPr>
      <w:t>: Only the electronic copy of a document sourced from either GBRMPA’s internal ‘</w:t>
    </w:r>
    <w:hyperlink r:id="rId1" w:history="1">
      <w:r w:rsidRPr="0067596C">
        <w:rPr>
          <w:rStyle w:val="Hyperlink"/>
          <w:rFonts w:cs="Arial"/>
          <w:sz w:val="16"/>
          <w:szCs w:val="16"/>
        </w:rPr>
        <w:t>Master Document List</w:t>
      </w:r>
    </w:hyperlink>
    <w:r w:rsidRPr="00326E02">
      <w:rPr>
        <w:rFonts w:cs="Arial"/>
        <w:color w:val="BFBFBF" w:themeColor="background1" w:themeShade="BF"/>
        <w:sz w:val="16"/>
        <w:szCs w:val="16"/>
      </w:rPr>
      <w:t>’ or external ‘</w:t>
    </w:r>
    <w:hyperlink r:id="rId2" w:history="1">
      <w:r w:rsidRPr="0067596C">
        <w:rPr>
          <w:rStyle w:val="Hyperlink"/>
          <w:rFonts w:cs="Arial"/>
          <w:sz w:val="16"/>
          <w:szCs w:val="16"/>
        </w:rPr>
        <w:t>eLibrary</w:t>
      </w:r>
    </w:hyperlink>
    <w:r w:rsidRPr="00326E02">
      <w:rPr>
        <w:rFonts w:cs="Arial"/>
        <w:color w:val="BFBFBF" w:themeColor="background1" w:themeShade="BF"/>
        <w:sz w:val="16"/>
        <w:szCs w:val="16"/>
      </w:rPr>
      <w:t>’ is controlled. Check the revision number of printed copies against these lists to verify currency.</w:t>
    </w:r>
  </w:p>
  <w:p w14:paraId="058FEC54" w14:textId="3D8B474A" w:rsidR="006F0B2E" w:rsidRPr="0067596C" w:rsidRDefault="006F0B2E" w:rsidP="00C418D2">
    <w:pPr>
      <w:pStyle w:val="Footer"/>
      <w:tabs>
        <w:tab w:val="right" w:pos="9746"/>
        <w:tab w:val="right" w:pos="9781"/>
      </w:tabs>
      <w:rPr>
        <w:rFonts w:cs="Arial"/>
        <w:iCs/>
        <w:color w:val="BFBFBF" w:themeColor="background1" w:themeShade="BF"/>
        <w:spacing w:val="4"/>
        <w:sz w:val="16"/>
        <w:szCs w:val="16"/>
      </w:rPr>
    </w:pPr>
    <w:r>
      <w:rPr>
        <w:rFonts w:cs="Arial"/>
        <w:b/>
        <w:color w:val="7F7F7F" w:themeColor="text1" w:themeTint="80"/>
        <w:sz w:val="16"/>
        <w:szCs w:val="16"/>
      </w:rPr>
      <w:t>Guideline</w:t>
    </w:r>
    <w:r w:rsidRPr="0067596C">
      <w:rPr>
        <w:rFonts w:cs="Arial"/>
        <w:b/>
        <w:color w:val="BFBFBF" w:themeColor="background1" w:themeShade="BF"/>
        <w:sz w:val="16"/>
        <w:szCs w:val="16"/>
      </w:rPr>
      <w:tab/>
    </w:r>
    <w:r w:rsidRPr="0067596C">
      <w:rPr>
        <w:rFonts w:cs="Arial"/>
        <w:b/>
        <w:color w:val="BFBFBF" w:themeColor="background1" w:themeShade="BF"/>
        <w:sz w:val="16"/>
        <w:szCs w:val="16"/>
      </w:rPr>
      <w:tab/>
    </w:r>
    <w:r w:rsidRPr="00326E02">
      <w:rPr>
        <w:rFonts w:cs="Arial"/>
        <w:color w:val="BFBFBF" w:themeColor="background1" w:themeShade="BF"/>
        <w:sz w:val="16"/>
        <w:szCs w:val="16"/>
      </w:rPr>
      <w:t>GBRMPA d</w:t>
    </w:r>
    <w:r w:rsidRPr="00326E02">
      <w:rPr>
        <w:rFonts w:cs="Arial"/>
        <w:iCs/>
        <w:color w:val="BFBFBF" w:themeColor="background1" w:themeShade="BF"/>
        <w:spacing w:val="4"/>
        <w:sz w:val="16"/>
        <w:szCs w:val="16"/>
      </w:rPr>
      <w:t>ocument No: 100</w:t>
    </w:r>
    <w:r w:rsidR="002923C3">
      <w:rPr>
        <w:rFonts w:cs="Arial"/>
        <w:iCs/>
        <w:color w:val="BFBFBF" w:themeColor="background1" w:themeShade="BF"/>
        <w:spacing w:val="4"/>
        <w:sz w:val="16"/>
        <w:szCs w:val="16"/>
      </w:rPr>
      <w:t>497</w:t>
    </w:r>
    <w:r w:rsidRPr="00326E02">
      <w:rPr>
        <w:rFonts w:cs="Arial"/>
        <w:iCs/>
        <w:color w:val="BFBFBF" w:themeColor="background1" w:themeShade="BF"/>
        <w:spacing w:val="4"/>
        <w:sz w:val="16"/>
        <w:szCs w:val="16"/>
      </w:rPr>
      <w:t xml:space="preserve"> Revision: </w:t>
    </w:r>
    <w:r w:rsidR="002923C3">
      <w:rPr>
        <w:rFonts w:cs="Arial"/>
        <w:iCs/>
        <w:color w:val="BFBFBF" w:themeColor="background1" w:themeShade="BF"/>
        <w:spacing w:val="4"/>
        <w:sz w:val="16"/>
        <w:szCs w:val="16"/>
      </w:rPr>
      <w:t>0</w:t>
    </w:r>
  </w:p>
  <w:p w14:paraId="058FEC55" w14:textId="6490788D" w:rsidR="006F0B2E" w:rsidRPr="00C418D2" w:rsidRDefault="006F0B2E" w:rsidP="00C418D2">
    <w:pPr>
      <w:pStyle w:val="Footer"/>
      <w:tabs>
        <w:tab w:val="right" w:pos="9781"/>
      </w:tabs>
      <w:rPr>
        <w:rFonts w:cs="Arial"/>
        <w:iCs/>
        <w:color w:val="BFBFBF" w:themeColor="background1" w:themeShade="BF"/>
        <w:spacing w:val="4"/>
        <w:sz w:val="16"/>
        <w:szCs w:val="16"/>
      </w:rPr>
    </w:pPr>
    <w:r w:rsidRPr="00326E02">
      <w:rPr>
        <w:rFonts w:cs="Arial"/>
        <w:spacing w:val="4"/>
        <w:sz w:val="20"/>
        <w:szCs w:val="16"/>
      </w:rPr>
      <w:t xml:space="preserve">Page </w:t>
    </w:r>
    <w:r w:rsidRPr="00326E02">
      <w:rPr>
        <w:rFonts w:cs="Arial"/>
        <w:b/>
        <w:spacing w:val="4"/>
        <w:sz w:val="20"/>
        <w:szCs w:val="16"/>
      </w:rPr>
      <w:fldChar w:fldCharType="begin"/>
    </w:r>
    <w:r w:rsidRPr="00326E02">
      <w:rPr>
        <w:rFonts w:cs="Arial"/>
        <w:b/>
        <w:spacing w:val="4"/>
        <w:sz w:val="20"/>
        <w:szCs w:val="16"/>
      </w:rPr>
      <w:instrText xml:space="preserve"> PAGE </w:instrText>
    </w:r>
    <w:r w:rsidRPr="00326E02">
      <w:rPr>
        <w:rFonts w:cs="Arial"/>
        <w:b/>
        <w:spacing w:val="4"/>
        <w:sz w:val="20"/>
        <w:szCs w:val="16"/>
      </w:rPr>
      <w:fldChar w:fldCharType="separate"/>
    </w:r>
    <w:r w:rsidR="00EC30B8">
      <w:rPr>
        <w:rFonts w:cs="Arial"/>
        <w:b/>
        <w:noProof/>
        <w:spacing w:val="4"/>
        <w:sz w:val="20"/>
        <w:szCs w:val="16"/>
      </w:rPr>
      <w:t>1</w:t>
    </w:r>
    <w:r w:rsidRPr="00326E02">
      <w:rPr>
        <w:rFonts w:cs="Arial"/>
        <w:b/>
        <w:spacing w:val="4"/>
        <w:sz w:val="20"/>
        <w:szCs w:val="16"/>
      </w:rPr>
      <w:fldChar w:fldCharType="end"/>
    </w:r>
    <w:r w:rsidRPr="00326E02">
      <w:rPr>
        <w:rFonts w:cs="Arial"/>
        <w:spacing w:val="4"/>
        <w:sz w:val="20"/>
        <w:szCs w:val="16"/>
      </w:rPr>
      <w:t xml:space="preserve"> of </w:t>
    </w:r>
    <w:r w:rsidRPr="00326E02">
      <w:rPr>
        <w:rFonts w:cs="Arial"/>
        <w:b/>
        <w:spacing w:val="4"/>
        <w:sz w:val="20"/>
        <w:szCs w:val="16"/>
      </w:rPr>
      <w:fldChar w:fldCharType="begin"/>
    </w:r>
    <w:r w:rsidRPr="00326E02">
      <w:rPr>
        <w:rFonts w:cs="Arial"/>
        <w:b/>
        <w:spacing w:val="4"/>
        <w:sz w:val="20"/>
        <w:szCs w:val="16"/>
      </w:rPr>
      <w:instrText xml:space="preserve"> NUMPAGES </w:instrText>
    </w:r>
    <w:r w:rsidRPr="00326E02">
      <w:rPr>
        <w:rFonts w:cs="Arial"/>
        <w:b/>
        <w:spacing w:val="4"/>
        <w:sz w:val="20"/>
        <w:szCs w:val="16"/>
      </w:rPr>
      <w:fldChar w:fldCharType="separate"/>
    </w:r>
    <w:r w:rsidR="00EC30B8">
      <w:rPr>
        <w:rFonts w:cs="Arial"/>
        <w:b/>
        <w:noProof/>
        <w:spacing w:val="4"/>
        <w:sz w:val="20"/>
        <w:szCs w:val="16"/>
      </w:rPr>
      <w:t>1</w:t>
    </w:r>
    <w:r w:rsidRPr="00326E02">
      <w:rPr>
        <w:rFonts w:cs="Arial"/>
        <w:b/>
        <w:spacing w:val="4"/>
        <w:sz w:val="20"/>
        <w:szCs w:val="16"/>
      </w:rPr>
      <w:fldChar w:fldCharType="end"/>
    </w:r>
    <w:r w:rsidRPr="0067596C">
      <w:rPr>
        <w:rFonts w:cs="Arial"/>
        <w:color w:val="BFBFBF" w:themeColor="background1" w:themeShade="BF"/>
        <w:spacing w:val="4"/>
        <w:sz w:val="16"/>
        <w:szCs w:val="16"/>
      </w:rPr>
      <w:tab/>
    </w:r>
    <w:r w:rsidRPr="0067596C">
      <w:rPr>
        <w:rFonts w:cs="Arial"/>
        <w:color w:val="BFBFBF" w:themeColor="background1" w:themeShade="BF"/>
        <w:spacing w:val="4"/>
        <w:sz w:val="16"/>
        <w:szCs w:val="16"/>
      </w:rPr>
      <w:tab/>
    </w:r>
    <w:r w:rsidRPr="00326E02">
      <w:rPr>
        <w:rFonts w:cs="Arial"/>
        <w:iCs/>
        <w:color w:val="BFBFBF" w:themeColor="background1" w:themeShade="BF"/>
        <w:spacing w:val="4"/>
        <w:sz w:val="16"/>
        <w:szCs w:val="16"/>
      </w:rPr>
      <w:t xml:space="preserve">Date: </w:t>
    </w:r>
    <w:sdt>
      <w:sdtPr>
        <w:rPr>
          <w:rFonts w:cs="Arial"/>
          <w:iCs/>
          <w:color w:val="BFBFBF" w:themeColor="background1" w:themeShade="BF"/>
          <w:spacing w:val="4"/>
          <w:sz w:val="16"/>
          <w:szCs w:val="16"/>
        </w:rPr>
        <w:id w:val="-224607093"/>
        <w:placeholder>
          <w:docPart w:val="6BE38545A7C94EC8BA24063576F658F3"/>
        </w:placeholder>
        <w:date w:fullDate="2019-11-06T00:00:00Z">
          <w:dateFormat w:val="dd-MMM-yyyy"/>
          <w:lid w:val="en-AU"/>
          <w:storeMappedDataAs w:val="dateTime"/>
          <w:calendar w:val="gregorian"/>
        </w:date>
      </w:sdtPr>
      <w:sdtEndPr/>
      <w:sdtContent>
        <w:r w:rsidR="002923C3">
          <w:rPr>
            <w:rFonts w:cs="Arial"/>
            <w:iCs/>
            <w:color w:val="BFBFBF" w:themeColor="background1" w:themeShade="BF"/>
            <w:spacing w:val="4"/>
            <w:sz w:val="16"/>
            <w:szCs w:val="16"/>
          </w:rPr>
          <w:t>06-Nov-2019</w:t>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A499E8" w14:textId="77777777" w:rsidR="00093D5D" w:rsidRDefault="00093D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8FEC4B" w14:textId="77777777" w:rsidR="006F0B2E" w:rsidRDefault="006F0B2E" w:rsidP="00C418D2">
      <w:pPr>
        <w:spacing w:after="0"/>
      </w:pPr>
      <w:r>
        <w:separator/>
      </w:r>
    </w:p>
  </w:footnote>
  <w:footnote w:type="continuationSeparator" w:id="0">
    <w:p w14:paraId="058FEC4C" w14:textId="77777777" w:rsidR="006F0B2E" w:rsidRDefault="006F0B2E" w:rsidP="00C418D2">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0E9037" w14:textId="77777777" w:rsidR="00093D5D" w:rsidRDefault="00093D5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766" w:type="dxa"/>
      <w:tblInd w:w="-1134"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ayout w:type="fixed"/>
      <w:tblLook w:val="04A0" w:firstRow="1" w:lastRow="0" w:firstColumn="1" w:lastColumn="0" w:noHBand="0" w:noVBand="1"/>
      <w:tblCaption w:val="Policy header"/>
      <w:tblDescription w:val="A table that makes up the header, identifying the Australian and Queensland Governments as custodians of this Policy."/>
    </w:tblPr>
    <w:tblGrid>
      <w:gridCol w:w="2835"/>
      <w:gridCol w:w="8931"/>
    </w:tblGrid>
    <w:tr w:rsidR="006F0B2E" w:rsidRPr="00425A4B" w14:paraId="058FEC51" w14:textId="77777777" w:rsidTr="00C603A8">
      <w:trPr>
        <w:trHeight w:val="964"/>
        <w:tblHeader/>
      </w:trPr>
      <w:tc>
        <w:tcPr>
          <w:tcW w:w="2835" w:type="dxa"/>
          <w:tcBorders>
            <w:top w:val="nil"/>
            <w:left w:val="nil"/>
            <w:bottom w:val="nil"/>
            <w:right w:val="single" w:sz="24" w:space="0" w:color="FFFFFF" w:themeColor="background1"/>
          </w:tcBorders>
          <w:shd w:val="clear" w:color="auto" w:fill="auto"/>
          <w:vAlign w:val="center"/>
        </w:tcPr>
        <w:p w14:paraId="058FEC4F" w14:textId="77777777" w:rsidR="006F0B2E" w:rsidRDefault="006F0B2E" w:rsidP="00C603A8">
          <w:pPr>
            <w:ind w:right="-28"/>
          </w:pPr>
          <w:r w:rsidRPr="00F92553">
            <w:rPr>
              <w:noProof/>
              <w:sz w:val="8"/>
            </w:rPr>
            <w:drawing>
              <wp:inline distT="0" distB="0" distL="0" distR="0" wp14:anchorId="058FEC57" wp14:editId="058FEC58">
                <wp:extent cx="1781175" cy="1064260"/>
                <wp:effectExtent l="0" t="0" r="9525" b="2540"/>
                <wp:docPr id="6" name="Picture 6"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188" t="557" r="76452" b="37205"/>
                        <a:stretch/>
                      </pic:blipFill>
                      <pic:spPr bwMode="auto">
                        <a:xfrm>
                          <a:off x="0" y="0"/>
                          <a:ext cx="1784081" cy="1065996"/>
                        </a:xfrm>
                        <a:prstGeom prst="rect">
                          <a:avLst/>
                        </a:prstGeom>
                        <a:solidFill>
                          <a:srgbClr val="006194">
                            <a:alpha val="0"/>
                          </a:srgbClr>
                        </a:solidFill>
                        <a:ln>
                          <a:noFill/>
                        </a:ln>
                        <a:extLst>
                          <a:ext uri="{53640926-AAD7-44D8-BBD7-CCE9431645EC}">
                            <a14:shadowObscured xmlns:a14="http://schemas.microsoft.com/office/drawing/2010/main"/>
                          </a:ext>
                        </a:extLst>
                      </pic:spPr>
                    </pic:pic>
                  </a:graphicData>
                </a:graphic>
              </wp:inline>
            </w:drawing>
          </w:r>
        </w:p>
      </w:tc>
      <w:tc>
        <w:tcPr>
          <w:tcW w:w="8931" w:type="dxa"/>
          <w:tcBorders>
            <w:top w:val="nil"/>
            <w:left w:val="single" w:sz="24" w:space="0" w:color="FFFFFF" w:themeColor="background1"/>
            <w:bottom w:val="nil"/>
            <w:right w:val="nil"/>
          </w:tcBorders>
          <w:shd w:val="clear" w:color="auto" w:fill="003C64"/>
          <w:vAlign w:val="center"/>
        </w:tcPr>
        <w:p w14:paraId="058FEC50" w14:textId="77777777" w:rsidR="006F0B2E" w:rsidRPr="00E75DFA" w:rsidRDefault="006F0B2E" w:rsidP="00C603A8">
          <w:pPr>
            <w:tabs>
              <w:tab w:val="left" w:pos="7830"/>
            </w:tabs>
            <w:ind w:right="885"/>
            <w:jc w:val="right"/>
            <w:rPr>
              <w:rFonts w:cs="Arial"/>
              <w:color w:val="FFFFFF" w:themeColor="background1"/>
              <w:sz w:val="36"/>
            </w:rPr>
          </w:pPr>
          <w:r>
            <w:rPr>
              <w:rFonts w:cs="Arial"/>
              <w:color w:val="FFFFFF" w:themeColor="background1"/>
              <w:sz w:val="96"/>
            </w:rPr>
            <w:t>Guidelines</w:t>
          </w:r>
        </w:p>
      </w:tc>
    </w:tr>
  </w:tbl>
  <w:p w14:paraId="3A2E5A4E" w14:textId="333E558B" w:rsidR="006F0B2E" w:rsidRPr="00A34BFD" w:rsidRDefault="005E5997" w:rsidP="006838F4">
    <w:pPr>
      <w:pStyle w:val="Heading1"/>
    </w:pPr>
    <w:r>
      <w:t>Historic Heritage A</w:t>
    </w:r>
    <w:r w:rsidR="006F0B2E">
      <w:t>ssessment –</w:t>
    </w:r>
    <w:r>
      <w:t xml:space="preserve"> Lightstations and Aids to N</w:t>
    </w:r>
    <w:r w:rsidR="006F0B2E">
      <w:t>avigation</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522914" w14:textId="77777777" w:rsidR="00093D5D" w:rsidRDefault="00093D5D">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6" w14:textId="7CE40C05" w:rsidR="006F0B2E" w:rsidRPr="00C418D2" w:rsidRDefault="006F0B2E" w:rsidP="002E4461">
    <w:pPr>
      <w:pStyle w:val="Header"/>
      <w:pBdr>
        <w:bottom w:val="single" w:sz="4" w:space="1" w:color="DEEAF6" w:themeColor="accent1" w:themeTint="33"/>
      </w:pBdr>
      <w:tabs>
        <w:tab w:val="right" w:pos="9746"/>
      </w:tabs>
      <w:rPr>
        <w:rFonts w:cs="Arial"/>
        <w:b/>
        <w:color w:val="595959" w:themeColor="text1" w:themeTint="A6"/>
        <w:sz w:val="17"/>
        <w:szCs w:val="17"/>
      </w:rPr>
    </w:pPr>
    <w:r w:rsidRPr="00A379FA">
      <w:rPr>
        <w:rFonts w:cs="Arial"/>
        <w:b/>
        <w:color w:val="8496B0" w:themeColor="text2" w:themeTint="99"/>
        <w:sz w:val="17"/>
        <w:szCs w:val="17"/>
      </w:rPr>
      <w:t>Guidelines</w:t>
    </w:r>
    <w:r w:rsidRPr="00A379FA">
      <w:rPr>
        <w:rFonts w:cs="Arial"/>
        <w:color w:val="8496B0" w:themeColor="text2" w:themeTint="99"/>
        <w:sz w:val="17"/>
        <w:szCs w:val="17"/>
      </w:rPr>
      <w:t xml:space="preserve"> – </w:t>
    </w:r>
    <w:r w:rsidRPr="002E4461">
      <w:rPr>
        <w:rFonts w:cs="Arial"/>
        <w:color w:val="8496B0" w:themeColor="text2" w:themeTint="99"/>
        <w:sz w:val="17"/>
        <w:szCs w:val="17"/>
      </w:rPr>
      <w:t xml:space="preserve">Historic heritage </w:t>
    </w:r>
    <w:r w:rsidR="005E5997">
      <w:rPr>
        <w:rFonts w:cs="Arial"/>
        <w:color w:val="8496B0" w:themeColor="text2" w:themeTint="99"/>
        <w:sz w:val="17"/>
        <w:szCs w:val="17"/>
      </w:rPr>
      <w:t>assessment</w:t>
    </w:r>
    <w:r w:rsidRPr="002E4461">
      <w:rPr>
        <w:rFonts w:cs="Arial"/>
        <w:color w:val="8496B0" w:themeColor="text2" w:themeTint="99"/>
        <w:sz w:val="17"/>
        <w:szCs w:val="17"/>
      </w:rPr>
      <w:t xml:space="preserve"> – Lightstations and </w:t>
    </w:r>
    <w:r w:rsidR="0021654C">
      <w:rPr>
        <w:rFonts w:cs="Arial"/>
        <w:color w:val="8496B0" w:themeColor="text2" w:themeTint="99"/>
        <w:sz w:val="17"/>
        <w:szCs w:val="17"/>
      </w:rPr>
      <w:t>A</w:t>
    </w:r>
    <w:r w:rsidRPr="002E4461">
      <w:rPr>
        <w:rFonts w:cs="Arial"/>
        <w:color w:val="8496B0" w:themeColor="text2" w:themeTint="99"/>
        <w:sz w:val="17"/>
        <w:szCs w:val="17"/>
      </w:rPr>
      <w:t xml:space="preserve">ids to </w:t>
    </w:r>
    <w:r w:rsidR="0021654C">
      <w:rPr>
        <w:rFonts w:cs="Arial"/>
        <w:color w:val="8496B0" w:themeColor="text2" w:themeTint="99"/>
        <w:sz w:val="17"/>
        <w:szCs w:val="17"/>
      </w:rPr>
      <w:t>N</w:t>
    </w:r>
    <w:r w:rsidRPr="002E4461">
      <w:rPr>
        <w:rFonts w:cs="Arial"/>
        <w:color w:val="8496B0" w:themeColor="text2" w:themeTint="99"/>
        <w:sz w:val="17"/>
        <w:szCs w:val="17"/>
      </w:rPr>
      <w:t>avigation</w:t>
    </w:r>
    <w:r>
      <w:rPr>
        <w:rFonts w:cs="Arial"/>
        <w:color w:val="8496B0" w:themeColor="text2" w:themeTint="99"/>
        <w:sz w:val="17"/>
        <w:szCs w:val="17"/>
      </w:rPr>
      <w:tab/>
    </w:r>
    <w:r>
      <w:rPr>
        <w:rFonts w:cs="Arial"/>
        <w:color w:val="8496B0" w:themeColor="text2" w:themeTint="99"/>
        <w:sz w:val="17"/>
        <w:szCs w:val="17"/>
      </w:rPr>
      <w:tab/>
      <w:t xml:space="preserve">(v. </w:t>
    </w:r>
    <w:r w:rsidR="002923C3">
      <w:rPr>
        <w:rFonts w:cs="Arial"/>
        <w:color w:val="8496B0" w:themeColor="text2" w:themeTint="99"/>
        <w:sz w:val="17"/>
        <w:szCs w:val="17"/>
      </w:rPr>
      <w:t>0</w:t>
    </w:r>
    <w:r>
      <w:rPr>
        <w:rFonts w:cs="Arial"/>
        <w:color w:val="8496B0" w:themeColor="text2" w:themeTint="99"/>
        <w:sz w:val="17"/>
        <w:szCs w:val="17"/>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777AC6"/>
    <w:multiLevelType w:val="multilevel"/>
    <w:tmpl w:val="C40818C8"/>
    <w:lvl w:ilvl="0">
      <w:start w:val="33"/>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vertAlign w:val="baseline"/>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 w15:restartNumberingAfterBreak="0">
    <w:nsid w:val="05A53561"/>
    <w:multiLevelType w:val="hybridMultilevel"/>
    <w:tmpl w:val="4B36E556"/>
    <w:lvl w:ilvl="0" w:tplc="416C4E12">
      <w:start w:val="1"/>
      <w:numFmt w:val="lowerLetter"/>
      <w:lvlText w:val="%1."/>
      <w:lvlJc w:val="left"/>
      <w:pPr>
        <w:ind w:left="1134" w:hanging="567"/>
      </w:pPr>
      <w:rPr>
        <w:rFonts w:hint="default"/>
        <w:vertAlign w:val="baseline"/>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169A4BA1"/>
    <w:multiLevelType w:val="hybridMultilevel"/>
    <w:tmpl w:val="9DEAB2F2"/>
    <w:lvl w:ilvl="0" w:tplc="C35C51E0">
      <w:start w:val="29"/>
      <w:numFmt w:val="decimal"/>
      <w:lvlText w:val="%1."/>
      <w:lvlJc w:val="left"/>
      <w:pPr>
        <w:ind w:left="709" w:hanging="567"/>
      </w:pPr>
      <w:rPr>
        <w:rFonts w:ascii="Arial" w:hAnsi="Arial" w:cs="Arial" w:hint="default"/>
        <w:sz w:val="20"/>
        <w:szCs w:val="20"/>
        <w:vertAlign w:val="baseline"/>
      </w:rPr>
    </w:lvl>
    <w:lvl w:ilvl="1" w:tplc="0C090019">
      <w:start w:val="1"/>
      <w:numFmt w:val="lowerLetter"/>
      <w:lvlText w:val="%2."/>
      <w:lvlJc w:val="left"/>
      <w:pPr>
        <w:ind w:left="1440" w:hanging="360"/>
      </w:pPr>
    </w:lvl>
    <w:lvl w:ilvl="2" w:tplc="925A219A">
      <w:numFmt w:val="bullet"/>
      <w:lvlText w:val="-"/>
      <w:lvlJc w:val="left"/>
      <w:pPr>
        <w:ind w:left="2340" w:hanging="360"/>
      </w:pPr>
      <w:rPr>
        <w:rFonts w:ascii="Arial" w:eastAsiaTheme="minorEastAsia" w:hAnsi="Arial" w:cs="Arial" w:hint="default"/>
      </w:r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1E7238DE"/>
    <w:multiLevelType w:val="hybridMultilevel"/>
    <w:tmpl w:val="C26C37E6"/>
    <w:lvl w:ilvl="0" w:tplc="0C090019">
      <w:start w:val="1"/>
      <w:numFmt w:val="lowerLetter"/>
      <w:lvlText w:val="%1."/>
      <w:lvlJc w:val="left"/>
      <w:pPr>
        <w:ind w:left="1080" w:hanging="360"/>
      </w:pPr>
    </w:lvl>
    <w:lvl w:ilvl="1" w:tplc="0C090019">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4" w15:restartNumberingAfterBreak="0">
    <w:nsid w:val="1F495D12"/>
    <w:multiLevelType w:val="multilevel"/>
    <w:tmpl w:val="D7E06F64"/>
    <w:lvl w:ilvl="0">
      <w:start w:val="28"/>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vertAlign w:val="baseline"/>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5" w15:restartNumberingAfterBreak="0">
    <w:nsid w:val="2EB7559C"/>
    <w:multiLevelType w:val="hybridMultilevel"/>
    <w:tmpl w:val="0C2897B2"/>
    <w:lvl w:ilvl="0" w:tplc="0C090019">
      <w:start w:val="1"/>
      <w:numFmt w:val="lowerLetter"/>
      <w:lvlText w:val="%1."/>
      <w:lvlJc w:val="left"/>
      <w:pPr>
        <w:ind w:left="1800" w:hanging="360"/>
      </w:pPr>
    </w:lvl>
    <w:lvl w:ilvl="1" w:tplc="0C090019" w:tentative="1">
      <w:start w:val="1"/>
      <w:numFmt w:val="lowerLetter"/>
      <w:lvlText w:val="%2."/>
      <w:lvlJc w:val="left"/>
      <w:pPr>
        <w:ind w:left="2520" w:hanging="360"/>
      </w:pPr>
    </w:lvl>
    <w:lvl w:ilvl="2" w:tplc="0C09001B" w:tentative="1">
      <w:start w:val="1"/>
      <w:numFmt w:val="lowerRoman"/>
      <w:lvlText w:val="%3."/>
      <w:lvlJc w:val="right"/>
      <w:pPr>
        <w:ind w:left="3240" w:hanging="180"/>
      </w:pPr>
    </w:lvl>
    <w:lvl w:ilvl="3" w:tplc="0C09000F" w:tentative="1">
      <w:start w:val="1"/>
      <w:numFmt w:val="decimal"/>
      <w:lvlText w:val="%4."/>
      <w:lvlJc w:val="left"/>
      <w:pPr>
        <w:ind w:left="3960" w:hanging="360"/>
      </w:pPr>
    </w:lvl>
    <w:lvl w:ilvl="4" w:tplc="0C090019" w:tentative="1">
      <w:start w:val="1"/>
      <w:numFmt w:val="lowerLetter"/>
      <w:lvlText w:val="%5."/>
      <w:lvlJc w:val="left"/>
      <w:pPr>
        <w:ind w:left="4680" w:hanging="360"/>
      </w:pPr>
    </w:lvl>
    <w:lvl w:ilvl="5" w:tplc="0C09001B" w:tentative="1">
      <w:start w:val="1"/>
      <w:numFmt w:val="lowerRoman"/>
      <w:lvlText w:val="%6."/>
      <w:lvlJc w:val="right"/>
      <w:pPr>
        <w:ind w:left="5400" w:hanging="180"/>
      </w:pPr>
    </w:lvl>
    <w:lvl w:ilvl="6" w:tplc="0C09000F" w:tentative="1">
      <w:start w:val="1"/>
      <w:numFmt w:val="decimal"/>
      <w:lvlText w:val="%7."/>
      <w:lvlJc w:val="left"/>
      <w:pPr>
        <w:ind w:left="6120" w:hanging="360"/>
      </w:pPr>
    </w:lvl>
    <w:lvl w:ilvl="7" w:tplc="0C090019" w:tentative="1">
      <w:start w:val="1"/>
      <w:numFmt w:val="lowerLetter"/>
      <w:lvlText w:val="%8."/>
      <w:lvlJc w:val="left"/>
      <w:pPr>
        <w:ind w:left="6840" w:hanging="360"/>
      </w:pPr>
    </w:lvl>
    <w:lvl w:ilvl="8" w:tplc="0C09001B" w:tentative="1">
      <w:start w:val="1"/>
      <w:numFmt w:val="lowerRoman"/>
      <w:lvlText w:val="%9."/>
      <w:lvlJc w:val="right"/>
      <w:pPr>
        <w:ind w:left="7560" w:hanging="180"/>
      </w:pPr>
    </w:lvl>
  </w:abstractNum>
  <w:abstractNum w:abstractNumId="6" w15:restartNumberingAfterBreak="0">
    <w:nsid w:val="393E2FCB"/>
    <w:multiLevelType w:val="multilevel"/>
    <w:tmpl w:val="D7E06F64"/>
    <w:lvl w:ilvl="0">
      <w:start w:val="28"/>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vertAlign w:val="baseline"/>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7"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 w15:restartNumberingAfterBreak="0">
    <w:nsid w:val="40AC56AF"/>
    <w:multiLevelType w:val="hybridMultilevel"/>
    <w:tmpl w:val="942862D2"/>
    <w:lvl w:ilvl="0" w:tplc="6462957A">
      <w:start w:val="1"/>
      <w:numFmt w:val="decimal"/>
      <w:pStyle w:val="ListParagraph"/>
      <w:lvlText w:val="%1."/>
      <w:lvlJc w:val="left"/>
      <w:pPr>
        <w:ind w:left="567" w:hanging="567"/>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 w15:restartNumberingAfterBreak="0">
    <w:nsid w:val="4DB67349"/>
    <w:multiLevelType w:val="multilevel"/>
    <w:tmpl w:val="D7E06F64"/>
    <w:lvl w:ilvl="0">
      <w:start w:val="28"/>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vertAlign w:val="baseline"/>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0" w15:restartNumberingAfterBreak="0">
    <w:nsid w:val="5FC667A3"/>
    <w:multiLevelType w:val="hybridMultilevel"/>
    <w:tmpl w:val="BE98472E"/>
    <w:lvl w:ilvl="0" w:tplc="D8444058">
      <w:start w:val="1"/>
      <w:numFmt w:val="lowerLetter"/>
      <w:lvlText w:val="%1."/>
      <w:lvlJc w:val="left"/>
      <w:pPr>
        <w:ind w:left="1701" w:hanging="567"/>
      </w:pPr>
      <w:rPr>
        <w:rFonts w:hint="default"/>
        <w:vertAlign w:val="baseline"/>
      </w:r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1" w15:restartNumberingAfterBreak="0">
    <w:nsid w:val="6B074587"/>
    <w:multiLevelType w:val="hybridMultilevel"/>
    <w:tmpl w:val="325686A8"/>
    <w:lvl w:ilvl="0" w:tplc="82A22394">
      <w:start w:val="1"/>
      <w:numFmt w:val="decimal"/>
      <w:lvlText w:val="%1."/>
      <w:lvlJc w:val="left"/>
      <w:pPr>
        <w:ind w:left="360" w:hanging="360"/>
      </w:pPr>
    </w:lvl>
    <w:lvl w:ilvl="1" w:tplc="416C4E12">
      <w:start w:val="1"/>
      <w:numFmt w:val="lowerLetter"/>
      <w:lvlText w:val="%2."/>
      <w:lvlJc w:val="left"/>
      <w:pPr>
        <w:ind w:left="1134" w:hanging="567"/>
      </w:pPr>
      <w:rPr>
        <w:rFonts w:hint="default"/>
        <w:vertAlign w:val="baseline"/>
      </w:rPr>
    </w:lvl>
    <w:lvl w:ilvl="2" w:tplc="3F52A436">
      <w:start w:val="1"/>
      <w:numFmt w:val="lowerRoman"/>
      <w:lvlText w:val="%3."/>
      <w:lvlJc w:val="left"/>
      <w:pPr>
        <w:ind w:left="1701" w:hanging="567"/>
      </w:pPr>
      <w:rPr>
        <w:rFonts w:hint="default"/>
      </w:rPr>
    </w:lvl>
    <w:lvl w:ilvl="3" w:tplc="0C09000F">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2" w15:restartNumberingAfterBreak="0">
    <w:nsid w:val="6BA32764"/>
    <w:multiLevelType w:val="hybridMultilevel"/>
    <w:tmpl w:val="B846E304"/>
    <w:lvl w:ilvl="0" w:tplc="0C090017">
      <w:start w:val="1"/>
      <w:numFmt w:val="lowerLetter"/>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3" w15:restartNumberingAfterBreak="0">
    <w:nsid w:val="71550D17"/>
    <w:multiLevelType w:val="hybridMultilevel"/>
    <w:tmpl w:val="F954B3A2"/>
    <w:lvl w:ilvl="0" w:tplc="8326B968">
      <w:start w:val="1"/>
      <w:numFmt w:val="decimal"/>
      <w:lvlText w:val="%1."/>
      <w:lvlJc w:val="left"/>
      <w:pPr>
        <w:ind w:left="567" w:hanging="567"/>
      </w:pPr>
      <w:rPr>
        <w:rFonts w:hint="default"/>
        <w:vertAlign w:val="baseline"/>
      </w:r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C8E69E9A">
      <w:start w:val="1"/>
      <w:numFmt w:val="decimal"/>
      <w:lvlText w:val="%4)"/>
      <w:lvlJc w:val="left"/>
      <w:pPr>
        <w:ind w:left="2520" w:hanging="360"/>
      </w:pPr>
      <w:rPr>
        <w:rFonts w:hint="default"/>
      </w:rPr>
    </w:lvl>
    <w:lvl w:ilvl="4" w:tplc="D2CC5850">
      <w:start w:val="1"/>
      <w:numFmt w:val="lowerLetter"/>
      <w:lvlText w:val="(%5)"/>
      <w:lvlJc w:val="left"/>
      <w:pPr>
        <w:ind w:left="3240" w:hanging="360"/>
      </w:pPr>
      <w:rPr>
        <w:rFonts w:hint="default"/>
      </w:r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4" w15:restartNumberingAfterBreak="0">
    <w:nsid w:val="7C3717EB"/>
    <w:multiLevelType w:val="hybridMultilevel"/>
    <w:tmpl w:val="4D121082"/>
    <w:lvl w:ilvl="0" w:tplc="C35C51E0">
      <w:start w:val="29"/>
      <w:numFmt w:val="decimal"/>
      <w:lvlText w:val="%1."/>
      <w:lvlJc w:val="left"/>
      <w:pPr>
        <w:ind w:left="709" w:hanging="567"/>
      </w:pPr>
      <w:rPr>
        <w:rFonts w:ascii="Arial" w:hAnsi="Arial" w:cs="Arial" w:hint="default"/>
        <w:sz w:val="20"/>
        <w:szCs w:val="20"/>
        <w:vertAlign w:val="baseline"/>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7CBF0E6B"/>
    <w:multiLevelType w:val="hybridMultilevel"/>
    <w:tmpl w:val="926CCFF4"/>
    <w:lvl w:ilvl="0" w:tplc="0B561FE4">
      <w:start w:val="28"/>
      <w:numFmt w:val="decimal"/>
      <w:lvlText w:val="%1."/>
      <w:lvlJc w:val="left"/>
      <w:pPr>
        <w:ind w:left="567"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7F203B14"/>
    <w:multiLevelType w:val="multilevel"/>
    <w:tmpl w:val="0308A882"/>
    <w:lvl w:ilvl="0">
      <w:start w:val="35"/>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vertAlign w:val="baseline"/>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num w:numId="1">
    <w:abstractNumId w:val="8"/>
  </w:num>
  <w:num w:numId="2">
    <w:abstractNumId w:val="8"/>
    <w:lvlOverride w:ilvl="0">
      <w:startOverride w:val="1"/>
    </w:lvlOverride>
  </w:num>
  <w:num w:numId="3">
    <w:abstractNumId w:val="11"/>
  </w:num>
  <w:num w:numId="4">
    <w:abstractNumId w:val="13"/>
  </w:num>
  <w:num w:numId="5">
    <w:abstractNumId w:val="12"/>
  </w:num>
  <w:num w:numId="6">
    <w:abstractNumId w:val="7"/>
  </w:num>
  <w:num w:numId="7">
    <w:abstractNumId w:val="3"/>
  </w:num>
  <w:num w:numId="8">
    <w:abstractNumId w:val="6"/>
  </w:num>
  <w:num w:numId="9">
    <w:abstractNumId w:val="14"/>
  </w:num>
  <w:num w:numId="10">
    <w:abstractNumId w:val="9"/>
  </w:num>
  <w:num w:numId="11">
    <w:abstractNumId w:val="0"/>
  </w:num>
  <w:num w:numId="12">
    <w:abstractNumId w:val="16"/>
  </w:num>
  <w:num w:numId="13">
    <w:abstractNumId w:val="5"/>
  </w:num>
  <w:num w:numId="14">
    <w:abstractNumId w:val="10"/>
  </w:num>
  <w:num w:numId="15">
    <w:abstractNumId w:val="1"/>
  </w:num>
  <w:num w:numId="16">
    <w:abstractNumId w:val="2"/>
  </w:num>
  <w:num w:numId="17">
    <w:abstractNumId w:val="15"/>
  </w:num>
  <w:num w:numId="18">
    <w:abstractNumId w:val="8"/>
  </w:num>
  <w:num w:numId="19">
    <w:abstractNumId w:val="4"/>
  </w:num>
  <w:num w:numId="20">
    <w:abstractNumId w:val="8"/>
  </w:num>
  <w:num w:numId="21">
    <w:abstractNumId w:val="8"/>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revisionView w:inkAnnotations="0"/>
  <w:defaultTabStop w:val="720"/>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8D2"/>
    <w:rsid w:val="00004937"/>
    <w:rsid w:val="00034C51"/>
    <w:rsid w:val="00065C28"/>
    <w:rsid w:val="00070041"/>
    <w:rsid w:val="00077D7A"/>
    <w:rsid w:val="0009211C"/>
    <w:rsid w:val="00093D5D"/>
    <w:rsid w:val="000A7F67"/>
    <w:rsid w:val="000C0C51"/>
    <w:rsid w:val="000E22B4"/>
    <w:rsid w:val="000F2C49"/>
    <w:rsid w:val="001112E0"/>
    <w:rsid w:val="0013354F"/>
    <w:rsid w:val="00184B97"/>
    <w:rsid w:val="00190A17"/>
    <w:rsid w:val="001E7E05"/>
    <w:rsid w:val="00200A32"/>
    <w:rsid w:val="00207B61"/>
    <w:rsid w:val="0021654C"/>
    <w:rsid w:val="00227006"/>
    <w:rsid w:val="002412B3"/>
    <w:rsid w:val="0028514D"/>
    <w:rsid w:val="002923C3"/>
    <w:rsid w:val="002A3635"/>
    <w:rsid w:val="002C1C47"/>
    <w:rsid w:val="002E4461"/>
    <w:rsid w:val="002F1110"/>
    <w:rsid w:val="00302ECD"/>
    <w:rsid w:val="00316880"/>
    <w:rsid w:val="00326E02"/>
    <w:rsid w:val="00384A1B"/>
    <w:rsid w:val="003E5959"/>
    <w:rsid w:val="003F05C2"/>
    <w:rsid w:val="00401718"/>
    <w:rsid w:val="00412D98"/>
    <w:rsid w:val="0043326F"/>
    <w:rsid w:val="004353B9"/>
    <w:rsid w:val="00437E8A"/>
    <w:rsid w:val="00480F2D"/>
    <w:rsid w:val="004A1DD3"/>
    <w:rsid w:val="004B3121"/>
    <w:rsid w:val="004C70F1"/>
    <w:rsid w:val="00511FED"/>
    <w:rsid w:val="00526F88"/>
    <w:rsid w:val="00533E5D"/>
    <w:rsid w:val="00544C7A"/>
    <w:rsid w:val="00560842"/>
    <w:rsid w:val="005629D0"/>
    <w:rsid w:val="005A10C6"/>
    <w:rsid w:val="005A7B8C"/>
    <w:rsid w:val="005B5973"/>
    <w:rsid w:val="005E5997"/>
    <w:rsid w:val="006152E6"/>
    <w:rsid w:val="006838F4"/>
    <w:rsid w:val="00684784"/>
    <w:rsid w:val="00685062"/>
    <w:rsid w:val="006B2103"/>
    <w:rsid w:val="006F0B2E"/>
    <w:rsid w:val="006F11F5"/>
    <w:rsid w:val="007049AD"/>
    <w:rsid w:val="00726463"/>
    <w:rsid w:val="007531D4"/>
    <w:rsid w:val="0078021E"/>
    <w:rsid w:val="00800C7E"/>
    <w:rsid w:val="0081739B"/>
    <w:rsid w:val="008535B3"/>
    <w:rsid w:val="00862941"/>
    <w:rsid w:val="00875D1D"/>
    <w:rsid w:val="008A0055"/>
    <w:rsid w:val="008A34E4"/>
    <w:rsid w:val="008A5011"/>
    <w:rsid w:val="008E5D48"/>
    <w:rsid w:val="009024CA"/>
    <w:rsid w:val="0091704A"/>
    <w:rsid w:val="00945F1F"/>
    <w:rsid w:val="009566E6"/>
    <w:rsid w:val="009E26AA"/>
    <w:rsid w:val="00A0799F"/>
    <w:rsid w:val="00A224D1"/>
    <w:rsid w:val="00A30C46"/>
    <w:rsid w:val="00A40DDC"/>
    <w:rsid w:val="00A7460C"/>
    <w:rsid w:val="00A91915"/>
    <w:rsid w:val="00A9474C"/>
    <w:rsid w:val="00AA0E9C"/>
    <w:rsid w:val="00AA2C61"/>
    <w:rsid w:val="00AB610C"/>
    <w:rsid w:val="00AD687C"/>
    <w:rsid w:val="00AE3A3F"/>
    <w:rsid w:val="00B05F97"/>
    <w:rsid w:val="00B06372"/>
    <w:rsid w:val="00B17686"/>
    <w:rsid w:val="00B209BD"/>
    <w:rsid w:val="00B37B4E"/>
    <w:rsid w:val="00B403D9"/>
    <w:rsid w:val="00B423DB"/>
    <w:rsid w:val="00B5289D"/>
    <w:rsid w:val="00B567F9"/>
    <w:rsid w:val="00B5746A"/>
    <w:rsid w:val="00B66262"/>
    <w:rsid w:val="00B66E88"/>
    <w:rsid w:val="00B75752"/>
    <w:rsid w:val="00B823CA"/>
    <w:rsid w:val="00B873CC"/>
    <w:rsid w:val="00BA644E"/>
    <w:rsid w:val="00BE10C2"/>
    <w:rsid w:val="00C145AF"/>
    <w:rsid w:val="00C26D02"/>
    <w:rsid w:val="00C35BC8"/>
    <w:rsid w:val="00C418D2"/>
    <w:rsid w:val="00C603A8"/>
    <w:rsid w:val="00C76ECE"/>
    <w:rsid w:val="00C92843"/>
    <w:rsid w:val="00C94F74"/>
    <w:rsid w:val="00C97694"/>
    <w:rsid w:val="00CC74C9"/>
    <w:rsid w:val="00CD18C7"/>
    <w:rsid w:val="00CD6B4B"/>
    <w:rsid w:val="00D03A90"/>
    <w:rsid w:val="00D64E12"/>
    <w:rsid w:val="00D73436"/>
    <w:rsid w:val="00D968F0"/>
    <w:rsid w:val="00DE318A"/>
    <w:rsid w:val="00DF7CEF"/>
    <w:rsid w:val="00E12B7A"/>
    <w:rsid w:val="00E25DFA"/>
    <w:rsid w:val="00E4399A"/>
    <w:rsid w:val="00E55BDC"/>
    <w:rsid w:val="00E83CB1"/>
    <w:rsid w:val="00E96502"/>
    <w:rsid w:val="00E96F8F"/>
    <w:rsid w:val="00EC30B8"/>
    <w:rsid w:val="00EE0D69"/>
    <w:rsid w:val="00EF11D8"/>
    <w:rsid w:val="00EF7452"/>
    <w:rsid w:val="00F1747B"/>
    <w:rsid w:val="00F22408"/>
    <w:rsid w:val="00F41496"/>
    <w:rsid w:val="00F41D67"/>
    <w:rsid w:val="00F516C5"/>
    <w:rsid w:val="00F82D4E"/>
    <w:rsid w:val="00F9254C"/>
    <w:rsid w:val="00FD45B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058FEC0F"/>
  <w15:chartTrackingRefBased/>
  <w15:docId w15:val="{CF561137-D0DF-405B-B70A-7A83D94AE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6"/>
    <w:qFormat/>
    <w:rsid w:val="00200A32"/>
    <w:pPr>
      <w:spacing w:line="240" w:lineRule="auto"/>
    </w:pPr>
    <w:rPr>
      <w:rFonts w:ascii="Arial" w:hAnsi="Arial"/>
      <w:sz w:val="21"/>
    </w:rPr>
  </w:style>
  <w:style w:type="paragraph" w:styleId="Heading1">
    <w:name w:val="heading 1"/>
    <w:basedOn w:val="Heading2"/>
    <w:next w:val="Normal"/>
    <w:link w:val="Heading1Char"/>
    <w:qFormat/>
    <w:rsid w:val="00200A32"/>
    <w:pPr>
      <w:outlineLvl w:val="0"/>
    </w:pPr>
    <w:rPr>
      <w:b/>
      <w:sz w:val="28"/>
      <w:szCs w:val="28"/>
    </w:rPr>
  </w:style>
  <w:style w:type="paragraph" w:styleId="Heading2">
    <w:name w:val="heading 2"/>
    <w:basedOn w:val="Normal"/>
    <w:next w:val="Normal"/>
    <w:link w:val="Heading2Char"/>
    <w:uiPriority w:val="1"/>
    <w:qFormat/>
    <w:rsid w:val="006838F4"/>
    <w:pPr>
      <w:spacing w:before="240" w:after="60"/>
      <w:outlineLvl w:val="1"/>
    </w:pPr>
    <w:rPr>
      <w:rFonts w:eastAsiaTheme="minorEastAsia" w:cs="Arial"/>
      <w:color w:val="003C64"/>
      <w:sz w:val="24"/>
      <w:szCs w:val="24"/>
      <w:lang w:eastAsia="en-AU"/>
    </w:rPr>
  </w:style>
  <w:style w:type="paragraph" w:styleId="Heading3">
    <w:name w:val="heading 3"/>
    <w:basedOn w:val="Heading2"/>
    <w:next w:val="Normal"/>
    <w:link w:val="Heading3Char"/>
    <w:uiPriority w:val="2"/>
    <w:qFormat/>
    <w:rsid w:val="001E7E05"/>
    <w:pPr>
      <w:keepNext/>
      <w:keepLines/>
      <w:spacing w:before="160" w:after="40"/>
      <w:ind w:left="709" w:hanging="709"/>
      <w:outlineLvl w:val="2"/>
    </w:pPr>
    <w:rPr>
      <w:rFonts w:eastAsiaTheme="majorEastAsia" w:cstheme="majorBidi"/>
      <w:bCs/>
      <w:i/>
      <w:szCs w:val="23"/>
      <w:lang w:eastAsia="en-US"/>
    </w:rPr>
  </w:style>
  <w:style w:type="paragraph" w:styleId="Heading4">
    <w:name w:val="heading 4"/>
    <w:basedOn w:val="Normal"/>
    <w:next w:val="Normal"/>
    <w:link w:val="Heading4Char"/>
    <w:uiPriority w:val="3"/>
    <w:qFormat/>
    <w:rsid w:val="00544C7A"/>
    <w:pPr>
      <w:keepNext/>
      <w:keepLines/>
      <w:spacing w:before="40" w:after="0"/>
      <w:outlineLvl w:val="3"/>
    </w:pPr>
    <w:rPr>
      <w:rFonts w:eastAsiaTheme="majorEastAsia" w:cs="Arial"/>
      <w:i/>
      <w:iCs/>
      <w:color w:val="3B3838" w:themeColor="background2" w:themeShade="40"/>
      <w:lang w:eastAsia="en-AU"/>
    </w:rPr>
  </w:style>
  <w:style w:type="paragraph" w:styleId="Heading5">
    <w:name w:val="heading 5"/>
    <w:basedOn w:val="Normal"/>
    <w:next w:val="Normal"/>
    <w:link w:val="Heading5Char"/>
    <w:uiPriority w:val="4"/>
    <w:qFormat/>
    <w:rsid w:val="00200A32"/>
    <w:pPr>
      <w:keepNext/>
      <w:keepLines/>
      <w:spacing w:before="40" w:after="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rsid w:val="00D968F0"/>
    <w:pPr>
      <w:keepNext/>
      <w:keepLines/>
      <w:spacing w:before="40" w:after="0"/>
      <w:outlineLvl w:val="5"/>
    </w:pPr>
    <w:rPr>
      <w:rFonts w:eastAsiaTheme="majorEastAsia"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418D2"/>
    <w:pPr>
      <w:tabs>
        <w:tab w:val="center" w:pos="4513"/>
        <w:tab w:val="right" w:pos="9026"/>
      </w:tabs>
      <w:spacing w:after="0"/>
    </w:pPr>
  </w:style>
  <w:style w:type="character" w:customStyle="1" w:styleId="HeaderChar">
    <w:name w:val="Header Char"/>
    <w:basedOn w:val="DefaultParagraphFont"/>
    <w:link w:val="Header"/>
    <w:uiPriority w:val="99"/>
    <w:rsid w:val="00C418D2"/>
  </w:style>
  <w:style w:type="paragraph" w:styleId="Footer">
    <w:name w:val="footer"/>
    <w:basedOn w:val="Normal"/>
    <w:link w:val="FooterChar"/>
    <w:uiPriority w:val="99"/>
    <w:unhideWhenUsed/>
    <w:rsid w:val="00C418D2"/>
    <w:pPr>
      <w:tabs>
        <w:tab w:val="center" w:pos="4513"/>
        <w:tab w:val="right" w:pos="9026"/>
      </w:tabs>
      <w:spacing w:after="0"/>
    </w:pPr>
  </w:style>
  <w:style w:type="character" w:customStyle="1" w:styleId="FooterChar">
    <w:name w:val="Footer Char"/>
    <w:basedOn w:val="DefaultParagraphFont"/>
    <w:link w:val="Footer"/>
    <w:uiPriority w:val="99"/>
    <w:rsid w:val="00C418D2"/>
  </w:style>
  <w:style w:type="character" w:styleId="Hyperlink">
    <w:name w:val="Hyperlink"/>
    <w:basedOn w:val="DefaultParagraphFont"/>
    <w:uiPriority w:val="99"/>
    <w:unhideWhenUsed/>
    <w:rsid w:val="00C418D2"/>
    <w:rPr>
      <w:color w:val="0000FF"/>
      <w:u w:val="single"/>
    </w:rPr>
  </w:style>
  <w:style w:type="table" w:styleId="TableGrid">
    <w:name w:val="Table Grid"/>
    <w:basedOn w:val="TableNormal"/>
    <w:uiPriority w:val="39"/>
    <w:rsid w:val="00C418D2"/>
    <w:pPr>
      <w:spacing w:after="0" w:line="240" w:lineRule="auto"/>
    </w:pPr>
    <w:rPr>
      <w:rFonts w:eastAsiaTheme="minorEastAsia"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2Char">
    <w:name w:val="Heading 2 Char"/>
    <w:basedOn w:val="DefaultParagraphFont"/>
    <w:link w:val="Heading2"/>
    <w:uiPriority w:val="1"/>
    <w:rsid w:val="006838F4"/>
    <w:rPr>
      <w:rFonts w:ascii="Arial" w:eastAsiaTheme="minorEastAsia" w:hAnsi="Arial" w:cs="Arial"/>
      <w:color w:val="003C64"/>
      <w:sz w:val="24"/>
      <w:szCs w:val="24"/>
      <w:lang w:eastAsia="en-AU"/>
    </w:rPr>
  </w:style>
  <w:style w:type="character" w:customStyle="1" w:styleId="Heading1Char">
    <w:name w:val="Heading 1 Char"/>
    <w:basedOn w:val="DefaultParagraphFont"/>
    <w:link w:val="Heading1"/>
    <w:rsid w:val="00200A32"/>
    <w:rPr>
      <w:rFonts w:ascii="Arial" w:eastAsiaTheme="minorEastAsia" w:hAnsi="Arial" w:cs="Arial"/>
      <w:color w:val="003C64"/>
      <w:sz w:val="28"/>
      <w:szCs w:val="28"/>
      <w:lang w:eastAsia="en-AU"/>
    </w:rPr>
  </w:style>
  <w:style w:type="paragraph" w:styleId="ListParagraph">
    <w:name w:val="List Paragraph"/>
    <w:aliases w:val="DDM Gen Text,List Paragraph1,List Paragraph11,Recommendation,1 heading,NFP GP Bulleted List,111 numbered text"/>
    <w:basedOn w:val="Normal"/>
    <w:link w:val="ListParagraphChar"/>
    <w:uiPriority w:val="34"/>
    <w:qFormat/>
    <w:rsid w:val="00D64E12"/>
    <w:pPr>
      <w:numPr>
        <w:numId w:val="1"/>
      </w:numPr>
    </w:pPr>
    <w:rPr>
      <w:rFonts w:cs="Arial"/>
      <w:szCs w:val="21"/>
    </w:rPr>
  </w:style>
  <w:style w:type="character" w:styleId="PlaceholderText">
    <w:name w:val="Placeholder Text"/>
    <w:basedOn w:val="DefaultParagraphFont"/>
    <w:uiPriority w:val="99"/>
    <w:semiHidden/>
    <w:rsid w:val="000E22B4"/>
    <w:rPr>
      <w:color w:val="808080"/>
    </w:rPr>
  </w:style>
  <w:style w:type="character" w:customStyle="1" w:styleId="Heading3Char">
    <w:name w:val="Heading 3 Char"/>
    <w:basedOn w:val="DefaultParagraphFont"/>
    <w:link w:val="Heading3"/>
    <w:uiPriority w:val="2"/>
    <w:rsid w:val="001E7E05"/>
    <w:rPr>
      <w:rFonts w:ascii="Arial" w:eastAsiaTheme="majorEastAsia" w:hAnsi="Arial" w:cstheme="majorBidi"/>
      <w:bCs/>
      <w:i/>
      <w:color w:val="003C64"/>
      <w:sz w:val="24"/>
      <w:szCs w:val="23"/>
    </w:rPr>
  </w:style>
  <w:style w:type="character" w:customStyle="1" w:styleId="Heading4Char">
    <w:name w:val="Heading 4 Char"/>
    <w:basedOn w:val="DefaultParagraphFont"/>
    <w:link w:val="Heading4"/>
    <w:uiPriority w:val="3"/>
    <w:rsid w:val="00200A32"/>
    <w:rPr>
      <w:rFonts w:ascii="Arial" w:eastAsiaTheme="majorEastAsia" w:hAnsi="Arial" w:cs="Arial"/>
      <w:i/>
      <w:iCs/>
      <w:color w:val="3B3838" w:themeColor="background2" w:themeShade="40"/>
      <w:sz w:val="21"/>
      <w:lang w:eastAsia="en-AU"/>
    </w:rPr>
  </w:style>
  <w:style w:type="paragraph" w:customStyle="1" w:styleId="Definitionterm">
    <w:name w:val="Definition term"/>
    <w:basedOn w:val="Normal"/>
    <w:next w:val="Normal"/>
    <w:uiPriority w:val="7"/>
    <w:qFormat/>
    <w:rsid w:val="005A10C6"/>
    <w:pPr>
      <w:spacing w:after="40"/>
      <w:ind w:left="567" w:hanging="567"/>
    </w:pPr>
    <w:rPr>
      <w:rFonts w:ascii="Arial Bold" w:hAnsi="Arial Bold"/>
      <w:b/>
    </w:rPr>
  </w:style>
  <w:style w:type="paragraph" w:customStyle="1" w:styleId="Definitionofterm">
    <w:name w:val="Definition of term"/>
    <w:basedOn w:val="Normal"/>
    <w:next w:val="Normal"/>
    <w:uiPriority w:val="8"/>
    <w:qFormat/>
    <w:rsid w:val="00326E02"/>
    <w:pPr>
      <w:ind w:left="284"/>
    </w:pPr>
    <w:rPr>
      <w:rFonts w:cs="Arial"/>
      <w:szCs w:val="21"/>
    </w:rPr>
  </w:style>
  <w:style w:type="character" w:customStyle="1" w:styleId="Heading5Char">
    <w:name w:val="Heading 5 Char"/>
    <w:basedOn w:val="DefaultParagraphFont"/>
    <w:link w:val="Heading5"/>
    <w:uiPriority w:val="4"/>
    <w:rsid w:val="00200A32"/>
    <w:rPr>
      <w:rFonts w:ascii="Arial" w:eastAsiaTheme="majorEastAsia" w:hAnsi="Arial" w:cstheme="majorBidi"/>
      <w:color w:val="2E74B5" w:themeColor="accent1" w:themeShade="BF"/>
      <w:sz w:val="21"/>
    </w:rPr>
  </w:style>
  <w:style w:type="paragraph" w:styleId="Quote">
    <w:name w:val="Quote"/>
    <w:basedOn w:val="Normal"/>
    <w:next w:val="Normal"/>
    <w:link w:val="QuoteChar"/>
    <w:uiPriority w:val="9"/>
    <w:qFormat/>
    <w:rsid w:val="00200A32"/>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9"/>
    <w:rsid w:val="00200A32"/>
    <w:rPr>
      <w:rFonts w:ascii="Arial" w:hAnsi="Arial"/>
      <w:i/>
      <w:iCs/>
      <w:color w:val="404040" w:themeColor="text1" w:themeTint="BF"/>
      <w:sz w:val="21"/>
    </w:rPr>
  </w:style>
  <w:style w:type="character" w:customStyle="1" w:styleId="Heading6Char">
    <w:name w:val="Heading 6 Char"/>
    <w:basedOn w:val="DefaultParagraphFont"/>
    <w:link w:val="Heading6"/>
    <w:uiPriority w:val="9"/>
    <w:semiHidden/>
    <w:rsid w:val="00D968F0"/>
    <w:rPr>
      <w:rFonts w:ascii="Arial" w:eastAsiaTheme="majorEastAsia" w:hAnsi="Arial" w:cstheme="majorBidi"/>
      <w:color w:val="1F4D78" w:themeColor="accent1" w:themeShade="7F"/>
      <w:sz w:val="21"/>
    </w:rPr>
  </w:style>
  <w:style w:type="character" w:styleId="FollowedHyperlink">
    <w:name w:val="FollowedHyperlink"/>
    <w:basedOn w:val="DefaultParagraphFont"/>
    <w:uiPriority w:val="99"/>
    <w:semiHidden/>
    <w:unhideWhenUsed/>
    <w:rsid w:val="00D968F0"/>
    <w:rPr>
      <w:color w:val="954F72" w:themeColor="followedHyperlink"/>
      <w:u w:val="single"/>
    </w:rPr>
  </w:style>
  <w:style w:type="paragraph" w:styleId="DocumentMap">
    <w:name w:val="Document Map"/>
    <w:basedOn w:val="Normal"/>
    <w:link w:val="DocumentMapChar"/>
    <w:uiPriority w:val="99"/>
    <w:semiHidden/>
    <w:rsid w:val="00FD45BB"/>
    <w:pPr>
      <w:shd w:val="clear" w:color="auto" w:fill="000080"/>
      <w:spacing w:after="0"/>
    </w:pPr>
    <w:rPr>
      <w:rFonts w:ascii="Tahoma" w:eastAsiaTheme="minorEastAsia" w:hAnsi="Tahoma" w:cs="Times New Roman"/>
      <w:sz w:val="24"/>
      <w:szCs w:val="24"/>
      <w:lang w:eastAsia="en-AU"/>
    </w:rPr>
  </w:style>
  <w:style w:type="character" w:customStyle="1" w:styleId="DocumentMapChar">
    <w:name w:val="Document Map Char"/>
    <w:basedOn w:val="DefaultParagraphFont"/>
    <w:link w:val="DocumentMap"/>
    <w:uiPriority w:val="99"/>
    <w:semiHidden/>
    <w:rsid w:val="00FD45BB"/>
    <w:rPr>
      <w:rFonts w:ascii="Tahoma" w:eastAsiaTheme="minorEastAsia" w:hAnsi="Tahoma" w:cs="Times New Roman"/>
      <w:sz w:val="24"/>
      <w:szCs w:val="24"/>
      <w:shd w:val="clear" w:color="auto" w:fill="000080"/>
      <w:lang w:eastAsia="en-AU"/>
    </w:rPr>
  </w:style>
  <w:style w:type="paragraph" w:styleId="NoSpacing">
    <w:name w:val="No Spacing"/>
    <w:aliases w:val="General Text"/>
    <w:basedOn w:val="Normal"/>
    <w:next w:val="Normal"/>
    <w:uiPriority w:val="1"/>
    <w:rsid w:val="00FD45BB"/>
    <w:pPr>
      <w:numPr>
        <w:numId w:val="6"/>
      </w:numPr>
      <w:spacing w:before="240" w:after="40"/>
    </w:pPr>
    <w:rPr>
      <w:rFonts w:eastAsiaTheme="minorEastAsia" w:cs="Times New Roman"/>
      <w:color w:val="005782"/>
      <w:sz w:val="20"/>
      <w:szCs w:val="32"/>
      <w:lang w:eastAsia="en-AU"/>
    </w:rPr>
  </w:style>
  <w:style w:type="paragraph" w:customStyle="1" w:styleId="BodyTextNumbering">
    <w:name w:val="Body Text Numbering"/>
    <w:link w:val="BodyTextNumberingChar"/>
    <w:qFormat/>
    <w:rsid w:val="00FD45BB"/>
    <w:pPr>
      <w:spacing w:before="240" w:after="40" w:line="240" w:lineRule="auto"/>
    </w:pPr>
    <w:rPr>
      <w:rFonts w:ascii="Arial" w:eastAsiaTheme="minorEastAsia" w:hAnsi="Arial" w:cs="Times New Roman"/>
      <w:color w:val="000000" w:themeColor="text1"/>
      <w:sz w:val="20"/>
      <w:szCs w:val="32"/>
      <w:lang w:eastAsia="en-AU"/>
    </w:rPr>
  </w:style>
  <w:style w:type="character" w:customStyle="1" w:styleId="BodyTextNumberingChar">
    <w:name w:val="Body Text Numbering Char"/>
    <w:basedOn w:val="DefaultParagraphFont"/>
    <w:link w:val="BodyTextNumbering"/>
    <w:locked/>
    <w:rsid w:val="00FD45BB"/>
    <w:rPr>
      <w:rFonts w:ascii="Arial" w:eastAsiaTheme="minorEastAsia" w:hAnsi="Arial" w:cs="Times New Roman"/>
      <w:color w:val="000000" w:themeColor="text1"/>
      <w:sz w:val="20"/>
      <w:szCs w:val="32"/>
      <w:lang w:eastAsia="en-AU"/>
    </w:rPr>
  </w:style>
  <w:style w:type="character" w:customStyle="1" w:styleId="ListParagraphChar">
    <w:name w:val="List Paragraph Char"/>
    <w:aliases w:val="DDM Gen Text Char,List Paragraph1 Char,List Paragraph11 Char,Recommendation Char,1 heading Char,NFP GP Bulleted List Char,111 numbered text Char"/>
    <w:basedOn w:val="DefaultParagraphFont"/>
    <w:link w:val="ListParagraph"/>
    <w:uiPriority w:val="34"/>
    <w:locked/>
    <w:rsid w:val="003F05C2"/>
    <w:rPr>
      <w:rFonts w:ascii="Arial" w:hAnsi="Arial" w:cs="Arial"/>
      <w:sz w:val="21"/>
      <w:szCs w:val="21"/>
    </w:rPr>
  </w:style>
  <w:style w:type="paragraph" w:customStyle="1" w:styleId="DefinitionHeadings">
    <w:name w:val="Definition Headings"/>
    <w:qFormat/>
    <w:rsid w:val="00E83CB1"/>
    <w:pPr>
      <w:spacing w:before="40" w:after="40" w:line="240" w:lineRule="auto"/>
    </w:pPr>
    <w:rPr>
      <w:rFonts w:ascii="Arial" w:eastAsiaTheme="minorEastAsia" w:hAnsi="Arial" w:cs="Arial"/>
      <w:b/>
      <w:bCs/>
      <w:color w:val="000000" w:themeColor="text1"/>
      <w:sz w:val="18"/>
      <w:szCs w:val="18"/>
      <w:lang w:eastAsia="en-AU"/>
    </w:rPr>
  </w:style>
  <w:style w:type="paragraph" w:customStyle="1" w:styleId="DefinitionTerm0">
    <w:name w:val="Definition Term"/>
    <w:basedOn w:val="DefinitionHeadings"/>
    <w:link w:val="DefinitionTermChar"/>
    <w:qFormat/>
    <w:rsid w:val="00E83CB1"/>
    <w:pPr>
      <w:ind w:left="284"/>
    </w:pPr>
    <w:rPr>
      <w:b w:val="0"/>
    </w:rPr>
  </w:style>
  <w:style w:type="character" w:customStyle="1" w:styleId="DefinitionTermChar">
    <w:name w:val="Definition Term Char"/>
    <w:basedOn w:val="DefaultParagraphFont"/>
    <w:link w:val="DefinitionTerm0"/>
    <w:rsid w:val="00E83CB1"/>
    <w:rPr>
      <w:rFonts w:ascii="Arial" w:eastAsiaTheme="minorEastAsia" w:hAnsi="Arial" w:cs="Arial"/>
      <w:bCs/>
      <w:color w:val="000000" w:themeColor="text1"/>
      <w:sz w:val="18"/>
      <w:szCs w:val="18"/>
      <w:lang w:eastAsia="en-AU"/>
    </w:rPr>
  </w:style>
  <w:style w:type="paragraph" w:styleId="NormalWeb">
    <w:name w:val="Normal (Web)"/>
    <w:basedOn w:val="Normal"/>
    <w:uiPriority w:val="99"/>
    <w:unhideWhenUsed/>
    <w:rsid w:val="00E83CB1"/>
    <w:pPr>
      <w:spacing w:before="100" w:beforeAutospacing="1" w:after="100" w:afterAutospacing="1"/>
    </w:pPr>
    <w:rPr>
      <w:rFonts w:ascii="Times New Roman" w:eastAsiaTheme="minorEastAsia" w:hAnsi="Times New Roman" w:cs="Times New Roman"/>
      <w:sz w:val="24"/>
      <w:szCs w:val="24"/>
      <w:lang w:eastAsia="en-AU"/>
    </w:rPr>
  </w:style>
  <w:style w:type="paragraph" w:customStyle="1" w:styleId="FurtherInformationText">
    <w:name w:val="Further Information Text"/>
    <w:basedOn w:val="Normal"/>
    <w:qFormat/>
    <w:rsid w:val="00E83CB1"/>
    <w:pPr>
      <w:spacing w:before="40" w:after="40"/>
    </w:pPr>
    <w:rPr>
      <w:rFonts w:eastAsiaTheme="minorEastAsia" w:cs="Arial"/>
      <w:color w:val="000000" w:themeColor="text1"/>
      <w:sz w:val="20"/>
      <w:szCs w:val="20"/>
      <w:lang w:eastAsia="en-AU"/>
    </w:rPr>
  </w:style>
  <w:style w:type="paragraph" w:styleId="BalloonText">
    <w:name w:val="Balloon Text"/>
    <w:basedOn w:val="Normal"/>
    <w:link w:val="BalloonTextChar"/>
    <w:uiPriority w:val="99"/>
    <w:semiHidden/>
    <w:unhideWhenUsed/>
    <w:rsid w:val="006F0B2E"/>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F0B2E"/>
    <w:rPr>
      <w:rFonts w:ascii="Segoe UI" w:hAnsi="Segoe UI" w:cs="Segoe UI"/>
      <w:sz w:val="18"/>
      <w:szCs w:val="18"/>
    </w:rPr>
  </w:style>
  <w:style w:type="character" w:styleId="CommentReference">
    <w:name w:val="annotation reference"/>
    <w:basedOn w:val="DefaultParagraphFont"/>
    <w:uiPriority w:val="99"/>
    <w:semiHidden/>
    <w:unhideWhenUsed/>
    <w:rsid w:val="00004937"/>
    <w:rPr>
      <w:sz w:val="16"/>
      <w:szCs w:val="16"/>
    </w:rPr>
  </w:style>
  <w:style w:type="paragraph" w:styleId="CommentText">
    <w:name w:val="annotation text"/>
    <w:basedOn w:val="Normal"/>
    <w:link w:val="CommentTextChar"/>
    <w:uiPriority w:val="99"/>
    <w:semiHidden/>
    <w:unhideWhenUsed/>
    <w:rsid w:val="00004937"/>
    <w:rPr>
      <w:sz w:val="20"/>
      <w:szCs w:val="20"/>
    </w:rPr>
  </w:style>
  <w:style w:type="character" w:customStyle="1" w:styleId="CommentTextChar">
    <w:name w:val="Comment Text Char"/>
    <w:basedOn w:val="DefaultParagraphFont"/>
    <w:link w:val="CommentText"/>
    <w:uiPriority w:val="99"/>
    <w:semiHidden/>
    <w:rsid w:val="00004937"/>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004937"/>
    <w:rPr>
      <w:b/>
      <w:bCs/>
    </w:rPr>
  </w:style>
  <w:style w:type="character" w:customStyle="1" w:styleId="CommentSubjectChar">
    <w:name w:val="Comment Subject Char"/>
    <w:basedOn w:val="CommentTextChar"/>
    <w:link w:val="CommentSubject"/>
    <w:uiPriority w:val="99"/>
    <w:semiHidden/>
    <w:rsid w:val="00004937"/>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elibrary.gbrmpa.gov.au/jspui/handle/11017/2861" TargetMode="External"/><Relationship Id="rId26" Type="http://schemas.openxmlformats.org/officeDocument/2006/relationships/hyperlink" Target="https://www.environment.gov.au/heritage/places/commonwealth-heritage-list" TargetMode="External"/><Relationship Id="rId39" Type="http://schemas.openxmlformats.org/officeDocument/2006/relationships/hyperlink" Target="http://www.gbrmpa.gov.au/access-and-use/visit-the-great-barrier-reef" TargetMode="External"/><Relationship Id="rId21" Type="http://schemas.openxmlformats.org/officeDocument/2006/relationships/hyperlink" Target="http://hdl.handle.net/11017/3240" TargetMode="External"/><Relationship Id="rId34" Type="http://schemas.openxmlformats.org/officeDocument/2006/relationships/hyperlink" Target="http://www.gbrmpa.gov.au/__data/assets/pdf_file/0017/30293/Dent-Island-Lightstation-Heritage-Management-Plan-draft-for-public-consulation-5-March-2013.pdf" TargetMode="External"/><Relationship Id="rId42" Type="http://schemas.openxmlformats.org/officeDocument/2006/relationships/hyperlink" Target="http://elibrary.gbrmpa.gov.au/jspui/handle/11017/3233" TargetMode="External"/><Relationship Id="rId47" Type="http://schemas.openxmlformats.org/officeDocument/2006/relationships/hyperlink" Target="http://elibrary.gbrmpa.gov.au/jspui/handle/11017/3241" TargetMode="External"/><Relationship Id="rId50" Type="http://schemas.openxmlformats.org/officeDocument/2006/relationships/hyperlink" Target="http://elibrary.gbrmpa.gov.au/jspui/handle/11017/3231" TargetMode="External"/><Relationship Id="rId55" Type="http://schemas.openxmlformats.org/officeDocument/2006/relationships/header" Target="header4.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yperlink" Target="https://www.environment.gov.au/cgi-bin/ahdb/search.pl?mode=place_detail;search=state%3DQLD%3Blist_code%3DCHL%3Blegal_status%3D35%3Bkeyword_PD%3D0%3Bkeyword_SS%3D0%3Bkeyword_PH%3D0;place_id=105367" TargetMode="External"/><Relationship Id="rId11" Type="http://schemas.openxmlformats.org/officeDocument/2006/relationships/endnotes" Target="endnotes.xml"/><Relationship Id="rId24" Type="http://schemas.openxmlformats.org/officeDocument/2006/relationships/image" Target="media/image2.emf"/><Relationship Id="rId32" Type="http://schemas.openxmlformats.org/officeDocument/2006/relationships/hyperlink" Target="http://hdl.handle.net/11017/3224" TargetMode="External"/><Relationship Id="rId37" Type="http://schemas.openxmlformats.org/officeDocument/2006/relationships/hyperlink" Target="https://www.legislation.qld.gov.au/view/pdf/inforce/current/act-1992-009" TargetMode="External"/><Relationship Id="rId40" Type="http://schemas.openxmlformats.org/officeDocument/2006/relationships/hyperlink" Target="http://www.gbrmpa.gov.au/access-and-use/access-and-use-by-location/cairns-area-plan-of-management" TargetMode="External"/><Relationship Id="rId45" Type="http://schemas.openxmlformats.org/officeDocument/2006/relationships/image" Target="media/image4.png"/><Relationship Id="rId53" Type="http://schemas.openxmlformats.org/officeDocument/2006/relationships/hyperlink" Target="mailto:info@gbrmpa.gov.au" TargetMode="External"/><Relationship Id="rId58" Type="http://schemas.openxmlformats.org/officeDocument/2006/relationships/theme" Target="theme/theme1.xml"/><Relationship Id="rId5" Type="http://schemas.openxmlformats.org/officeDocument/2006/relationships/customXml" Target="../customXml/item5.xml"/><Relationship Id="rId19" Type="http://schemas.openxmlformats.org/officeDocument/2006/relationships/hyperlink" Target="http://elibrary.gbrmpa.gov.au/jspui/handle/11017/3474"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www.comlaw.gov.au/Details/C2008C00342" TargetMode="External"/><Relationship Id="rId27" Type="http://schemas.openxmlformats.org/officeDocument/2006/relationships/hyperlink" Target="https://www.environment.gov.au/cgi-bin/ahdb/search.pl?mode=place_detail;search=state%3DQLD%3Blist_code%3DCHL%3Blegal_status%3D35%3Bkeyword_PD%3D0%3Bkeyword_SS%3D0%3Bkeyword_PH%3D0;place_id=105369" TargetMode="External"/><Relationship Id="rId30" Type="http://schemas.openxmlformats.org/officeDocument/2006/relationships/image" Target="media/image3.emf"/><Relationship Id="rId35" Type="http://schemas.openxmlformats.org/officeDocument/2006/relationships/hyperlink" Target="http://elibrary.gbrmpa.gov.au/jspui/handle/11017/2934" TargetMode="External"/><Relationship Id="rId43" Type="http://schemas.openxmlformats.org/officeDocument/2006/relationships/hyperlink" Target="http://elibrary.gbrmpa.gov.au/jspui/handle/11017/3369" TargetMode="External"/><Relationship Id="rId48" Type="http://schemas.openxmlformats.org/officeDocument/2006/relationships/hyperlink" Target="http://elibrary.gbrmpa.gov.au/jspui/handle/11017/3231" TargetMode="External"/><Relationship Id="rId56"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yperlink" Target="http://elibrary.gbrmpa.gov.au/jspui/handle/11017/3226"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package" Target="embeddings/Microsoft_Word_Document1.docx"/><Relationship Id="rId33" Type="http://schemas.openxmlformats.org/officeDocument/2006/relationships/hyperlink" Target="https://www.legislation.gov.au/Details/F2012L00748/Download" TargetMode="External"/><Relationship Id="rId38" Type="http://schemas.openxmlformats.org/officeDocument/2006/relationships/hyperlink" Target="http://www.legislation.qld.gov.au/LEGISLTN/CURRENT/N/NatureConA92.pdf" TargetMode="External"/><Relationship Id="rId46" Type="http://schemas.openxmlformats.org/officeDocument/2006/relationships/hyperlink" Target="http://hdl.handle.net/11017/3228" TargetMode="External"/><Relationship Id="rId20" Type="http://schemas.openxmlformats.org/officeDocument/2006/relationships/hyperlink" Target="http://hdl.handle.net/11017/3238" TargetMode="External"/><Relationship Id="rId41" Type="http://schemas.openxmlformats.org/officeDocument/2006/relationships/hyperlink" Target="http://www.gbrmpa.gov.au/zoning-permits-and-plans/special-management-areas" TargetMode="External"/><Relationship Id="rId54" Type="http://schemas.openxmlformats.org/officeDocument/2006/relationships/hyperlink" Target="http://www.gbrmpa.gov.au/"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elibrary.gbrmpa.gov.au/jspui/handle/11017/3369" TargetMode="External"/><Relationship Id="rId28" Type="http://schemas.openxmlformats.org/officeDocument/2006/relationships/hyperlink" Target="https://www.environment.gov.au/cgi-bin/ahdb/search.pl?mode=place_detail;search=state%3DQLD%3Blist_code%3DCHL%3Blegal_status%3D35%3Bkeyword_PD%3D0%3Bkeyword_SS%3D0%3Bkeyword_PH%3D0;place_id=105415" TargetMode="External"/><Relationship Id="rId36" Type="http://schemas.openxmlformats.org/officeDocument/2006/relationships/hyperlink" Target="http://www.gbrmpa.gov.au/__data/assets/pdf_file/0015/3390/GBRMPA-zoning-plan-2003.pdf" TargetMode="External"/><Relationship Id="rId49" Type="http://schemas.openxmlformats.org/officeDocument/2006/relationships/hyperlink" Target="http://www.gbrmpa.gov.au/managing-the-reef/reef-2050/reef-integrated-monitoring-and-reporting-program" TargetMode="External"/><Relationship Id="rId57" Type="http://schemas.openxmlformats.org/officeDocument/2006/relationships/glossaryDocument" Target="glossary/document.xml"/><Relationship Id="rId10" Type="http://schemas.openxmlformats.org/officeDocument/2006/relationships/footnotes" Target="footnotes.xml"/><Relationship Id="rId31" Type="http://schemas.openxmlformats.org/officeDocument/2006/relationships/hyperlink" Target="https://www.environment.gov.au/cgi-bin/ahdb/search.pl?mode=place_detail;search=state%3DQLD%3Blist_code%3DCHL%3Blegal_status%3D35%3Bkeyword_PD%3D0%3Bkeyword_SS%3D0%3Bkeyword_PH%3D0;place_id=105368" TargetMode="External"/><Relationship Id="rId44" Type="http://schemas.openxmlformats.org/officeDocument/2006/relationships/hyperlink" Target="http://elibrary.gbrmpa.gov.au/jspui/handle/11017/2934" TargetMode="External"/><Relationship Id="rId52" Type="http://schemas.openxmlformats.org/officeDocument/2006/relationships/hyperlink" Target="http://elibrary.gbrmpa.gov.au/jspui/handle/11017/3224"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BE38545A7C94EC8BA24063576F658F3"/>
        <w:category>
          <w:name w:val="General"/>
          <w:gallery w:val="placeholder"/>
        </w:category>
        <w:types>
          <w:type w:val="bbPlcHdr"/>
        </w:types>
        <w:behaviors>
          <w:behavior w:val="content"/>
        </w:behaviors>
        <w:guid w:val="{FD397AA0-4E2A-4A60-99AD-C02662F4B4F2}"/>
      </w:docPartPr>
      <w:docPartBody>
        <w:p w:rsidR="00763C4B" w:rsidRDefault="00794300" w:rsidP="00794300">
          <w:pPr>
            <w:pStyle w:val="6BE38545A7C94EC8BA24063576F658F3"/>
          </w:pPr>
          <w:r w:rsidRPr="00326E02">
            <w:rPr>
              <w:rStyle w:val="PlaceholderText"/>
              <w:color w:val="BFBFBF" w:themeColor="background1" w:themeShade="BF"/>
              <w:sz w:val="16"/>
              <w:szCs w:val="16"/>
            </w:rPr>
            <w:t>Click here to enter a date</w:t>
          </w:r>
        </w:p>
      </w:docPartBody>
    </w:docPart>
    <w:docPart>
      <w:docPartPr>
        <w:name w:val="2748C21E4E99448ABA2ED00B8639FE34"/>
        <w:category>
          <w:name w:val="General"/>
          <w:gallery w:val="placeholder"/>
        </w:category>
        <w:types>
          <w:type w:val="bbPlcHdr"/>
        </w:types>
        <w:behaviors>
          <w:behavior w:val="content"/>
        </w:behaviors>
        <w:guid w:val="{07BB7D67-1A1B-4FE0-A110-A65E772B5CC2}"/>
      </w:docPartPr>
      <w:docPartBody>
        <w:p w:rsidR="0043625D" w:rsidRDefault="00763C4B" w:rsidP="00763C4B">
          <w:pPr>
            <w:pStyle w:val="2748C21E4E99448ABA2ED00B8639FE34"/>
          </w:pPr>
          <w:r w:rsidRPr="007C4BCE">
            <w:rPr>
              <w:rStyle w:val="PlaceholderText"/>
              <w:rFonts w:cs="Arial"/>
              <w:i/>
              <w:color w:val="808080" w:themeColor="background1" w:themeShade="80"/>
              <w:sz w:val="18"/>
              <w:szCs w:val="18"/>
            </w:rPr>
            <w:t>Click for date</w:t>
          </w:r>
        </w:p>
      </w:docPartBody>
    </w:docPart>
    <w:docPart>
      <w:docPartPr>
        <w:name w:val="B4E88953D7784E6986A142D2032396FE"/>
        <w:category>
          <w:name w:val="General"/>
          <w:gallery w:val="placeholder"/>
        </w:category>
        <w:types>
          <w:type w:val="bbPlcHdr"/>
        </w:types>
        <w:behaviors>
          <w:behavior w:val="content"/>
        </w:behaviors>
        <w:guid w:val="{AF884FF5-B001-41E8-894C-20F0A8EA432A}"/>
      </w:docPartPr>
      <w:docPartBody>
        <w:p w:rsidR="0043625D" w:rsidRDefault="00763C4B" w:rsidP="00763C4B">
          <w:pPr>
            <w:pStyle w:val="B4E88953D7784E6986A142D2032396FE"/>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w:t>
          </w:r>
        </w:p>
      </w:docPartBody>
    </w:docPart>
    <w:docPart>
      <w:docPartPr>
        <w:name w:val="95B3FED54A8D4E0F9F378467FDBABF61"/>
        <w:category>
          <w:name w:val="General"/>
          <w:gallery w:val="placeholder"/>
        </w:category>
        <w:types>
          <w:type w:val="bbPlcHdr"/>
        </w:types>
        <w:behaviors>
          <w:behavior w:val="content"/>
        </w:behaviors>
        <w:guid w:val="{724AE178-472A-45B9-963F-F69FEFC17DA4}"/>
      </w:docPartPr>
      <w:docPartBody>
        <w:p w:rsidR="0043625D" w:rsidRDefault="00763C4B" w:rsidP="00763C4B">
          <w:pPr>
            <w:pStyle w:val="95B3FED54A8D4E0F9F378467FDBABF61"/>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 Next review </w:t>
          </w:r>
          <w:r>
            <w:rPr>
              <w:rStyle w:val="PlaceholderText"/>
              <w:rFonts w:cs="Arial"/>
              <w:i/>
              <w:color w:val="808080" w:themeColor="background1" w:themeShade="80"/>
              <w:sz w:val="18"/>
              <w:szCs w:val="18"/>
            </w:rPr>
            <w:t xml:space="preserve">date </w:t>
          </w:r>
          <w:r w:rsidRPr="007C4BCE">
            <w:rPr>
              <w:rStyle w:val="PlaceholderText"/>
              <w:rFonts w:cs="Arial"/>
              <w:i/>
              <w:color w:val="808080" w:themeColor="background1" w:themeShade="80"/>
              <w:sz w:val="18"/>
              <w:szCs w:val="18"/>
            </w:rPr>
            <w:t>must not be longer than three years</w:t>
          </w:r>
        </w:p>
      </w:docPartBody>
    </w:docPart>
    <w:docPart>
      <w:docPartPr>
        <w:name w:val="5D37C3F44A5A49049B285B6334494C82"/>
        <w:category>
          <w:name w:val="General"/>
          <w:gallery w:val="placeholder"/>
        </w:category>
        <w:types>
          <w:type w:val="bbPlcHdr"/>
        </w:types>
        <w:behaviors>
          <w:behavior w:val="content"/>
        </w:behaviors>
        <w:guid w:val="{3F2B4FA2-25F6-49EE-BC3F-30316C5743A1}"/>
      </w:docPartPr>
      <w:docPartBody>
        <w:p w:rsidR="0043625D" w:rsidRDefault="00763C4B" w:rsidP="00763C4B">
          <w:pPr>
            <w:pStyle w:val="5D37C3F44A5A49049B285B6334494C82"/>
          </w:pPr>
          <w:r w:rsidRPr="007C4BCE">
            <w:rPr>
              <w:rStyle w:val="PlaceholderText"/>
              <w:rFonts w:cs="Arial"/>
              <w:i/>
              <w:color w:val="808080" w:themeColor="background1" w:themeShade="80"/>
              <w:sz w:val="18"/>
              <w:szCs w:val="18"/>
            </w:rPr>
            <w:t>Click to insert date (if known). If unknown, state “Unknown”</w:t>
          </w:r>
        </w:p>
      </w:docPartBody>
    </w:docPart>
    <w:docPart>
      <w:docPartPr>
        <w:name w:val="EEED32D9AAEC425D809AA141C065DD61"/>
        <w:category>
          <w:name w:val="General"/>
          <w:gallery w:val="placeholder"/>
        </w:category>
        <w:types>
          <w:type w:val="bbPlcHdr"/>
        </w:types>
        <w:behaviors>
          <w:behavior w:val="content"/>
        </w:behaviors>
        <w:guid w:val="{4C33B534-97A0-4EDD-934C-E9F73C39C43A}"/>
      </w:docPartPr>
      <w:docPartBody>
        <w:p w:rsidR="0043625D" w:rsidRDefault="00763C4B" w:rsidP="00763C4B">
          <w:pPr>
            <w:pStyle w:val="EEED32D9AAEC425D809AA141C065DD61"/>
          </w:pPr>
          <w:r w:rsidRPr="007C4BCE">
            <w:rPr>
              <w:rStyle w:val="PlaceholderText"/>
              <w:rFonts w:cs="Arial"/>
              <w:i/>
              <w:color w:val="808080" w:themeColor="background1" w:themeShade="80"/>
              <w:sz w:val="18"/>
              <w:szCs w:val="18"/>
            </w:rPr>
            <w:t>Enter the name (and version) of document</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s</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 xml:space="preserve"> this one supersedes. If new, state “New”</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Bold">
    <w:panose1 w:val="020B0704020202020204"/>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300"/>
    <w:rsid w:val="0003102A"/>
    <w:rsid w:val="0043625D"/>
    <w:rsid w:val="004F05D7"/>
    <w:rsid w:val="00763C4B"/>
    <w:rsid w:val="0079430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63C4B"/>
    <w:rPr>
      <w:color w:val="808080"/>
    </w:rPr>
  </w:style>
  <w:style w:type="paragraph" w:customStyle="1" w:styleId="4BA8739FB98441C3A0D28BEEA44FDCAA">
    <w:name w:val="4BA8739FB98441C3A0D28BEEA44FDCAA"/>
    <w:rsid w:val="00794300"/>
    <w:rPr>
      <w:rFonts w:eastAsiaTheme="minorHAnsi"/>
      <w:lang w:eastAsia="en-US"/>
    </w:rPr>
  </w:style>
  <w:style w:type="paragraph" w:customStyle="1" w:styleId="4BA8739FB98441C3A0D28BEEA44FDCAA1">
    <w:name w:val="4BA8739FB98441C3A0D28BEEA44FDCAA1"/>
    <w:rsid w:val="00794300"/>
    <w:rPr>
      <w:rFonts w:eastAsiaTheme="minorHAnsi"/>
      <w:lang w:eastAsia="en-US"/>
    </w:rPr>
  </w:style>
  <w:style w:type="paragraph" w:customStyle="1" w:styleId="4BA8739FB98441C3A0D28BEEA44FDCAA2">
    <w:name w:val="4BA8739FB98441C3A0D28BEEA44FDCAA2"/>
    <w:rsid w:val="00794300"/>
    <w:pPr>
      <w:spacing w:line="240" w:lineRule="auto"/>
    </w:pPr>
    <w:rPr>
      <w:rFonts w:ascii="Arial" w:eastAsiaTheme="minorHAnsi" w:hAnsi="Arial"/>
      <w:sz w:val="21"/>
      <w:lang w:eastAsia="en-US"/>
    </w:rPr>
  </w:style>
  <w:style w:type="paragraph" w:customStyle="1" w:styleId="6BE38545A7C94EC8BA24063576F658F3">
    <w:name w:val="6BE38545A7C94EC8BA24063576F658F3"/>
    <w:rsid w:val="00794300"/>
    <w:pPr>
      <w:tabs>
        <w:tab w:val="center" w:pos="4513"/>
        <w:tab w:val="right" w:pos="9026"/>
      </w:tabs>
      <w:spacing w:after="0" w:line="240" w:lineRule="auto"/>
    </w:pPr>
    <w:rPr>
      <w:rFonts w:ascii="Arial" w:eastAsiaTheme="minorHAnsi" w:hAnsi="Arial"/>
      <w:sz w:val="21"/>
      <w:lang w:eastAsia="en-US"/>
    </w:rPr>
  </w:style>
  <w:style w:type="paragraph" w:customStyle="1" w:styleId="ED421995E12647708ED9B6F72449D2DF">
    <w:name w:val="ED421995E12647708ED9B6F72449D2DF"/>
    <w:rsid w:val="00763C4B"/>
  </w:style>
  <w:style w:type="paragraph" w:customStyle="1" w:styleId="2748C21E4E99448ABA2ED00B8639FE34">
    <w:name w:val="2748C21E4E99448ABA2ED00B8639FE34"/>
    <w:rsid w:val="00763C4B"/>
  </w:style>
  <w:style w:type="paragraph" w:customStyle="1" w:styleId="B4E88953D7784E6986A142D2032396FE">
    <w:name w:val="B4E88953D7784E6986A142D2032396FE"/>
    <w:rsid w:val="00763C4B"/>
  </w:style>
  <w:style w:type="paragraph" w:customStyle="1" w:styleId="95B3FED54A8D4E0F9F378467FDBABF61">
    <w:name w:val="95B3FED54A8D4E0F9F378467FDBABF61"/>
    <w:rsid w:val="00763C4B"/>
  </w:style>
  <w:style w:type="paragraph" w:customStyle="1" w:styleId="5D37C3F44A5A49049B285B6334494C82">
    <w:name w:val="5D37C3F44A5A49049B285B6334494C82"/>
    <w:rsid w:val="00763C4B"/>
  </w:style>
  <w:style w:type="paragraph" w:customStyle="1" w:styleId="17E505BD688C40B394F9AEC5EEB5A717">
    <w:name w:val="17E505BD688C40B394F9AEC5EEB5A717"/>
    <w:rsid w:val="00763C4B"/>
  </w:style>
  <w:style w:type="paragraph" w:customStyle="1" w:styleId="EEED32D9AAEC425D809AA141C065DD61">
    <w:name w:val="EEED32D9AAEC425D809AA141C065DD61"/>
    <w:rsid w:val="00763C4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888e33623ce2a8349a36cdee57224691">
  <xsd:schema xmlns:xsd="http://www.w3.org/2001/XMLSchema" xmlns:xs="http://www.w3.org/2001/XMLSchema" xmlns:p="http://schemas.microsoft.com/office/2006/metadata/properties" xmlns:ns2="fbad372e-4450-4be7-aace-d4b0880012f6" targetNamespace="http://schemas.microsoft.com/office/2006/metadata/properties" ma:root="true" ma:fieldsID="09fe8ac6e2f005041c614b82e01f7417"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element ref="ns2:ea320ce74d6f438994a067fced8d3db5" minOccurs="0"/>
                <xsd:element ref="ns2:id654c2ae4f3493f9b24022f305a1e14"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element name="ea320ce74d6f438994a067fced8d3db5" ma:index="27" nillable="true" ma:taxonomy="true" ma:internalName="ea320ce74d6f438994a067fced8d3db5" ma:taxonomyFieldName="BusinessArea" ma:displayName="Business Area" ma:fieldId="{ea320ce7-4d6f-4389-94a0-67fced8d3db5}" ma:sspId="61e09954-7ca0-41ec-b279-33dba56ed054" ma:termSetId="25cf8bce-70dd-40d5-8a45-d7f89984b524" ma:anchorId="00000000-0000-0000-0000-000000000000" ma:open="false" ma:isKeyword="false">
      <xsd:complexType>
        <xsd:sequence>
          <xsd:element ref="pc:Terms" minOccurs="0" maxOccurs="1"/>
        </xsd:sequence>
      </xsd:complexType>
    </xsd:element>
    <xsd:element name="id654c2ae4f3493f9b24022f305a1e14" ma:index="29" nillable="true" ma:taxonomy="true" ma:internalName="id654c2ae4f3493f9b24022f305a1e14" ma:taxonomyFieldName="FinYr" ma:displayName="FinYr" ma:default="" ma:fieldId="{2d654c2a-e4f3-493f-9b24-022f305a1e14}" ma:sspId="61e09954-7ca0-41ec-b279-33dba56ed054" ma:termSetId="402ecc91-e01b-4927-af77-c9c2fbd9ab4d"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STRATMGT-2-2074</_dlc_DocId>
    <_dlc_DocIdUrl xmlns="fbad372e-4450-4be7-aace-d4b0880012f6">
      <Url>http://thedock.gbrmpa.gov.au/sites/SM/CD/_layouts/DocIdRedir.aspx?ID=STRATMGT-2-2074</Url>
      <Description>STRATMGT-2-2074</Description>
    </_dlc_DocIdUrl>
    <TaxCatchAll xmlns="fbad372e-4450-4be7-aace-d4b0880012f6">
      <Value>60</Value>
      <Value>27</Value>
      <Value>48</Value>
    </TaxCatchAll>
    <MDLVersion xmlns="fbad372e-4450-4be7-aace-d4b0880012f6">0</MDLVersion>
    <ApprovedBy xmlns="fbad372e-4450-4be7-aace-d4b0880012f6">
      <UserInfo>
        <DisplayName>Simon Banks</DisplayName>
        <AccountId>245</AccountId>
        <AccountType/>
      </UserInfo>
    </ApprovedBy>
    <id654c2ae4f3493f9b24022f305a1e14 xmlns="fbad372e-4450-4be7-aace-d4b0880012f6">
      <Terms xmlns="http://schemas.microsoft.com/office/infopath/2007/PartnerControls">
        <TermInfo xmlns="http://schemas.microsoft.com/office/infopath/2007/PartnerControls">
          <TermName xmlns="http://schemas.microsoft.com/office/infopath/2007/PartnerControls">2019/2020</TermName>
          <TermId xmlns="http://schemas.microsoft.com/office/infopath/2007/PartnerControls">8ce4b696-308c-4868-9313-2bea57193f26</TermId>
        </TermInfo>
      </Terms>
    </id654c2ae4f3493f9b24022f305a1e14>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Policy Document - External</TermName>
          <TermId xmlns="http://schemas.microsoft.com/office/infopath/2007/PartnerControls">2f745c4a-18ba-4c09-8220-dbfdbbdbfdc7</TermId>
        </TermInfo>
      </Terms>
    </d0191f15c592471c99638c3c034aa03c>
    <ControlledDocumentCustodian xmlns="fbad372e-4450-4be7-aace-d4b0880012f6">
      <UserInfo>
        <DisplayName>GBRMPA\belindaj</DisplayName>
        <AccountId>218</AccountId>
        <AccountType/>
      </UserInfo>
    </ControlledDocumentCustodian>
    <LastReviewed xmlns="fbad372e-4450-4be7-aace-d4b0880012f6">2019-11-06T05:59:00+00:00</LastReviewed>
    <NextReview xmlns="fbad372e-4450-4be7-aace-d4b0880012f6">2024-11-05T14:00:00+00:00</NextReview>
    <ControlledDocumentStatus xmlns="fbad372e-4450-4be7-aace-d4b0880012f6">Approved</ControlledDocumentStatus>
    <ea320ce74d6f438994a067fced8d3db5 xmlns="fbad372e-4450-4be7-aace-d4b0880012f6">
      <Terms xmlns="http://schemas.microsoft.com/office/infopath/2007/PartnerControls">
        <TermInfo xmlns="http://schemas.microsoft.com/office/infopath/2007/PartnerControls">
          <TermName xmlns="http://schemas.microsoft.com/office/infopath/2007/PartnerControls">Policy and Planning</TermName>
          <TermId xmlns="http://schemas.microsoft.com/office/infopath/2007/PartnerControls">f763db00-fa28-40c7-82fc-ffd0bd309232</TermId>
        </TermInfo>
      </Terms>
    </ea320ce74d6f438994a067fced8d3db5>
    <MDLNumber xmlns="fbad372e-4450-4be7-aace-d4b0880012f6" xsi:nil="true"/>
    <ControlledDocumentApprovalDate xmlns="fbad372e-4450-4be7-aace-d4b0880012f6">2019-11-05T14:00:00+00:00</ControlledDocumentApprovalDate>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604673-B576-4A88-BC8F-306F007B3B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15722DF-EE3D-454D-B231-5B7F092E7558}">
  <ds:schemaRefs>
    <ds:schemaRef ds:uri="http://schemas.microsoft.com/sharepoint/v3/contenttype/forms"/>
  </ds:schemaRefs>
</ds:datastoreItem>
</file>

<file path=customXml/itemProps3.xml><?xml version="1.0" encoding="utf-8"?>
<ds:datastoreItem xmlns:ds="http://schemas.openxmlformats.org/officeDocument/2006/customXml" ds:itemID="{F47110B9-6A76-48FF-A882-968113EA8B7B}">
  <ds:schemaRefs>
    <ds:schemaRef ds:uri="http://purl.org/dc/elements/1.1/"/>
    <ds:schemaRef ds:uri="http://schemas.openxmlformats.org/package/2006/metadata/core-properties"/>
    <ds:schemaRef ds:uri="http://schemas.microsoft.com/office/2006/documentManagement/types"/>
    <ds:schemaRef ds:uri="http://schemas.microsoft.com/office/infopath/2007/PartnerControls"/>
    <ds:schemaRef ds:uri="http://schemas.microsoft.com/office/2006/metadata/properties"/>
    <ds:schemaRef ds:uri="fbad372e-4450-4be7-aace-d4b0880012f6"/>
    <ds:schemaRef ds:uri="http://www.w3.org/XML/1998/namespace"/>
    <ds:schemaRef ds:uri="http://purl.org/dc/terms/"/>
    <ds:schemaRef ds:uri="http://purl.org/dc/dcmitype/"/>
  </ds:schemaRefs>
</ds:datastoreItem>
</file>

<file path=customXml/itemProps4.xml><?xml version="1.0" encoding="utf-8"?>
<ds:datastoreItem xmlns:ds="http://schemas.openxmlformats.org/officeDocument/2006/customXml" ds:itemID="{BAB38A5E-6899-466F-9C07-73F9905627D7}">
  <ds:schemaRefs>
    <ds:schemaRef ds:uri="http://schemas.microsoft.com/sharepoint/events"/>
  </ds:schemaRefs>
</ds:datastoreItem>
</file>

<file path=customXml/itemProps5.xml><?xml version="1.0" encoding="utf-8"?>
<ds:datastoreItem xmlns:ds="http://schemas.openxmlformats.org/officeDocument/2006/customXml" ds:itemID="{24941D33-DA8C-469A-BBC9-AFB15E34E3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5758</Words>
  <Characters>32826</Characters>
  <Application>Microsoft Office Word</Application>
  <DocSecurity>0</DocSecurity>
  <Lines>273</Lines>
  <Paragraphs>77</Paragraphs>
  <ScaleCrop>false</ScaleCrop>
  <HeadingPairs>
    <vt:vector size="2" baseType="variant">
      <vt:variant>
        <vt:lpstr>Title</vt:lpstr>
      </vt:variant>
      <vt:variant>
        <vt:i4>1</vt:i4>
      </vt:variant>
    </vt:vector>
  </HeadingPairs>
  <TitlesOfParts>
    <vt:vector size="1" baseType="lpstr">
      <vt:lpstr>Values Guidelines - Historic Heritage Lightstations and Aids to Navigation</vt:lpstr>
    </vt:vector>
  </TitlesOfParts>
  <Company>Great Barrier Reef Marine Park Authority</Company>
  <LinksUpToDate>false</LinksUpToDate>
  <CharactersWithSpaces>38507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Values Guidelines - Historic Heritage Lightstations and Aids to Navigation</dc:title>
  <dc:subject/>
  <dc:creator>Sandra Turk</dc:creator>
  <cp:keywords/>
  <dc:description/>
  <cp:lastModifiedBy>Joanna Ruxton</cp:lastModifiedBy>
  <cp:revision>2</cp:revision>
  <cp:lastPrinted>2019-08-15T02:01:00Z</cp:lastPrinted>
  <dcterms:created xsi:type="dcterms:W3CDTF">2019-11-19T03:59:00Z</dcterms:created>
  <dcterms:modified xsi:type="dcterms:W3CDTF">2019-11-19T03:59:00Z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d0191f15c592471c99638c3c034aa03c">
    <vt:lpwstr>Unspecified|d25150e0-e36e-4b13-b344-36f3a47e63aa</vt:lpwstr>
  </property>
  <property fmtid="{D5CDD505-2E9C-101B-9397-08002B2CF9AE}" pid="4" name="TaxCatchAll">
    <vt:lpwstr>19;#Unspecified</vt:lpwstr>
  </property>
  <property fmtid="{D5CDD505-2E9C-101B-9397-08002B2CF9AE}" pid="5" name="_dlc_DocIdItemGuid">
    <vt:lpwstr>87e1a6cc-74e8-4dba-ac58-f24b2dac86db</vt:lpwstr>
  </property>
  <property fmtid="{D5CDD505-2E9C-101B-9397-08002B2CF9AE}" pid="6" name="CDType">
    <vt:lpwstr>27;#Policy Document - External|2f745c4a-18ba-4c09-8220-dbfdbbdbfdc7</vt:lpwstr>
  </property>
  <property fmtid="{D5CDD505-2E9C-101B-9397-08002B2CF9AE}" pid="7" name="RecordPoint_ActiveItemUniqueId">
    <vt:lpwstr>{87e1a6cc-74e8-4dba-ac58-f24b2dac86db}</vt:lpwstr>
  </property>
  <property fmtid="{D5CDD505-2E9C-101B-9397-08002B2CF9AE}" pid="8" name="RecordPoint_SubmissionCompleted">
    <vt:lpwstr/>
  </property>
  <property fmtid="{D5CDD505-2E9C-101B-9397-08002B2CF9AE}" pid="9" name="RecordPoint_WorkflowType">
    <vt:lpwstr>ActiveSubmit</vt:lpwstr>
  </property>
  <property fmtid="{D5CDD505-2E9C-101B-9397-08002B2CF9AE}" pid="10" name="RecordPoint_ActiveItemSiteId">
    <vt:lpwstr>{26e726f3-e67c-4652-8ab5-8d159b8d608a}</vt:lpwstr>
  </property>
  <property fmtid="{D5CDD505-2E9C-101B-9397-08002B2CF9AE}" pid="11" name="RecordPoint_ActiveItemListId">
    <vt:lpwstr>{d06ea39e-2103-4b5b-8620-6b6c442cf20c}</vt:lpwstr>
  </property>
  <property fmtid="{D5CDD505-2E9C-101B-9397-08002B2CF9AE}" pid="12" name="RecordPoint_ActiveItemWebId">
    <vt:lpwstr>{63014b5d-9133-4ea9-ae73-ec2e1788038e}</vt:lpwstr>
  </property>
  <property fmtid="{D5CDD505-2E9C-101B-9397-08002B2CF9AE}" pid="13" name="TitusGUID">
    <vt:lpwstr>ee3a14e6-8e45-4604-86ac-1fa6ef030610</vt:lpwstr>
  </property>
  <property fmtid="{D5CDD505-2E9C-101B-9397-08002B2CF9AE}" pid="14" name="BusinessArea">
    <vt:lpwstr>60;#Policy and Planning|f763db00-fa28-40c7-82fc-ffd0bd309232</vt:lpwstr>
  </property>
  <property fmtid="{D5CDD505-2E9C-101B-9397-08002B2CF9AE}" pid="15" name="FinYr">
    <vt:lpwstr>48;#2019/2020|8ce4b696-308c-4868-9313-2bea57193f26</vt:lpwstr>
  </property>
  <property fmtid="{D5CDD505-2E9C-101B-9397-08002B2CF9AE}" pid="16" name="RecordPoint_SubmissionDate">
    <vt:lpwstr/>
  </property>
  <property fmtid="{D5CDD505-2E9C-101B-9397-08002B2CF9AE}" pid="17" name="RecordPoint_RecordNumberSubmitted">
    <vt:lpwstr/>
  </property>
  <property fmtid="{D5CDD505-2E9C-101B-9397-08002B2CF9AE}" pid="18" name="RecordPoint_ActiveItemMoved">
    <vt:lpwstr/>
  </property>
  <property fmtid="{D5CDD505-2E9C-101B-9397-08002B2CF9AE}" pid="19" name="RecordPoint_RecordFormat">
    <vt:lpwstr/>
  </property>
  <property fmtid="{D5CDD505-2E9C-101B-9397-08002B2CF9AE}" pid="20" name="SEC">
    <vt:lpwstr>UNCLASSIFIED</vt:lpwstr>
  </property>
  <property fmtid="{D5CDD505-2E9C-101B-9397-08002B2CF9AE}" pid="21" name="DLM">
    <vt:lpwstr>No DLM</vt:lpwstr>
  </property>
</Properties>
</file>