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03032D" w14:textId="77777777" w:rsidR="00AD0D74" w:rsidRDefault="00030BBA" w:rsidP="002439C8">
      <w:pPr>
        <w:spacing w:line="276" w:lineRule="auto"/>
        <w:jc w:val="left"/>
        <w:rPr>
          <w:rFonts w:ascii="Verdana" w:hAnsi="Verdana"/>
          <w:sz w:val="24"/>
          <w:szCs w:val="24"/>
        </w:rPr>
        <w:sectPr w:rsidR="00AD0D74" w:rsidSect="009E5D22">
          <w:headerReference w:type="even" r:id="rId12"/>
          <w:headerReference w:type="default" r:id="rId13"/>
          <w:footerReference w:type="even" r:id="rId14"/>
          <w:footerReference w:type="default" r:id="rId15"/>
          <w:headerReference w:type="first" r:id="rId16"/>
          <w:footerReference w:type="first" r:id="rId17"/>
          <w:type w:val="continuous"/>
          <w:pgSz w:w="11906" w:h="16838"/>
          <w:pgMar w:top="0" w:right="0" w:bottom="0" w:left="0" w:header="709" w:footer="709" w:gutter="0"/>
          <w:cols w:space="708"/>
          <w:docGrid w:linePitch="360"/>
        </w:sectPr>
      </w:pPr>
      <w:r>
        <w:rPr>
          <w:rFonts w:ascii="Verdana" w:hAnsi="Verdana"/>
          <w:noProof/>
          <w:sz w:val="24"/>
          <w:szCs w:val="24"/>
          <w:lang w:val="en-AU" w:eastAsia="en-AU" w:bidi="ar-SA"/>
        </w:rPr>
        <w:drawing>
          <wp:anchor distT="0" distB="0" distL="114300" distR="114300" simplePos="0" relativeHeight="251660292" behindDoc="0" locked="0" layoutInCell="1" allowOverlap="1" wp14:anchorId="4357C1F7" wp14:editId="137D99B3">
            <wp:simplePos x="0" y="0"/>
            <wp:positionH relativeFrom="margin">
              <wp:align>center</wp:align>
            </wp:positionH>
            <wp:positionV relativeFrom="margin">
              <wp:posOffset>-323850</wp:posOffset>
            </wp:positionV>
            <wp:extent cx="7355018" cy="10400665"/>
            <wp:effectExtent l="0" t="0" r="0" b="635"/>
            <wp:wrapSquare wrapText="bothSides"/>
            <wp:docPr id="6" name="Picture 6" descr="government logo, title, Flood plume in Hinchinbrook Channel after Cyclone Yasi hit, on the 2nd February 2011" title="cover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7355018" cy="10400665"/>
                    </a:xfrm>
                    <a:prstGeom prst="rect">
                      <a:avLst/>
                    </a:prstGeom>
                    <a:noFill/>
                  </pic:spPr>
                </pic:pic>
              </a:graphicData>
            </a:graphic>
          </wp:anchor>
        </w:drawing>
      </w:r>
      <w:bookmarkStart w:id="0" w:name="_Hlk480549329"/>
      <w:bookmarkEnd w:id="0"/>
    </w:p>
    <w:p w14:paraId="179D962A" w14:textId="32300C5F" w:rsidR="00250475" w:rsidRPr="002D3ACB" w:rsidRDefault="00250475" w:rsidP="002439C8">
      <w:pPr>
        <w:spacing w:before="240" w:line="276" w:lineRule="auto"/>
        <w:ind w:left="284" w:hanging="284"/>
        <w:jc w:val="left"/>
        <w:rPr>
          <w:rFonts w:cs="Arial"/>
          <w:sz w:val="18"/>
          <w:szCs w:val="18"/>
          <w:lang w:val="en-AU"/>
        </w:rPr>
      </w:pPr>
      <w:r w:rsidRPr="002D3ACB">
        <w:rPr>
          <w:rFonts w:cs="Arial"/>
          <w:sz w:val="18"/>
          <w:szCs w:val="18"/>
          <w:lang w:val="en-AU"/>
        </w:rPr>
        <w:t xml:space="preserve">© </w:t>
      </w:r>
      <w:r w:rsidR="00F039E6">
        <w:rPr>
          <w:rFonts w:cs="Arial"/>
          <w:sz w:val="18"/>
          <w:szCs w:val="18"/>
          <w:lang w:val="en-AU"/>
        </w:rPr>
        <w:t xml:space="preserve">The </w:t>
      </w:r>
      <w:r w:rsidRPr="002D3ACB">
        <w:rPr>
          <w:rFonts w:cs="Arial"/>
          <w:sz w:val="18"/>
          <w:szCs w:val="18"/>
          <w:lang w:val="en-AU"/>
        </w:rPr>
        <w:t>University of Queensland</w:t>
      </w:r>
      <w:r w:rsidR="00704844" w:rsidRPr="002D3ACB">
        <w:rPr>
          <w:rFonts w:cs="Arial"/>
          <w:sz w:val="18"/>
          <w:szCs w:val="18"/>
          <w:lang w:val="en-AU"/>
        </w:rPr>
        <w:t xml:space="preserve"> and James Cook University</w:t>
      </w:r>
      <w:r w:rsidR="00825F8D">
        <w:rPr>
          <w:rFonts w:cs="Arial"/>
          <w:sz w:val="18"/>
          <w:szCs w:val="18"/>
          <w:lang w:val="en-AU"/>
        </w:rPr>
        <w:t xml:space="preserve">, </w:t>
      </w:r>
      <w:r w:rsidRPr="002D3ACB">
        <w:rPr>
          <w:rFonts w:cs="Arial"/>
          <w:sz w:val="18"/>
          <w:szCs w:val="18"/>
          <w:lang w:val="en-AU"/>
        </w:rPr>
        <w:t>201</w:t>
      </w:r>
      <w:r w:rsidR="00B032E6">
        <w:rPr>
          <w:rFonts w:cs="Arial"/>
          <w:sz w:val="18"/>
          <w:szCs w:val="18"/>
          <w:lang w:val="en-AU"/>
        </w:rPr>
        <w:t>9</w:t>
      </w:r>
    </w:p>
    <w:p w14:paraId="1396814F" w14:textId="77777777" w:rsidR="00250475" w:rsidRPr="002D3ACB" w:rsidRDefault="00250475" w:rsidP="002439C8">
      <w:pPr>
        <w:spacing w:before="240" w:line="276" w:lineRule="auto"/>
        <w:ind w:left="284" w:hanging="284"/>
        <w:jc w:val="left"/>
        <w:rPr>
          <w:rFonts w:cs="Arial"/>
          <w:sz w:val="18"/>
          <w:szCs w:val="18"/>
          <w:lang w:val="en-AU"/>
        </w:rPr>
      </w:pPr>
      <w:r w:rsidRPr="002D3ACB">
        <w:rPr>
          <w:rFonts w:cs="Arial"/>
          <w:sz w:val="18"/>
          <w:szCs w:val="18"/>
          <w:lang w:val="en-AU"/>
        </w:rPr>
        <w:t>Published by the Great Barrier Reef Marine Park Authority</w:t>
      </w:r>
    </w:p>
    <w:p w14:paraId="0FEB6215" w14:textId="324B159B" w:rsidR="00250475" w:rsidRPr="002D3ACB" w:rsidRDefault="001A3AFC" w:rsidP="002439C8">
      <w:pPr>
        <w:spacing w:before="240" w:line="276" w:lineRule="auto"/>
        <w:ind w:left="284" w:hanging="284"/>
        <w:jc w:val="left"/>
        <w:rPr>
          <w:rFonts w:cs="Arial"/>
          <w:sz w:val="18"/>
          <w:szCs w:val="18"/>
          <w:lang w:val="en-AU"/>
        </w:rPr>
      </w:pPr>
      <w:r>
        <w:rPr>
          <w:rFonts w:cs="Arial"/>
          <w:sz w:val="18"/>
          <w:szCs w:val="18"/>
          <w:lang w:val="en-AU"/>
        </w:rPr>
        <w:t>ISS</w:t>
      </w:r>
      <w:r w:rsidR="00250475" w:rsidRPr="002D3ACB">
        <w:rPr>
          <w:rFonts w:cs="Arial"/>
          <w:sz w:val="18"/>
          <w:szCs w:val="18"/>
          <w:lang w:val="en-AU"/>
        </w:rPr>
        <w:t xml:space="preserve">N: </w:t>
      </w:r>
      <w:bookmarkStart w:id="1" w:name="_GoBack"/>
      <w:bookmarkEnd w:id="1"/>
      <w:r w:rsidRPr="007B7782">
        <w:rPr>
          <w:rFonts w:cs="Arial"/>
          <w:sz w:val="18"/>
          <w:szCs w:val="18"/>
          <w:lang w:val="en-AU"/>
        </w:rPr>
        <w:t>2208-4134</w:t>
      </w:r>
    </w:p>
    <w:p w14:paraId="541E83D0" w14:textId="2D3BD5E9" w:rsidR="00250475" w:rsidRPr="002D3ACB" w:rsidRDefault="00250475" w:rsidP="002439C8">
      <w:pPr>
        <w:spacing w:before="240" w:line="276" w:lineRule="auto"/>
        <w:jc w:val="left"/>
        <w:rPr>
          <w:rFonts w:cs="Arial"/>
          <w:sz w:val="18"/>
          <w:szCs w:val="18"/>
        </w:rPr>
      </w:pPr>
      <w:r w:rsidRPr="002D3ACB">
        <w:rPr>
          <w:rFonts w:cs="Arial"/>
          <w:i/>
          <w:color w:val="000000"/>
          <w:sz w:val="18"/>
          <w:szCs w:val="18"/>
        </w:rPr>
        <w:t xml:space="preserve">Marine Monitoring Program: Annual report for inshore </w:t>
      </w:r>
      <w:r w:rsidR="00704844" w:rsidRPr="002D3ACB">
        <w:rPr>
          <w:rFonts w:cs="Arial"/>
          <w:i/>
          <w:color w:val="000000"/>
          <w:sz w:val="18"/>
          <w:szCs w:val="18"/>
        </w:rPr>
        <w:t>pesticide</w:t>
      </w:r>
      <w:r w:rsidRPr="002D3ACB">
        <w:rPr>
          <w:rFonts w:cs="Arial"/>
          <w:i/>
          <w:color w:val="000000"/>
          <w:sz w:val="18"/>
          <w:szCs w:val="18"/>
        </w:rPr>
        <w:t xml:space="preserve"> monitoring </w:t>
      </w:r>
      <w:r w:rsidR="001B73E5">
        <w:rPr>
          <w:rFonts w:cs="Arial"/>
          <w:i/>
          <w:color w:val="000000"/>
          <w:sz w:val="18"/>
          <w:szCs w:val="18"/>
        </w:rPr>
        <w:t>2017–18</w:t>
      </w:r>
      <w:r w:rsidR="00B926C4">
        <w:rPr>
          <w:rFonts w:cs="Arial"/>
          <w:i/>
          <w:color w:val="000000"/>
          <w:sz w:val="18"/>
          <w:szCs w:val="18"/>
        </w:rPr>
        <w:t xml:space="preserve"> </w:t>
      </w:r>
      <w:r w:rsidRPr="002D3ACB">
        <w:rPr>
          <w:rFonts w:cs="Arial"/>
          <w:sz w:val="18"/>
          <w:szCs w:val="18"/>
        </w:rPr>
        <w:t xml:space="preserve">is licensed for use under a Creative Commons By Attribution 4.0 International licence with the exception of the Coat of Arms of the Commonwealth of Australia, the logos of the Great Barrier Reef Marine Park Authority, </w:t>
      </w:r>
      <w:r w:rsidR="00F039E6">
        <w:rPr>
          <w:rFonts w:cs="Arial"/>
          <w:sz w:val="18"/>
          <w:szCs w:val="18"/>
        </w:rPr>
        <w:t xml:space="preserve">The </w:t>
      </w:r>
      <w:r w:rsidR="00825F8D" w:rsidRPr="002D3ACB">
        <w:rPr>
          <w:rFonts w:cs="Arial"/>
          <w:sz w:val="18"/>
          <w:szCs w:val="18"/>
          <w:lang w:val="en-AU"/>
        </w:rPr>
        <w:t>University of Queensland and James Cook University</w:t>
      </w:r>
      <w:r w:rsidR="00825F8D">
        <w:rPr>
          <w:rFonts w:cs="Arial"/>
          <w:sz w:val="18"/>
          <w:szCs w:val="18"/>
        </w:rPr>
        <w:t>,</w:t>
      </w:r>
      <w:r w:rsidR="002D3ACB" w:rsidRPr="002D3ACB">
        <w:rPr>
          <w:rFonts w:cs="Arial"/>
          <w:sz w:val="18"/>
          <w:szCs w:val="18"/>
        </w:rPr>
        <w:t xml:space="preserve"> </w:t>
      </w:r>
      <w:r w:rsidRPr="002D3ACB">
        <w:rPr>
          <w:rFonts w:cs="Arial"/>
          <w:sz w:val="18"/>
          <w:szCs w:val="18"/>
        </w:rPr>
        <w:t xml:space="preserve">any other material protected by a trademark, content supplied by third parties and any photographs. For licence conditions see: </w:t>
      </w:r>
      <w:hyperlink r:id="rId19" w:history="1">
        <w:r w:rsidRPr="002D3ACB">
          <w:rPr>
            <w:rStyle w:val="Hyperlink"/>
            <w:rFonts w:cs="Arial"/>
            <w:sz w:val="18"/>
            <w:szCs w:val="18"/>
          </w:rPr>
          <w:t>http://creativecommons.or</w:t>
        </w:r>
        <w:r w:rsidR="00FE6E97">
          <w:rPr>
            <w:rStyle w:val="Hyperlink"/>
            <w:rFonts w:cs="Arial"/>
            <w:sz w:val="18"/>
            <w:szCs w:val="18"/>
          </w:rPr>
          <w:t>g L-1</w:t>
        </w:r>
        <w:r w:rsidRPr="002D3ACB">
          <w:rPr>
            <w:rStyle w:val="Hyperlink"/>
            <w:rFonts w:cs="Arial"/>
            <w:sz w:val="18"/>
            <w:szCs w:val="18"/>
          </w:rPr>
          <w:t>icences/by/4.0</w:t>
        </w:r>
      </w:hyperlink>
      <w:r w:rsidRPr="002D3ACB">
        <w:rPr>
          <w:rFonts w:cs="Arial"/>
          <w:sz w:val="18"/>
          <w:szCs w:val="18"/>
        </w:rPr>
        <w:t xml:space="preserve"> </w:t>
      </w:r>
    </w:p>
    <w:p w14:paraId="31B3A7A4" w14:textId="77777777" w:rsidR="00250475" w:rsidRPr="002D3ACB" w:rsidRDefault="00250475" w:rsidP="002439C8">
      <w:pPr>
        <w:spacing w:before="240" w:line="276" w:lineRule="auto"/>
        <w:ind w:left="284" w:hanging="284"/>
        <w:jc w:val="left"/>
        <w:rPr>
          <w:rFonts w:cs="Arial"/>
          <w:sz w:val="18"/>
          <w:szCs w:val="18"/>
          <w:lang w:val="en-AU"/>
        </w:rPr>
      </w:pPr>
      <w:r w:rsidRPr="002D3ACB">
        <w:rPr>
          <w:rFonts w:cs="Arial"/>
          <w:noProof/>
          <w:sz w:val="18"/>
          <w:szCs w:val="18"/>
          <w:lang w:val="en-AU" w:eastAsia="en-AU" w:bidi="ar-SA"/>
        </w:rPr>
        <w:drawing>
          <wp:inline distT="0" distB="0" distL="0" distR="0" wp14:anchorId="1AF27A78" wp14:editId="6350FF7F">
            <wp:extent cx="1228725" cy="428625"/>
            <wp:effectExtent l="0" t="0" r="0" b="9525"/>
            <wp:docPr id="35" name="Picture 3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0"/>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20"/>
                    </pic:cNvPr>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543319B1" w14:textId="77777777" w:rsidR="00250475" w:rsidRPr="002D3ACB" w:rsidRDefault="00250475" w:rsidP="002439C8">
      <w:pPr>
        <w:pStyle w:val="Infopage"/>
        <w:spacing w:before="240" w:after="0"/>
        <w:jc w:val="left"/>
        <w:rPr>
          <w:rFonts w:ascii="Arial" w:hAnsi="Arial" w:cs="Arial"/>
          <w:b/>
          <w:sz w:val="18"/>
          <w:szCs w:val="18"/>
          <w:lang w:val="en-AU"/>
        </w:rPr>
      </w:pPr>
      <w:r w:rsidRPr="002D3ACB">
        <w:rPr>
          <w:rFonts w:ascii="Arial" w:hAnsi="Arial" w:cs="Arial"/>
          <w:b/>
          <w:sz w:val="18"/>
          <w:szCs w:val="18"/>
          <w:lang w:val="en-AU"/>
        </w:rPr>
        <w:t xml:space="preserve">This publication should be cited as: </w:t>
      </w:r>
    </w:p>
    <w:p w14:paraId="476D7058" w14:textId="4C64D4EF" w:rsidR="00704844" w:rsidRDefault="004F1F5B" w:rsidP="002439C8">
      <w:pPr>
        <w:pStyle w:val="Infopage"/>
        <w:spacing w:after="0"/>
        <w:jc w:val="left"/>
        <w:rPr>
          <w:rFonts w:ascii="Arial" w:hAnsi="Arial" w:cs="Arial"/>
          <w:sz w:val="18"/>
          <w:szCs w:val="18"/>
          <w:lang w:val="en-AU"/>
        </w:rPr>
      </w:pPr>
      <w:r>
        <w:rPr>
          <w:rFonts w:ascii="Arial" w:hAnsi="Arial" w:cs="Arial"/>
          <w:sz w:val="18"/>
          <w:szCs w:val="18"/>
          <w:lang w:val="en-AU"/>
        </w:rPr>
        <w:lastRenderedPageBreak/>
        <w:t>Gallen</w:t>
      </w:r>
      <w:r w:rsidR="00704844" w:rsidRPr="00F039E6">
        <w:rPr>
          <w:rFonts w:ascii="Arial" w:hAnsi="Arial" w:cs="Arial"/>
          <w:sz w:val="18"/>
          <w:szCs w:val="18"/>
          <w:lang w:val="en-AU"/>
        </w:rPr>
        <w:t xml:space="preserve">, </w:t>
      </w:r>
      <w:r>
        <w:rPr>
          <w:rFonts w:ascii="Arial" w:hAnsi="Arial" w:cs="Arial"/>
          <w:sz w:val="18"/>
          <w:szCs w:val="18"/>
          <w:lang w:val="en-AU"/>
        </w:rPr>
        <w:t>C</w:t>
      </w:r>
      <w:r w:rsidR="00704844" w:rsidRPr="00F039E6">
        <w:rPr>
          <w:rFonts w:ascii="Arial" w:hAnsi="Arial" w:cs="Arial"/>
          <w:sz w:val="18"/>
          <w:szCs w:val="18"/>
          <w:lang w:val="en-AU"/>
        </w:rPr>
        <w:t>.,</w:t>
      </w:r>
      <w:r w:rsidR="00952C20">
        <w:rPr>
          <w:rFonts w:ascii="Arial" w:hAnsi="Arial" w:cs="Arial"/>
          <w:sz w:val="18"/>
          <w:szCs w:val="18"/>
          <w:lang w:val="en-AU"/>
        </w:rPr>
        <w:t xml:space="preserve"> Thai, P.,</w:t>
      </w:r>
      <w:r w:rsidR="00704844" w:rsidRPr="00F039E6">
        <w:rPr>
          <w:rFonts w:ascii="Arial" w:hAnsi="Arial" w:cs="Arial"/>
          <w:sz w:val="18"/>
          <w:szCs w:val="18"/>
          <w:lang w:val="en-AU"/>
        </w:rPr>
        <w:t xml:space="preserve"> Paxman, C., </w:t>
      </w:r>
      <w:r w:rsidR="00952C20">
        <w:rPr>
          <w:rFonts w:ascii="Arial" w:hAnsi="Arial" w:cs="Arial"/>
          <w:sz w:val="18"/>
          <w:szCs w:val="18"/>
          <w:lang w:val="en-AU"/>
        </w:rPr>
        <w:t xml:space="preserve">Prasad, P., </w:t>
      </w:r>
      <w:r w:rsidR="006B168C">
        <w:rPr>
          <w:rFonts w:ascii="Arial" w:hAnsi="Arial" w:cs="Arial"/>
          <w:sz w:val="18"/>
          <w:szCs w:val="18"/>
          <w:lang w:val="en-AU"/>
        </w:rPr>
        <w:t xml:space="preserve">Elisei, G., </w:t>
      </w:r>
      <w:r w:rsidR="00FD21DB">
        <w:rPr>
          <w:rFonts w:ascii="Arial" w:hAnsi="Arial" w:cs="Arial"/>
          <w:sz w:val="18"/>
          <w:szCs w:val="18"/>
          <w:lang w:val="en-AU"/>
        </w:rPr>
        <w:t xml:space="preserve">Reeks, T., Eaglesham, G., Yeh, R., </w:t>
      </w:r>
      <w:r w:rsidR="00704844" w:rsidRPr="00F039E6">
        <w:rPr>
          <w:rFonts w:ascii="Arial" w:hAnsi="Arial" w:cs="Arial"/>
          <w:sz w:val="18"/>
          <w:szCs w:val="18"/>
          <w:lang w:val="en-AU"/>
        </w:rPr>
        <w:t>Tracey, D.</w:t>
      </w:r>
      <w:r w:rsidR="00313970">
        <w:rPr>
          <w:rFonts w:ascii="Arial" w:hAnsi="Arial" w:cs="Arial"/>
          <w:sz w:val="18"/>
          <w:szCs w:val="18"/>
          <w:lang w:val="en-AU"/>
        </w:rPr>
        <w:t xml:space="preserve">, </w:t>
      </w:r>
      <w:r w:rsidR="00FD21DB">
        <w:rPr>
          <w:rFonts w:ascii="Arial" w:hAnsi="Arial" w:cs="Arial"/>
          <w:sz w:val="18"/>
          <w:szCs w:val="18"/>
          <w:lang w:val="en-AU"/>
        </w:rPr>
        <w:t>Grant</w:t>
      </w:r>
      <w:r w:rsidR="00313970">
        <w:rPr>
          <w:rFonts w:ascii="Arial" w:hAnsi="Arial" w:cs="Arial"/>
          <w:sz w:val="18"/>
          <w:szCs w:val="18"/>
          <w:lang w:val="en-AU"/>
        </w:rPr>
        <w:t xml:space="preserve">, S. </w:t>
      </w:r>
      <w:r w:rsidR="00FD21DB">
        <w:rPr>
          <w:rFonts w:ascii="Arial" w:hAnsi="Arial" w:cs="Arial"/>
          <w:sz w:val="18"/>
          <w:szCs w:val="18"/>
          <w:lang w:val="en-AU"/>
        </w:rPr>
        <w:t>a</w:t>
      </w:r>
      <w:r w:rsidR="00AC7FDA">
        <w:rPr>
          <w:rFonts w:ascii="Arial" w:hAnsi="Arial" w:cs="Arial"/>
          <w:sz w:val="18"/>
          <w:szCs w:val="18"/>
          <w:lang w:val="en-AU"/>
        </w:rPr>
        <w:t>nd</w:t>
      </w:r>
      <w:r w:rsidR="00704844" w:rsidRPr="00F039E6">
        <w:rPr>
          <w:rFonts w:ascii="Arial" w:hAnsi="Arial" w:cs="Arial"/>
          <w:sz w:val="18"/>
          <w:szCs w:val="18"/>
          <w:lang w:val="en-AU"/>
        </w:rPr>
        <w:t xml:space="preserve"> Mueller, J. </w:t>
      </w:r>
      <w:r w:rsidR="003E719A" w:rsidRPr="00F039E6">
        <w:rPr>
          <w:rFonts w:ascii="Arial" w:hAnsi="Arial" w:cs="Arial"/>
          <w:sz w:val="18"/>
          <w:szCs w:val="18"/>
          <w:lang w:val="en-AU"/>
        </w:rPr>
        <w:t>201</w:t>
      </w:r>
      <w:r w:rsidR="003E719A">
        <w:rPr>
          <w:rFonts w:ascii="Arial" w:hAnsi="Arial" w:cs="Arial"/>
          <w:sz w:val="18"/>
          <w:szCs w:val="18"/>
          <w:lang w:val="en-AU"/>
        </w:rPr>
        <w:t>9</w:t>
      </w:r>
      <w:r w:rsidR="00825F8D">
        <w:rPr>
          <w:rFonts w:ascii="Arial" w:hAnsi="Arial" w:cs="Arial"/>
          <w:sz w:val="18"/>
          <w:szCs w:val="18"/>
          <w:lang w:val="en-AU"/>
        </w:rPr>
        <w:t>,</w:t>
      </w:r>
      <w:r w:rsidR="00704844" w:rsidRPr="00F039E6">
        <w:rPr>
          <w:rFonts w:ascii="Arial" w:hAnsi="Arial" w:cs="Arial"/>
          <w:sz w:val="18"/>
          <w:szCs w:val="18"/>
          <w:lang w:val="en-AU"/>
        </w:rPr>
        <w:t xml:space="preserve"> </w:t>
      </w:r>
      <w:r w:rsidR="00250475" w:rsidRPr="00F039E6">
        <w:rPr>
          <w:rFonts w:ascii="Arial" w:hAnsi="Arial" w:cs="Arial"/>
          <w:i/>
          <w:sz w:val="18"/>
          <w:szCs w:val="18"/>
        </w:rPr>
        <w:t>Marine Monitoring Program: Annual Report for i</w:t>
      </w:r>
      <w:r w:rsidR="00250475" w:rsidRPr="00F039E6">
        <w:rPr>
          <w:rFonts w:ascii="Arial" w:hAnsi="Arial" w:cs="Arial"/>
          <w:i/>
          <w:color w:val="000000"/>
          <w:sz w:val="18"/>
          <w:szCs w:val="18"/>
        </w:rPr>
        <w:t xml:space="preserve">nshore </w:t>
      </w:r>
      <w:r w:rsidR="00704844" w:rsidRPr="00F039E6">
        <w:rPr>
          <w:rFonts w:ascii="Arial" w:hAnsi="Arial" w:cs="Arial"/>
          <w:i/>
          <w:color w:val="000000"/>
          <w:sz w:val="18"/>
          <w:szCs w:val="18"/>
        </w:rPr>
        <w:t>pesticide</w:t>
      </w:r>
      <w:r w:rsidR="00250475" w:rsidRPr="00F039E6">
        <w:rPr>
          <w:rFonts w:ascii="Arial" w:hAnsi="Arial" w:cs="Arial"/>
          <w:i/>
          <w:color w:val="000000"/>
          <w:sz w:val="18"/>
          <w:szCs w:val="18"/>
        </w:rPr>
        <w:t xml:space="preserve"> monitoring </w:t>
      </w:r>
      <w:r w:rsidR="001B73E5">
        <w:rPr>
          <w:rFonts w:ascii="Arial" w:hAnsi="Arial" w:cs="Arial"/>
          <w:i/>
          <w:color w:val="000000"/>
          <w:sz w:val="18"/>
          <w:szCs w:val="18"/>
        </w:rPr>
        <w:t>2017–18</w:t>
      </w:r>
      <w:r w:rsidR="00250475" w:rsidRPr="00F039E6">
        <w:rPr>
          <w:rFonts w:ascii="Arial" w:hAnsi="Arial" w:cs="Arial"/>
          <w:i/>
          <w:color w:val="000000"/>
          <w:sz w:val="18"/>
          <w:szCs w:val="18"/>
        </w:rPr>
        <w:t xml:space="preserve">. Report </w:t>
      </w:r>
      <w:r w:rsidR="00250475" w:rsidRPr="00F039E6">
        <w:rPr>
          <w:rFonts w:ascii="Arial" w:hAnsi="Arial" w:cs="Arial"/>
          <w:i/>
          <w:sz w:val="18"/>
          <w:szCs w:val="18"/>
        </w:rPr>
        <w:t>for the Great Barrier Reef Marine Park Authority</w:t>
      </w:r>
      <w:r w:rsidR="00825F8D">
        <w:rPr>
          <w:rFonts w:ascii="Arial" w:hAnsi="Arial" w:cs="Arial"/>
          <w:i/>
          <w:sz w:val="18"/>
          <w:szCs w:val="18"/>
        </w:rPr>
        <w:t xml:space="preserve">, </w:t>
      </w:r>
      <w:r w:rsidR="00825F8D">
        <w:rPr>
          <w:rFonts w:ascii="Arial" w:hAnsi="Arial" w:cs="Arial"/>
          <w:sz w:val="18"/>
          <w:szCs w:val="18"/>
        </w:rPr>
        <w:t xml:space="preserve">Great Barrier Reef Marine Park Authority, Townsville, </w:t>
      </w:r>
      <w:r w:rsidR="003E719A">
        <w:rPr>
          <w:rFonts w:ascii="Arial" w:hAnsi="Arial" w:cs="Arial"/>
          <w:sz w:val="18"/>
          <w:szCs w:val="18"/>
          <w:lang w:val="en-AU"/>
        </w:rPr>
        <w:t>1</w:t>
      </w:r>
      <w:r w:rsidR="00B032E6">
        <w:rPr>
          <w:rFonts w:ascii="Arial" w:hAnsi="Arial" w:cs="Arial"/>
          <w:sz w:val="18"/>
          <w:szCs w:val="18"/>
          <w:lang w:val="en-AU"/>
        </w:rPr>
        <w:t>18</w:t>
      </w:r>
      <w:r w:rsidR="003E719A">
        <w:rPr>
          <w:rFonts w:ascii="Arial" w:hAnsi="Arial" w:cs="Arial"/>
          <w:sz w:val="18"/>
          <w:szCs w:val="18"/>
          <w:lang w:val="en-AU"/>
        </w:rPr>
        <w:t xml:space="preserve"> </w:t>
      </w:r>
      <w:r w:rsidR="00825F8D">
        <w:rPr>
          <w:rFonts w:ascii="Arial" w:hAnsi="Arial" w:cs="Arial"/>
          <w:sz w:val="18"/>
          <w:szCs w:val="18"/>
          <w:lang w:val="en-AU"/>
        </w:rPr>
        <w:t>pp.</w:t>
      </w:r>
    </w:p>
    <w:p w14:paraId="4C7BC007" w14:textId="77777777" w:rsidR="00853B17" w:rsidRPr="002D3ACB" w:rsidRDefault="00853B17" w:rsidP="002439C8">
      <w:pPr>
        <w:pStyle w:val="Infopage"/>
        <w:spacing w:after="0"/>
        <w:jc w:val="left"/>
        <w:rPr>
          <w:rFonts w:ascii="Arial" w:hAnsi="Arial" w:cs="Arial"/>
          <w:sz w:val="18"/>
          <w:szCs w:val="18"/>
          <w:lang w:val="en-AU"/>
        </w:rPr>
      </w:pPr>
    </w:p>
    <w:p w14:paraId="4282A123" w14:textId="77777777" w:rsidR="00250475" w:rsidRPr="00F039E6" w:rsidRDefault="00250475" w:rsidP="002439C8">
      <w:pPr>
        <w:spacing w:before="240" w:line="276" w:lineRule="auto"/>
        <w:jc w:val="left"/>
        <w:rPr>
          <w:rFonts w:cs="Arial"/>
          <w:b/>
          <w:sz w:val="18"/>
          <w:szCs w:val="18"/>
        </w:rPr>
      </w:pPr>
      <w:r w:rsidRPr="00F039E6">
        <w:rPr>
          <w:rFonts w:cs="Arial"/>
          <w:b/>
          <w:sz w:val="18"/>
          <w:szCs w:val="18"/>
        </w:rPr>
        <w:t>A catalogue record for this publication is available from the National Library of Australia</w:t>
      </w:r>
    </w:p>
    <w:p w14:paraId="286C9854" w14:textId="77777777" w:rsidR="00853B17" w:rsidRDefault="00853B17" w:rsidP="002439C8">
      <w:pPr>
        <w:spacing w:before="240" w:line="276" w:lineRule="auto"/>
        <w:jc w:val="left"/>
        <w:rPr>
          <w:rFonts w:eastAsia="MS Mincho" w:cs="Arial"/>
          <w:sz w:val="18"/>
          <w:szCs w:val="18"/>
          <w:lang w:val="en-AU" w:eastAsia="ja-JP"/>
        </w:rPr>
      </w:pPr>
    </w:p>
    <w:p w14:paraId="691C9578" w14:textId="07DBD9F7" w:rsidR="00250475" w:rsidRPr="002D3ACB" w:rsidRDefault="00250475" w:rsidP="002439C8">
      <w:pPr>
        <w:spacing w:before="240" w:line="276" w:lineRule="auto"/>
        <w:jc w:val="left"/>
        <w:rPr>
          <w:rFonts w:eastAsia="MS Mincho" w:cs="Arial"/>
          <w:sz w:val="18"/>
          <w:szCs w:val="18"/>
          <w:lang w:val="en-AU" w:eastAsia="ja-JP"/>
        </w:rPr>
      </w:pPr>
      <w:r w:rsidRPr="009C34F1">
        <w:rPr>
          <w:sz w:val="18"/>
          <w:lang w:val="en-AU"/>
        </w:rPr>
        <w:t>Front cover image</w:t>
      </w:r>
      <w:r w:rsidR="00932C97">
        <w:rPr>
          <w:rFonts w:eastAsia="MS Mincho" w:cs="Arial"/>
          <w:sz w:val="18"/>
          <w:szCs w:val="18"/>
          <w:lang w:val="en-AU" w:eastAsia="ja-JP"/>
        </w:rPr>
        <w:t xml:space="preserve"> F</w:t>
      </w:r>
      <w:r w:rsidR="00932C97" w:rsidRPr="00932C97">
        <w:rPr>
          <w:rFonts w:eastAsia="MS Mincho" w:cs="Arial"/>
          <w:sz w:val="18"/>
          <w:szCs w:val="18"/>
          <w:lang w:val="en-AU" w:eastAsia="ja-JP"/>
        </w:rPr>
        <w:t>lood plume in Hinchinbrook Channel after Cyclone Yasi hit, on the 2nd February 2011</w:t>
      </w:r>
      <w:r w:rsidR="00932C97">
        <w:rPr>
          <w:rFonts w:eastAsia="MS Mincho" w:cs="Arial"/>
          <w:sz w:val="18"/>
          <w:szCs w:val="18"/>
          <w:lang w:val="en-AU" w:eastAsia="ja-JP"/>
        </w:rPr>
        <w:t>. Photo by J Jones</w:t>
      </w:r>
      <w:r w:rsidR="00704844" w:rsidRPr="009C34F1">
        <w:rPr>
          <w:sz w:val="18"/>
        </w:rPr>
        <w:t xml:space="preserve"> © </w:t>
      </w:r>
      <w:r w:rsidR="003354BF">
        <w:rPr>
          <w:rFonts w:cs="Arial"/>
          <w:sz w:val="18"/>
          <w:szCs w:val="18"/>
        </w:rPr>
        <w:t>Great Barrier Reef Marine Park Authority</w:t>
      </w:r>
    </w:p>
    <w:p w14:paraId="089F1D53" w14:textId="77777777" w:rsidR="00250475" w:rsidRPr="002D3ACB" w:rsidRDefault="00250475" w:rsidP="002439C8">
      <w:pPr>
        <w:spacing w:before="240" w:line="276" w:lineRule="auto"/>
        <w:jc w:val="left"/>
        <w:rPr>
          <w:rFonts w:eastAsia="MS Mincho" w:cs="Arial"/>
          <w:b/>
          <w:sz w:val="18"/>
          <w:szCs w:val="18"/>
          <w:lang w:val="en-AU" w:eastAsia="ja-JP"/>
        </w:rPr>
      </w:pPr>
      <w:r w:rsidRPr="002D3ACB">
        <w:rPr>
          <w:rFonts w:eastAsia="MS Mincho" w:cs="Arial"/>
          <w:b/>
          <w:sz w:val="18"/>
          <w:szCs w:val="18"/>
          <w:lang w:val="en-AU" w:eastAsia="ja-JP"/>
        </w:rPr>
        <w:t>DISCLAIMER</w:t>
      </w:r>
    </w:p>
    <w:p w14:paraId="5B34AEE0" w14:textId="4A6F66D0" w:rsidR="00250475" w:rsidRPr="002D3ACB" w:rsidRDefault="00250475" w:rsidP="002439C8">
      <w:pPr>
        <w:spacing w:before="240" w:line="276" w:lineRule="auto"/>
        <w:jc w:val="left"/>
        <w:rPr>
          <w:rFonts w:eastAsia="MS Mincho" w:cs="Arial"/>
          <w:sz w:val="18"/>
          <w:szCs w:val="18"/>
          <w:lang w:val="en-AU" w:eastAsia="ja-JP"/>
        </w:rPr>
      </w:pPr>
      <w:r w:rsidRPr="002D3ACB">
        <w:rPr>
          <w:rFonts w:eastAsia="MS Mincho" w:cs="Arial"/>
          <w:sz w:val="18"/>
          <w:szCs w:val="18"/>
          <w:lang w:val="en-AU" w:eastAsia="ja-JP"/>
        </w:rPr>
        <w:t xml:space="preserve">While reasonable efforts have been made to ensure that the contents of this document are factually correct, </w:t>
      </w:r>
      <w:r w:rsidR="00B032E6">
        <w:rPr>
          <w:rFonts w:eastAsia="MS Mincho" w:cs="Arial"/>
          <w:sz w:val="18"/>
          <w:szCs w:val="18"/>
          <w:lang w:val="en-AU" w:eastAsia="ja-JP"/>
        </w:rPr>
        <w:t>the University of Queensland</w:t>
      </w:r>
      <w:r w:rsidRPr="002D3ACB">
        <w:rPr>
          <w:rFonts w:eastAsia="MS Mincho" w:cs="Arial"/>
          <w:sz w:val="18"/>
          <w:szCs w:val="18"/>
          <w:lang w:val="en-AU" w:eastAsia="ja-JP"/>
        </w:rPr>
        <w:t xml:space="preserve"> </w:t>
      </w:r>
      <w:r w:rsidR="00704844" w:rsidRPr="002D3ACB">
        <w:rPr>
          <w:rFonts w:eastAsia="MS Mincho" w:cs="Arial"/>
          <w:sz w:val="18"/>
          <w:szCs w:val="18"/>
          <w:lang w:val="en-AU" w:eastAsia="ja-JP"/>
        </w:rPr>
        <w:t xml:space="preserve">and </w:t>
      </w:r>
      <w:r w:rsidR="00B032E6">
        <w:rPr>
          <w:rFonts w:eastAsia="MS Mincho" w:cs="Arial"/>
          <w:sz w:val="18"/>
          <w:szCs w:val="18"/>
          <w:lang w:val="en-AU" w:eastAsia="ja-JP"/>
        </w:rPr>
        <w:t>James Cook University</w:t>
      </w:r>
      <w:r w:rsidR="00704844" w:rsidRPr="002D3ACB">
        <w:rPr>
          <w:rFonts w:eastAsia="MS Mincho" w:cs="Arial"/>
          <w:sz w:val="18"/>
          <w:szCs w:val="18"/>
          <w:lang w:val="en-AU" w:eastAsia="ja-JP"/>
        </w:rPr>
        <w:t xml:space="preserve"> </w:t>
      </w:r>
      <w:r w:rsidRPr="002D3ACB">
        <w:rPr>
          <w:rFonts w:eastAsia="MS Mincho" w:cs="Arial"/>
          <w:sz w:val="18"/>
          <w:szCs w:val="18"/>
          <w:lang w:val="en-AU" w:eastAsia="ja-JP"/>
        </w:rPr>
        <w:t xml:space="preserve">do not make any representation or give any warranty regarding the accuracy, completeness, currency or suitability for any particular purpose of the information or statements contained in this document. To the extent permitted by law </w:t>
      </w:r>
      <w:r w:rsidR="00704844" w:rsidRPr="002D3ACB">
        <w:rPr>
          <w:rFonts w:eastAsia="MS Mincho" w:cs="Arial"/>
          <w:sz w:val="18"/>
          <w:szCs w:val="18"/>
          <w:lang w:val="en-AU" w:eastAsia="ja-JP"/>
        </w:rPr>
        <w:t>UQ</w:t>
      </w:r>
      <w:r w:rsidRPr="002D3ACB">
        <w:rPr>
          <w:rFonts w:eastAsia="MS Mincho" w:cs="Arial"/>
          <w:sz w:val="18"/>
          <w:szCs w:val="18"/>
          <w:lang w:val="en-AU" w:eastAsia="ja-JP"/>
        </w:rPr>
        <w:t xml:space="preserve"> </w:t>
      </w:r>
      <w:r w:rsidR="00704844" w:rsidRPr="002D3ACB">
        <w:rPr>
          <w:rFonts w:eastAsia="MS Mincho" w:cs="Arial"/>
          <w:sz w:val="18"/>
          <w:szCs w:val="18"/>
          <w:lang w:val="en-AU" w:eastAsia="ja-JP"/>
        </w:rPr>
        <w:t xml:space="preserve">and JCU </w:t>
      </w:r>
      <w:r w:rsidRPr="002D3ACB">
        <w:rPr>
          <w:rFonts w:eastAsia="MS Mincho" w:cs="Arial"/>
          <w:sz w:val="18"/>
          <w:szCs w:val="18"/>
          <w:lang w:val="en-AU" w:eastAsia="ja-JP"/>
        </w:rPr>
        <w:t>shall not be liable for any loss, damage, cost or expense that may be occasioned directly or indirectly through the use of or reliance on the contents of this document.</w:t>
      </w:r>
    </w:p>
    <w:p w14:paraId="0F25AA49" w14:textId="77777777" w:rsidR="00250475" w:rsidRPr="002D3ACB" w:rsidRDefault="00250475" w:rsidP="002439C8">
      <w:pPr>
        <w:spacing w:before="240" w:line="276" w:lineRule="auto"/>
        <w:jc w:val="left"/>
        <w:rPr>
          <w:rFonts w:cs="Arial"/>
          <w:sz w:val="18"/>
          <w:szCs w:val="18"/>
        </w:rPr>
      </w:pPr>
      <w:r w:rsidRPr="002D3ACB">
        <w:rPr>
          <w:rFonts w:cs="Arial"/>
          <w:sz w:val="18"/>
          <w:szCs w:val="18"/>
        </w:rPr>
        <w:t>Co</w:t>
      </w:r>
      <w:r w:rsidR="00704844" w:rsidRPr="002D3ACB">
        <w:rPr>
          <w:rFonts w:cs="Arial"/>
          <w:sz w:val="18"/>
          <w:szCs w:val="18"/>
        </w:rPr>
        <w:t>m</w:t>
      </w:r>
      <w:r w:rsidRPr="002D3ACB">
        <w:rPr>
          <w:rFonts w:cs="Arial"/>
          <w:sz w:val="18"/>
          <w:szCs w:val="18"/>
        </w:rPr>
        <w:t>ments and questions regarding this document are welcome and should be addressed to:</w:t>
      </w:r>
    </w:p>
    <w:p w14:paraId="33025D01" w14:textId="77777777" w:rsidR="00704844" w:rsidRPr="00F039E6" w:rsidRDefault="00704844" w:rsidP="002439C8">
      <w:pPr>
        <w:spacing w:before="240" w:line="276" w:lineRule="auto"/>
        <w:jc w:val="left"/>
        <w:rPr>
          <w:rFonts w:cs="Arial"/>
          <w:sz w:val="18"/>
          <w:szCs w:val="18"/>
          <w:lang w:val="en-AU"/>
        </w:rPr>
      </w:pPr>
      <w:r w:rsidRPr="00F039E6">
        <w:rPr>
          <w:rFonts w:cs="Arial"/>
          <w:sz w:val="18"/>
          <w:szCs w:val="18"/>
          <w:vertAlign w:val="superscript"/>
          <w:lang w:val="en-AU"/>
        </w:rPr>
        <w:t>1</w:t>
      </w:r>
      <w:r w:rsidRPr="00F039E6">
        <w:rPr>
          <w:rFonts w:cs="Arial"/>
          <w:sz w:val="18"/>
          <w:szCs w:val="18"/>
          <w:lang w:val="en-AU"/>
        </w:rPr>
        <w:t>Queensland Alliance for Environmental Health Sciences (QAEHS)</w:t>
      </w:r>
    </w:p>
    <w:p w14:paraId="7CB6C8D3" w14:textId="77777777" w:rsidR="00704844" w:rsidRPr="00F039E6" w:rsidRDefault="00704844" w:rsidP="002439C8">
      <w:pPr>
        <w:spacing w:line="276" w:lineRule="auto"/>
        <w:jc w:val="left"/>
        <w:rPr>
          <w:rFonts w:cs="Arial"/>
          <w:sz w:val="18"/>
          <w:szCs w:val="18"/>
          <w:lang w:val="en-AU"/>
        </w:rPr>
      </w:pPr>
      <w:r w:rsidRPr="00F039E6">
        <w:rPr>
          <w:rFonts w:cs="Arial"/>
          <w:sz w:val="18"/>
          <w:szCs w:val="18"/>
          <w:lang w:val="en-AU"/>
        </w:rPr>
        <w:t>Incorporating the former National Research Centre for Environmental Toxicology (Entox)</w:t>
      </w:r>
    </w:p>
    <w:p w14:paraId="48511879" w14:textId="47E80DAB" w:rsidR="00704844" w:rsidRPr="00F039E6" w:rsidRDefault="00704844" w:rsidP="002439C8">
      <w:pPr>
        <w:pStyle w:val="BodyText3"/>
        <w:spacing w:after="0" w:line="276" w:lineRule="auto"/>
        <w:jc w:val="left"/>
        <w:rPr>
          <w:rFonts w:cs="Arial"/>
          <w:sz w:val="18"/>
          <w:szCs w:val="18"/>
          <w:lang w:val="en-AU"/>
        </w:rPr>
      </w:pPr>
      <w:r w:rsidRPr="00F039E6">
        <w:rPr>
          <w:rFonts w:cs="Arial"/>
          <w:sz w:val="18"/>
          <w:szCs w:val="18"/>
          <w:lang w:val="en-AU"/>
        </w:rPr>
        <w:t>The University of Queensland</w:t>
      </w:r>
      <w:r w:rsidR="009E5D22">
        <w:rPr>
          <w:rFonts w:cs="Arial"/>
          <w:sz w:val="18"/>
          <w:szCs w:val="18"/>
          <w:lang w:val="en-AU"/>
        </w:rPr>
        <w:t xml:space="preserve">, </w:t>
      </w:r>
      <w:r w:rsidR="006B6099">
        <w:rPr>
          <w:rFonts w:cs="Arial"/>
          <w:sz w:val="18"/>
          <w:szCs w:val="18"/>
          <w:lang w:val="en-AU"/>
        </w:rPr>
        <w:t>20 Cornwall St</w:t>
      </w:r>
      <w:r w:rsidR="009E5D22">
        <w:rPr>
          <w:rFonts w:cs="Arial"/>
          <w:sz w:val="18"/>
          <w:szCs w:val="18"/>
          <w:lang w:val="en-AU"/>
        </w:rPr>
        <w:t xml:space="preserve">, </w:t>
      </w:r>
      <w:r w:rsidR="006B6099">
        <w:rPr>
          <w:rFonts w:cs="Arial"/>
          <w:sz w:val="18"/>
          <w:szCs w:val="18"/>
          <w:lang w:val="en-AU"/>
        </w:rPr>
        <w:t>Woolloongabba</w:t>
      </w:r>
      <w:r w:rsidRPr="00F039E6">
        <w:rPr>
          <w:rFonts w:cs="Arial"/>
          <w:sz w:val="18"/>
          <w:szCs w:val="18"/>
          <w:lang w:val="en-AU"/>
        </w:rPr>
        <w:t xml:space="preserve"> Qld 410</w:t>
      </w:r>
      <w:r w:rsidR="006B6099">
        <w:rPr>
          <w:rFonts w:cs="Arial"/>
          <w:sz w:val="18"/>
          <w:szCs w:val="18"/>
          <w:lang w:val="en-AU"/>
        </w:rPr>
        <w:t>2</w:t>
      </w:r>
    </w:p>
    <w:p w14:paraId="6A24B332" w14:textId="77777777" w:rsidR="00704844" w:rsidRPr="00F039E6" w:rsidRDefault="00704844" w:rsidP="002439C8">
      <w:pPr>
        <w:spacing w:line="276" w:lineRule="auto"/>
        <w:jc w:val="left"/>
        <w:rPr>
          <w:rFonts w:cs="Arial"/>
          <w:sz w:val="18"/>
          <w:szCs w:val="18"/>
          <w:lang w:val="en-AU"/>
        </w:rPr>
      </w:pPr>
    </w:p>
    <w:p w14:paraId="1CFB6BD1" w14:textId="77777777" w:rsidR="00704844" w:rsidRPr="00F039E6" w:rsidRDefault="00704844" w:rsidP="002439C8">
      <w:pPr>
        <w:spacing w:line="276" w:lineRule="auto"/>
        <w:jc w:val="left"/>
        <w:rPr>
          <w:rFonts w:cs="Arial"/>
          <w:sz w:val="18"/>
          <w:szCs w:val="18"/>
        </w:rPr>
      </w:pPr>
      <w:r w:rsidRPr="00F039E6">
        <w:rPr>
          <w:rFonts w:cs="Arial"/>
          <w:sz w:val="18"/>
          <w:szCs w:val="18"/>
          <w:vertAlign w:val="superscript"/>
          <w:lang w:val="en-AU"/>
        </w:rPr>
        <w:t>2</w:t>
      </w:r>
      <w:r w:rsidRPr="00F039E6">
        <w:rPr>
          <w:rFonts w:cs="Arial"/>
          <w:sz w:val="18"/>
          <w:szCs w:val="18"/>
        </w:rPr>
        <w:t xml:space="preserve"> The Centre for Tropical Water &amp; Aquatic Ecosystem Research</w:t>
      </w:r>
      <w:r w:rsidRPr="00F039E6" w:rsidDel="003A6B4D">
        <w:rPr>
          <w:rFonts w:cs="Arial"/>
          <w:sz w:val="18"/>
          <w:szCs w:val="18"/>
        </w:rPr>
        <w:t xml:space="preserve"> </w:t>
      </w:r>
      <w:r w:rsidRPr="00F039E6">
        <w:rPr>
          <w:rFonts w:cs="Arial"/>
          <w:sz w:val="18"/>
          <w:szCs w:val="18"/>
        </w:rPr>
        <w:t xml:space="preserve">(TropWATER), </w:t>
      </w:r>
    </w:p>
    <w:p w14:paraId="571B714B" w14:textId="453C3440" w:rsidR="00704844" w:rsidRPr="00F039E6" w:rsidRDefault="00704844" w:rsidP="002439C8">
      <w:pPr>
        <w:spacing w:line="276" w:lineRule="auto"/>
        <w:jc w:val="left"/>
        <w:rPr>
          <w:rFonts w:cs="Arial"/>
          <w:color w:val="000000"/>
          <w:sz w:val="18"/>
          <w:szCs w:val="18"/>
          <w:lang w:val="en-AU" w:eastAsia="en-GB"/>
        </w:rPr>
      </w:pPr>
      <w:r w:rsidRPr="00F039E6">
        <w:rPr>
          <w:rFonts w:cs="Arial"/>
          <w:sz w:val="18"/>
          <w:szCs w:val="18"/>
        </w:rPr>
        <w:t>Catchment to Reef Processes Research Group, James Cook University</w:t>
      </w:r>
      <w:r w:rsidR="009E5D22">
        <w:rPr>
          <w:rFonts w:cs="Arial"/>
          <w:sz w:val="18"/>
          <w:szCs w:val="18"/>
        </w:rPr>
        <w:t xml:space="preserve">, </w:t>
      </w:r>
      <w:r w:rsidRPr="00F039E6">
        <w:rPr>
          <w:rFonts w:cs="Arial"/>
          <w:color w:val="000000"/>
          <w:sz w:val="18"/>
          <w:szCs w:val="18"/>
          <w:lang w:val="en-AU" w:eastAsia="en-GB"/>
        </w:rPr>
        <w:t>Townsville, Qld 4811</w:t>
      </w:r>
    </w:p>
    <w:p w14:paraId="52D6219D" w14:textId="4D3421FD" w:rsidR="00250475" w:rsidRPr="002D3ACB" w:rsidRDefault="00250475" w:rsidP="002439C8">
      <w:pPr>
        <w:spacing w:before="240" w:after="100" w:afterAutospacing="1" w:line="276" w:lineRule="auto"/>
        <w:jc w:val="left"/>
        <w:rPr>
          <w:rFonts w:cs="Arial"/>
          <w:i/>
          <w:iCs/>
          <w:sz w:val="18"/>
          <w:szCs w:val="18"/>
        </w:rPr>
      </w:pPr>
      <w:r w:rsidRPr="002D3ACB">
        <w:rPr>
          <w:rFonts w:cs="Arial"/>
          <w:i/>
          <w:iCs/>
          <w:sz w:val="18"/>
          <w:szCs w:val="18"/>
        </w:rPr>
        <w:t xml:space="preserve">This project is supported by the Great Barrier Reef Marine Park Authority through funding from the Australian Government Reef Program, the </w:t>
      </w:r>
      <w:r w:rsidR="009E5D22">
        <w:rPr>
          <w:rFonts w:cs="Arial"/>
          <w:i/>
          <w:iCs/>
          <w:sz w:val="18"/>
          <w:szCs w:val="18"/>
        </w:rPr>
        <w:t xml:space="preserve">Australian and Queensland governments </w:t>
      </w:r>
      <w:r w:rsidR="00201795">
        <w:rPr>
          <w:rFonts w:cs="Arial"/>
          <w:i/>
          <w:iCs/>
          <w:sz w:val="18"/>
          <w:szCs w:val="18"/>
        </w:rPr>
        <w:t>Reef 2050 Integrated Monitoring</w:t>
      </w:r>
      <w:r w:rsidRPr="002D3ACB">
        <w:rPr>
          <w:rFonts w:cs="Arial"/>
          <w:i/>
          <w:iCs/>
          <w:sz w:val="18"/>
          <w:szCs w:val="18"/>
        </w:rPr>
        <w:t xml:space="preserve"> and Reporting Program, </w:t>
      </w:r>
      <w:r w:rsidR="009E5D22">
        <w:rPr>
          <w:rFonts w:cs="Arial"/>
          <w:i/>
          <w:iCs/>
          <w:sz w:val="18"/>
          <w:szCs w:val="18"/>
        </w:rPr>
        <w:t xml:space="preserve">the </w:t>
      </w:r>
      <w:r w:rsidR="009E5D22" w:rsidRPr="002D3ACB">
        <w:rPr>
          <w:rFonts w:cs="Arial"/>
          <w:i/>
          <w:iCs/>
          <w:sz w:val="18"/>
          <w:szCs w:val="18"/>
        </w:rPr>
        <w:t>U</w:t>
      </w:r>
      <w:r w:rsidR="009E5D22">
        <w:rPr>
          <w:rFonts w:cs="Arial"/>
          <w:i/>
          <w:iCs/>
          <w:sz w:val="18"/>
          <w:szCs w:val="18"/>
        </w:rPr>
        <w:t xml:space="preserve">niversity of </w:t>
      </w:r>
      <w:r w:rsidR="00704844" w:rsidRPr="002D3ACB">
        <w:rPr>
          <w:rFonts w:cs="Arial"/>
          <w:i/>
          <w:iCs/>
          <w:sz w:val="18"/>
          <w:szCs w:val="18"/>
        </w:rPr>
        <w:t>Q</w:t>
      </w:r>
      <w:r w:rsidR="009E5D22">
        <w:rPr>
          <w:rFonts w:cs="Arial"/>
          <w:i/>
          <w:iCs/>
          <w:sz w:val="18"/>
          <w:szCs w:val="18"/>
        </w:rPr>
        <w:t>ueensland and James Cook University</w:t>
      </w:r>
      <w:r w:rsidR="00704844" w:rsidRPr="002D3ACB">
        <w:rPr>
          <w:rFonts w:cs="Arial"/>
          <w:i/>
          <w:iCs/>
          <w:sz w:val="18"/>
          <w:szCs w:val="18"/>
        </w:rPr>
        <w:t>.</w:t>
      </w:r>
    </w:p>
    <w:p w14:paraId="7BD455EE" w14:textId="77777777" w:rsidR="00465B04" w:rsidRPr="009E5D22" w:rsidRDefault="00D40EBE" w:rsidP="002439C8">
      <w:pPr>
        <w:spacing w:before="120" w:line="276" w:lineRule="auto"/>
        <w:jc w:val="left"/>
        <w:rPr>
          <w:rFonts w:eastAsia="Dotum" w:cs="Arial"/>
          <w:color w:val="262626" w:themeColor="text1" w:themeTint="D9"/>
          <w:sz w:val="18"/>
          <w:szCs w:val="18"/>
          <w:vertAlign w:val="superscript"/>
          <w:lang w:val="en-AU"/>
        </w:rPr>
      </w:pPr>
      <w:r w:rsidRPr="009E5D22">
        <w:rPr>
          <w:rFonts w:eastAsia="Dotum" w:cs="Arial"/>
          <w:sz w:val="18"/>
          <w:szCs w:val="18"/>
          <w:lang w:val="en-AU"/>
        </w:rPr>
        <w:lastRenderedPageBreak/>
        <w:t>Project Team</w:t>
      </w:r>
      <w:r w:rsidRPr="009E5D22">
        <w:rPr>
          <w:rFonts w:eastAsia="Dotum" w:cs="Arial"/>
          <w:color w:val="262626" w:themeColor="text1" w:themeTint="D9"/>
          <w:sz w:val="18"/>
          <w:szCs w:val="18"/>
          <w:lang w:val="en-AU"/>
        </w:rPr>
        <w:t xml:space="preserve"> - </w:t>
      </w:r>
      <w:r w:rsidR="0059608E" w:rsidRPr="009E5D22">
        <w:rPr>
          <w:rFonts w:eastAsia="Dotum" w:cs="Arial"/>
          <w:color w:val="262626" w:themeColor="text1" w:themeTint="D9"/>
          <w:sz w:val="18"/>
          <w:szCs w:val="18"/>
          <w:lang w:val="en-AU"/>
        </w:rPr>
        <w:t>Inshore Marine Water Quality Monitoring</w:t>
      </w:r>
      <w:r w:rsidR="007A17C3" w:rsidRPr="009E5D22">
        <w:rPr>
          <w:rFonts w:eastAsia="Dotum" w:cs="Arial"/>
          <w:color w:val="262626" w:themeColor="text1" w:themeTint="D9"/>
          <w:sz w:val="18"/>
          <w:szCs w:val="18"/>
          <w:lang w:val="en-AU"/>
        </w:rPr>
        <w:t xml:space="preserve"> </w:t>
      </w:r>
      <w:r w:rsidR="00314346" w:rsidRPr="009E5D22">
        <w:rPr>
          <w:rFonts w:eastAsia="Dotum" w:cs="Arial"/>
          <w:color w:val="262626" w:themeColor="text1" w:themeTint="D9"/>
          <w:sz w:val="18"/>
          <w:szCs w:val="18"/>
          <w:lang w:val="en-AU"/>
        </w:rPr>
        <w:t>–</w:t>
      </w:r>
      <w:r w:rsidR="007A17C3" w:rsidRPr="009E5D22">
        <w:rPr>
          <w:rFonts w:eastAsia="Dotum" w:cs="Arial"/>
          <w:color w:val="262626" w:themeColor="text1" w:themeTint="D9"/>
          <w:sz w:val="18"/>
          <w:szCs w:val="18"/>
          <w:lang w:val="en-AU"/>
        </w:rPr>
        <w:t xml:space="preserve"> </w:t>
      </w:r>
      <w:r w:rsidR="005E2FB4" w:rsidRPr="009E5D22">
        <w:rPr>
          <w:rFonts w:eastAsia="Dotum" w:cs="Arial"/>
          <w:color w:val="262626" w:themeColor="text1" w:themeTint="D9"/>
          <w:sz w:val="18"/>
          <w:szCs w:val="18"/>
          <w:lang w:val="en-AU"/>
        </w:rPr>
        <w:t>Christie Gallen</w:t>
      </w:r>
      <w:r w:rsidR="00314346" w:rsidRPr="009E5D22">
        <w:rPr>
          <w:rFonts w:eastAsia="Dotum" w:cs="Arial"/>
          <w:color w:val="262626" w:themeColor="text1" w:themeTint="D9"/>
          <w:sz w:val="18"/>
          <w:szCs w:val="18"/>
          <w:vertAlign w:val="superscript"/>
          <w:lang w:val="en-AU"/>
        </w:rPr>
        <w:t>1</w:t>
      </w:r>
      <w:r w:rsidR="00314346" w:rsidRPr="009E5D22">
        <w:rPr>
          <w:rFonts w:eastAsia="Dotum" w:cs="Arial"/>
          <w:color w:val="262626" w:themeColor="text1" w:themeTint="D9"/>
          <w:sz w:val="18"/>
          <w:szCs w:val="18"/>
          <w:lang w:val="en-AU"/>
        </w:rPr>
        <w:t xml:space="preserve">, </w:t>
      </w:r>
      <w:r w:rsidR="00952C20" w:rsidRPr="009E5D22">
        <w:rPr>
          <w:rFonts w:eastAsia="Dotum" w:cs="Arial"/>
          <w:color w:val="262626" w:themeColor="text1" w:themeTint="D9"/>
          <w:sz w:val="18"/>
          <w:szCs w:val="18"/>
          <w:lang w:val="en-AU"/>
        </w:rPr>
        <w:t>Phong Thai</w:t>
      </w:r>
      <w:r w:rsidR="00952C20" w:rsidRPr="009E5D22">
        <w:rPr>
          <w:rFonts w:eastAsia="Dotum" w:cs="Arial"/>
          <w:color w:val="262626" w:themeColor="text1" w:themeTint="D9"/>
          <w:sz w:val="18"/>
          <w:szCs w:val="18"/>
          <w:vertAlign w:val="superscript"/>
          <w:lang w:val="en-AU"/>
        </w:rPr>
        <w:t>1</w:t>
      </w:r>
      <w:r w:rsidR="00952C20" w:rsidRPr="009E5D22">
        <w:rPr>
          <w:rFonts w:eastAsia="Dotum" w:cs="Arial"/>
          <w:color w:val="262626" w:themeColor="text1" w:themeTint="D9"/>
          <w:sz w:val="18"/>
          <w:szCs w:val="18"/>
          <w:lang w:val="en-AU"/>
        </w:rPr>
        <w:t xml:space="preserve">, </w:t>
      </w:r>
      <w:r w:rsidR="0059608E" w:rsidRPr="009E5D22">
        <w:rPr>
          <w:rFonts w:eastAsia="Dotum" w:cs="Arial"/>
          <w:color w:val="262626" w:themeColor="text1" w:themeTint="D9"/>
          <w:sz w:val="18"/>
          <w:szCs w:val="18"/>
          <w:lang w:val="en-AU"/>
        </w:rPr>
        <w:t>Chris Paxman</w:t>
      </w:r>
      <w:r w:rsidR="0059608E" w:rsidRPr="009E5D22">
        <w:rPr>
          <w:rFonts w:eastAsia="Dotum" w:cs="Arial"/>
          <w:color w:val="262626" w:themeColor="text1" w:themeTint="D9"/>
          <w:sz w:val="18"/>
          <w:szCs w:val="18"/>
          <w:vertAlign w:val="superscript"/>
          <w:lang w:val="en-AU"/>
        </w:rPr>
        <w:t>1</w:t>
      </w:r>
      <w:r w:rsidR="0059608E" w:rsidRPr="009E5D22">
        <w:rPr>
          <w:rFonts w:eastAsia="Dotum" w:cs="Arial"/>
          <w:color w:val="262626" w:themeColor="text1" w:themeTint="D9"/>
          <w:sz w:val="18"/>
          <w:szCs w:val="18"/>
          <w:lang w:val="en-AU"/>
        </w:rPr>
        <w:t xml:space="preserve">, </w:t>
      </w:r>
      <w:r w:rsidR="00952C20" w:rsidRPr="009E5D22">
        <w:rPr>
          <w:rFonts w:eastAsia="Dotum" w:cs="Arial"/>
          <w:color w:val="262626" w:themeColor="text1" w:themeTint="D9"/>
          <w:sz w:val="18"/>
          <w:szCs w:val="18"/>
          <w:lang w:val="en-AU"/>
        </w:rPr>
        <w:t>Pritesh Prasad</w:t>
      </w:r>
      <w:r w:rsidR="00952C20" w:rsidRPr="009E5D22">
        <w:rPr>
          <w:rFonts w:eastAsia="Dotum" w:cs="Arial"/>
          <w:color w:val="262626" w:themeColor="text1" w:themeTint="D9"/>
          <w:sz w:val="18"/>
          <w:szCs w:val="18"/>
          <w:vertAlign w:val="superscript"/>
          <w:lang w:val="en-AU"/>
        </w:rPr>
        <w:t>1</w:t>
      </w:r>
      <w:r w:rsidR="00952C20" w:rsidRPr="009E5D22">
        <w:rPr>
          <w:rFonts w:eastAsia="Dotum" w:cs="Arial"/>
          <w:color w:val="262626" w:themeColor="text1" w:themeTint="D9"/>
          <w:sz w:val="18"/>
          <w:szCs w:val="18"/>
          <w:lang w:val="en-AU"/>
        </w:rPr>
        <w:t xml:space="preserve">, </w:t>
      </w:r>
      <w:r w:rsidR="006B168C" w:rsidRPr="009E5D22">
        <w:rPr>
          <w:rFonts w:eastAsia="Dotum" w:cs="Arial"/>
          <w:color w:val="262626" w:themeColor="text1" w:themeTint="D9"/>
          <w:sz w:val="18"/>
          <w:szCs w:val="18"/>
          <w:lang w:val="en-AU"/>
        </w:rPr>
        <w:t>Gabriele Elisei</w:t>
      </w:r>
      <w:r w:rsidR="006B168C" w:rsidRPr="009E5D22">
        <w:rPr>
          <w:rFonts w:eastAsia="Dotum" w:cs="Arial"/>
          <w:color w:val="262626" w:themeColor="text1" w:themeTint="D9"/>
          <w:sz w:val="18"/>
          <w:szCs w:val="18"/>
          <w:vertAlign w:val="superscript"/>
          <w:lang w:val="en-AU"/>
        </w:rPr>
        <w:t>1</w:t>
      </w:r>
      <w:r w:rsidR="006B168C" w:rsidRPr="009E5D22">
        <w:rPr>
          <w:rFonts w:eastAsia="Dotum" w:cs="Arial"/>
          <w:color w:val="262626" w:themeColor="text1" w:themeTint="D9"/>
          <w:sz w:val="18"/>
          <w:szCs w:val="18"/>
          <w:lang w:val="en-AU"/>
        </w:rPr>
        <w:t xml:space="preserve">, </w:t>
      </w:r>
      <w:r w:rsidR="005E2FB4" w:rsidRPr="009E5D22">
        <w:rPr>
          <w:rFonts w:eastAsia="Dotum" w:cs="Arial"/>
          <w:color w:val="262626" w:themeColor="text1" w:themeTint="D9"/>
          <w:sz w:val="18"/>
          <w:szCs w:val="18"/>
          <w:lang w:val="en-AU"/>
        </w:rPr>
        <w:t>Tim Reeks</w:t>
      </w:r>
      <w:r w:rsidR="006B168C" w:rsidRPr="009E5D22">
        <w:rPr>
          <w:rFonts w:eastAsia="Dotum" w:cs="Arial"/>
          <w:color w:val="262626" w:themeColor="text1" w:themeTint="D9"/>
          <w:sz w:val="18"/>
          <w:szCs w:val="18"/>
          <w:vertAlign w:val="superscript"/>
          <w:lang w:val="en-AU"/>
        </w:rPr>
        <w:t>1</w:t>
      </w:r>
      <w:r w:rsidR="0059608E" w:rsidRPr="009E5D22">
        <w:rPr>
          <w:rFonts w:eastAsia="Dotum" w:cs="Arial"/>
          <w:color w:val="262626" w:themeColor="text1" w:themeTint="D9"/>
          <w:sz w:val="18"/>
          <w:szCs w:val="18"/>
          <w:lang w:val="en-AU"/>
        </w:rPr>
        <w:t xml:space="preserve">, </w:t>
      </w:r>
      <w:r w:rsidR="005E2FB4" w:rsidRPr="009E5D22">
        <w:rPr>
          <w:rFonts w:eastAsia="Dotum" w:cs="Arial"/>
          <w:color w:val="262626" w:themeColor="text1" w:themeTint="D9"/>
          <w:sz w:val="18"/>
          <w:szCs w:val="18"/>
          <w:lang w:val="en-AU"/>
        </w:rPr>
        <w:t>Geoff Eaglesham</w:t>
      </w:r>
      <w:r w:rsidR="00313970" w:rsidRPr="009E5D22">
        <w:rPr>
          <w:rFonts w:eastAsia="Dotum" w:cs="Arial"/>
          <w:color w:val="262626" w:themeColor="text1" w:themeTint="D9"/>
          <w:sz w:val="18"/>
          <w:szCs w:val="18"/>
          <w:lang w:val="en-AU"/>
        </w:rPr>
        <w:t>r</w:t>
      </w:r>
      <w:r w:rsidR="00313970" w:rsidRPr="009E5D22">
        <w:rPr>
          <w:rFonts w:eastAsia="Dotum" w:cs="Arial"/>
          <w:color w:val="262626" w:themeColor="text1" w:themeTint="D9"/>
          <w:sz w:val="18"/>
          <w:szCs w:val="18"/>
          <w:vertAlign w:val="superscript"/>
          <w:lang w:val="en-AU"/>
        </w:rPr>
        <w:t>1</w:t>
      </w:r>
      <w:r w:rsidR="00313970" w:rsidRPr="009E5D22">
        <w:rPr>
          <w:rFonts w:eastAsia="Dotum" w:cs="Arial"/>
          <w:color w:val="262626" w:themeColor="text1" w:themeTint="D9"/>
          <w:sz w:val="18"/>
          <w:szCs w:val="18"/>
          <w:lang w:val="en-AU"/>
        </w:rPr>
        <w:t xml:space="preserve">, </w:t>
      </w:r>
      <w:r w:rsidR="005E2FB4" w:rsidRPr="009E5D22">
        <w:rPr>
          <w:rFonts w:eastAsia="Dotum" w:cs="Arial"/>
          <w:color w:val="262626" w:themeColor="text1" w:themeTint="D9"/>
          <w:sz w:val="18"/>
          <w:szCs w:val="18"/>
          <w:lang w:val="en-AU"/>
        </w:rPr>
        <w:t>Ruby Yeh</w:t>
      </w:r>
      <w:r w:rsidR="005E2FB4" w:rsidRPr="009E5D22">
        <w:rPr>
          <w:rFonts w:eastAsia="Dotum" w:cs="Arial"/>
          <w:color w:val="262626" w:themeColor="text1" w:themeTint="D9"/>
          <w:sz w:val="18"/>
          <w:szCs w:val="18"/>
          <w:vertAlign w:val="superscript"/>
          <w:lang w:val="en-AU"/>
        </w:rPr>
        <w:t>1</w:t>
      </w:r>
      <w:r w:rsidR="005E2FB4" w:rsidRPr="009E5D22">
        <w:rPr>
          <w:rFonts w:eastAsia="Dotum" w:cs="Arial"/>
          <w:color w:val="262626" w:themeColor="text1" w:themeTint="D9"/>
          <w:sz w:val="18"/>
          <w:szCs w:val="18"/>
          <w:lang w:val="en-AU"/>
        </w:rPr>
        <w:t xml:space="preserve">, </w:t>
      </w:r>
      <w:r w:rsidR="0059608E" w:rsidRPr="009E5D22">
        <w:rPr>
          <w:rFonts w:eastAsia="Dotum" w:cs="Arial"/>
          <w:color w:val="262626" w:themeColor="text1" w:themeTint="D9"/>
          <w:sz w:val="18"/>
          <w:szCs w:val="18"/>
          <w:lang w:val="en-AU"/>
        </w:rPr>
        <w:t>Jochen Mueller</w:t>
      </w:r>
      <w:r w:rsidR="0059608E" w:rsidRPr="009E5D22">
        <w:rPr>
          <w:rFonts w:eastAsia="Dotum" w:cs="Arial"/>
          <w:color w:val="262626" w:themeColor="text1" w:themeTint="D9"/>
          <w:sz w:val="18"/>
          <w:szCs w:val="18"/>
          <w:vertAlign w:val="superscript"/>
          <w:lang w:val="en-AU"/>
        </w:rPr>
        <w:t>1</w:t>
      </w:r>
      <w:r w:rsidR="00465B04" w:rsidRPr="009E5D22">
        <w:rPr>
          <w:rFonts w:eastAsia="Dotum" w:cs="Arial"/>
          <w:color w:val="262626" w:themeColor="text1" w:themeTint="D9"/>
          <w:sz w:val="18"/>
          <w:szCs w:val="18"/>
          <w:vertAlign w:val="superscript"/>
          <w:lang w:val="en-AU"/>
        </w:rPr>
        <w:t xml:space="preserve"> </w:t>
      </w:r>
    </w:p>
    <w:p w14:paraId="1BF179C2" w14:textId="77777777" w:rsidR="0059608E" w:rsidRPr="009E5D22" w:rsidRDefault="00D40EBE" w:rsidP="002439C8">
      <w:pPr>
        <w:spacing w:before="120" w:line="276" w:lineRule="auto"/>
        <w:jc w:val="left"/>
        <w:rPr>
          <w:rFonts w:eastAsia="Dotum" w:cs="Arial"/>
          <w:color w:val="262626" w:themeColor="text1" w:themeTint="D9"/>
          <w:sz w:val="18"/>
          <w:szCs w:val="18"/>
          <w:lang w:val="en-AU"/>
        </w:rPr>
      </w:pPr>
      <w:r w:rsidRPr="009E5D22">
        <w:rPr>
          <w:rFonts w:eastAsia="Dotum" w:cs="Arial"/>
          <w:sz w:val="18"/>
          <w:szCs w:val="18"/>
          <w:lang w:val="en-AU"/>
        </w:rPr>
        <w:t>Project Team</w:t>
      </w:r>
      <w:r w:rsidRPr="009E5D22">
        <w:rPr>
          <w:rFonts w:eastAsia="Dotum" w:cs="Arial"/>
          <w:color w:val="262626" w:themeColor="text1" w:themeTint="D9"/>
          <w:sz w:val="18"/>
          <w:szCs w:val="18"/>
          <w:lang w:val="en-AU"/>
        </w:rPr>
        <w:t xml:space="preserve"> - </w:t>
      </w:r>
      <w:r w:rsidR="0059608E" w:rsidRPr="009E5D22">
        <w:rPr>
          <w:rFonts w:eastAsia="Dotum" w:cs="Arial"/>
          <w:color w:val="262626" w:themeColor="text1" w:themeTint="D9"/>
          <w:sz w:val="18"/>
          <w:szCs w:val="18"/>
          <w:lang w:val="en-AU"/>
        </w:rPr>
        <w:t>Assessment of Terrestrial Run-off Entering the Reef</w:t>
      </w:r>
      <w:r w:rsidR="007A17C3" w:rsidRPr="009E5D22">
        <w:rPr>
          <w:rFonts w:eastAsia="Dotum" w:cs="Arial"/>
          <w:color w:val="262626" w:themeColor="text1" w:themeTint="D9"/>
          <w:sz w:val="18"/>
          <w:szCs w:val="18"/>
          <w:lang w:val="en-AU"/>
        </w:rPr>
        <w:t xml:space="preserve">: </w:t>
      </w:r>
      <w:r w:rsidR="005E2FB4" w:rsidRPr="009E5D22">
        <w:rPr>
          <w:rFonts w:eastAsia="Dotum" w:cs="Arial"/>
          <w:color w:val="262626" w:themeColor="text1" w:themeTint="D9"/>
          <w:sz w:val="18"/>
          <w:szCs w:val="18"/>
          <w:lang w:val="en-AU"/>
        </w:rPr>
        <w:t>Christie Gallen</w:t>
      </w:r>
      <w:r w:rsidR="005E2FB4" w:rsidRPr="009E5D22">
        <w:rPr>
          <w:rFonts w:eastAsia="Dotum" w:cs="Arial"/>
          <w:color w:val="262626" w:themeColor="text1" w:themeTint="D9"/>
          <w:sz w:val="18"/>
          <w:szCs w:val="18"/>
          <w:vertAlign w:val="superscript"/>
          <w:lang w:val="en-AU"/>
        </w:rPr>
        <w:t>1</w:t>
      </w:r>
      <w:r w:rsidR="005E2FB4" w:rsidRPr="009E5D22">
        <w:rPr>
          <w:rFonts w:eastAsia="Dotum" w:cs="Arial"/>
          <w:color w:val="262626" w:themeColor="text1" w:themeTint="D9"/>
          <w:sz w:val="18"/>
          <w:szCs w:val="18"/>
          <w:lang w:val="en-AU"/>
        </w:rPr>
        <w:t xml:space="preserve">, </w:t>
      </w:r>
      <w:r w:rsidR="00952C20" w:rsidRPr="009E5D22">
        <w:rPr>
          <w:rFonts w:eastAsia="Dotum" w:cs="Arial"/>
          <w:color w:val="262626" w:themeColor="text1" w:themeTint="D9"/>
          <w:sz w:val="18"/>
          <w:szCs w:val="18"/>
          <w:lang w:val="en-AU"/>
        </w:rPr>
        <w:t>Phong Thai</w:t>
      </w:r>
      <w:r w:rsidR="00952C20" w:rsidRPr="009E5D22">
        <w:rPr>
          <w:rFonts w:eastAsia="Dotum" w:cs="Arial"/>
          <w:color w:val="262626" w:themeColor="text1" w:themeTint="D9"/>
          <w:sz w:val="18"/>
          <w:szCs w:val="18"/>
          <w:vertAlign w:val="superscript"/>
          <w:lang w:val="en-AU"/>
        </w:rPr>
        <w:t>1</w:t>
      </w:r>
      <w:r w:rsidR="00952C20" w:rsidRPr="009E5D22">
        <w:rPr>
          <w:rFonts w:eastAsia="Dotum" w:cs="Arial"/>
          <w:color w:val="262626" w:themeColor="text1" w:themeTint="D9"/>
          <w:sz w:val="18"/>
          <w:szCs w:val="18"/>
          <w:lang w:val="en-AU"/>
        </w:rPr>
        <w:t xml:space="preserve">, </w:t>
      </w:r>
      <w:r w:rsidR="005E2FB4" w:rsidRPr="009E5D22">
        <w:rPr>
          <w:rFonts w:eastAsia="Dotum" w:cs="Arial"/>
          <w:color w:val="262626" w:themeColor="text1" w:themeTint="D9"/>
          <w:sz w:val="18"/>
          <w:szCs w:val="18"/>
          <w:lang w:val="en-AU"/>
        </w:rPr>
        <w:t>Chris Paxman</w:t>
      </w:r>
      <w:r w:rsidR="005E2FB4" w:rsidRPr="009E5D22">
        <w:rPr>
          <w:rFonts w:eastAsia="Dotum" w:cs="Arial"/>
          <w:color w:val="262626" w:themeColor="text1" w:themeTint="D9"/>
          <w:sz w:val="18"/>
          <w:szCs w:val="18"/>
          <w:vertAlign w:val="superscript"/>
          <w:lang w:val="en-AU"/>
        </w:rPr>
        <w:t>1</w:t>
      </w:r>
      <w:r w:rsidR="005E2FB4" w:rsidRPr="009E5D22">
        <w:rPr>
          <w:rFonts w:eastAsia="Dotum" w:cs="Arial"/>
          <w:color w:val="262626" w:themeColor="text1" w:themeTint="D9"/>
          <w:sz w:val="18"/>
          <w:szCs w:val="18"/>
          <w:lang w:val="en-AU"/>
        </w:rPr>
        <w:t>, Gabriele Elisei</w:t>
      </w:r>
      <w:r w:rsidR="005E2FB4" w:rsidRPr="009E5D22">
        <w:rPr>
          <w:rFonts w:eastAsia="Dotum" w:cs="Arial"/>
          <w:color w:val="262626" w:themeColor="text1" w:themeTint="D9"/>
          <w:sz w:val="18"/>
          <w:szCs w:val="18"/>
          <w:vertAlign w:val="superscript"/>
          <w:lang w:val="en-AU"/>
        </w:rPr>
        <w:t>1</w:t>
      </w:r>
      <w:r w:rsidR="005E2FB4" w:rsidRPr="009E5D22">
        <w:rPr>
          <w:rFonts w:eastAsia="Dotum" w:cs="Arial"/>
          <w:color w:val="262626" w:themeColor="text1" w:themeTint="D9"/>
          <w:sz w:val="18"/>
          <w:szCs w:val="18"/>
          <w:lang w:val="en-AU"/>
        </w:rPr>
        <w:t>, Pritesh Prasad</w:t>
      </w:r>
      <w:r w:rsidR="005E2FB4" w:rsidRPr="009E5D22">
        <w:rPr>
          <w:rFonts w:eastAsia="Dotum" w:cs="Arial"/>
          <w:color w:val="262626" w:themeColor="text1" w:themeTint="D9"/>
          <w:sz w:val="18"/>
          <w:szCs w:val="18"/>
          <w:vertAlign w:val="superscript"/>
          <w:lang w:val="en-AU"/>
        </w:rPr>
        <w:t>1</w:t>
      </w:r>
      <w:r w:rsidR="005E2FB4" w:rsidRPr="009E5D22">
        <w:rPr>
          <w:rFonts w:eastAsia="Dotum" w:cs="Arial"/>
          <w:color w:val="262626" w:themeColor="text1" w:themeTint="D9"/>
          <w:sz w:val="18"/>
          <w:szCs w:val="18"/>
          <w:lang w:val="en-AU"/>
        </w:rPr>
        <w:t>, Tim Reeks</w:t>
      </w:r>
      <w:r w:rsidR="005E2FB4" w:rsidRPr="009E5D22">
        <w:rPr>
          <w:rFonts w:eastAsia="Dotum" w:cs="Arial"/>
          <w:color w:val="262626" w:themeColor="text1" w:themeTint="D9"/>
          <w:sz w:val="18"/>
          <w:szCs w:val="18"/>
          <w:vertAlign w:val="superscript"/>
          <w:lang w:val="en-AU"/>
        </w:rPr>
        <w:t>1</w:t>
      </w:r>
      <w:r w:rsidR="005E2FB4" w:rsidRPr="009E5D22">
        <w:rPr>
          <w:rFonts w:eastAsia="Dotum" w:cs="Arial"/>
          <w:color w:val="262626" w:themeColor="text1" w:themeTint="D9"/>
          <w:sz w:val="18"/>
          <w:szCs w:val="18"/>
          <w:lang w:val="en-AU"/>
        </w:rPr>
        <w:t>, Geoff Eagleshamr</w:t>
      </w:r>
      <w:r w:rsidR="005E2FB4" w:rsidRPr="009E5D22">
        <w:rPr>
          <w:rFonts w:eastAsia="Dotum" w:cs="Arial"/>
          <w:color w:val="262626" w:themeColor="text1" w:themeTint="D9"/>
          <w:sz w:val="18"/>
          <w:szCs w:val="18"/>
          <w:vertAlign w:val="superscript"/>
          <w:lang w:val="en-AU"/>
        </w:rPr>
        <w:t>1</w:t>
      </w:r>
      <w:r w:rsidR="005E2FB4" w:rsidRPr="009E5D22">
        <w:rPr>
          <w:rFonts w:eastAsia="Dotum" w:cs="Arial"/>
          <w:color w:val="262626" w:themeColor="text1" w:themeTint="D9"/>
          <w:sz w:val="18"/>
          <w:szCs w:val="18"/>
          <w:lang w:val="en-AU"/>
        </w:rPr>
        <w:t>, Ruby Yeh</w:t>
      </w:r>
      <w:r w:rsidR="005E2FB4" w:rsidRPr="009E5D22">
        <w:rPr>
          <w:rFonts w:eastAsia="Dotum" w:cs="Arial"/>
          <w:color w:val="262626" w:themeColor="text1" w:themeTint="D9"/>
          <w:sz w:val="18"/>
          <w:szCs w:val="18"/>
          <w:vertAlign w:val="superscript"/>
          <w:lang w:val="en-AU"/>
        </w:rPr>
        <w:t>1</w:t>
      </w:r>
      <w:r w:rsidR="005E2FB4" w:rsidRPr="009E5D22">
        <w:rPr>
          <w:rFonts w:eastAsia="Dotum" w:cs="Arial"/>
          <w:color w:val="262626" w:themeColor="text1" w:themeTint="D9"/>
          <w:sz w:val="18"/>
          <w:szCs w:val="18"/>
          <w:lang w:val="en-AU"/>
        </w:rPr>
        <w:t xml:space="preserve">, </w:t>
      </w:r>
      <w:r w:rsidR="0059608E" w:rsidRPr="009E5D22">
        <w:rPr>
          <w:rFonts w:eastAsia="Dotum" w:cs="Arial"/>
          <w:color w:val="262626" w:themeColor="text1" w:themeTint="D9"/>
          <w:sz w:val="18"/>
          <w:szCs w:val="18"/>
          <w:lang w:val="en-AU"/>
        </w:rPr>
        <w:t>Jochen Mueller</w:t>
      </w:r>
      <w:r w:rsidR="0059608E" w:rsidRPr="009E5D22">
        <w:rPr>
          <w:rFonts w:eastAsia="Dotum" w:cs="Arial"/>
          <w:color w:val="262626" w:themeColor="text1" w:themeTint="D9"/>
          <w:sz w:val="18"/>
          <w:szCs w:val="18"/>
          <w:vertAlign w:val="superscript"/>
          <w:lang w:val="en-AU"/>
        </w:rPr>
        <w:t>1</w:t>
      </w:r>
      <w:r w:rsidR="0059608E" w:rsidRPr="009E5D22">
        <w:rPr>
          <w:rFonts w:eastAsia="Dotum" w:cs="Arial"/>
          <w:color w:val="262626" w:themeColor="text1" w:themeTint="D9"/>
          <w:sz w:val="18"/>
          <w:szCs w:val="18"/>
          <w:lang w:val="en-AU"/>
        </w:rPr>
        <w:t xml:space="preserve">, </w:t>
      </w:r>
      <w:r w:rsidR="00314346" w:rsidRPr="009E5D22">
        <w:rPr>
          <w:rFonts w:eastAsia="Dotum" w:cs="Arial"/>
          <w:color w:val="262626" w:themeColor="text1" w:themeTint="D9"/>
          <w:sz w:val="18"/>
          <w:szCs w:val="18"/>
          <w:lang w:val="en-AU"/>
        </w:rPr>
        <w:t>Jane Waterhouse</w:t>
      </w:r>
      <w:r w:rsidR="00314346" w:rsidRPr="009E5D22">
        <w:rPr>
          <w:rFonts w:eastAsia="Dotum" w:cs="Arial"/>
          <w:color w:val="262626" w:themeColor="text1" w:themeTint="D9"/>
          <w:sz w:val="18"/>
          <w:szCs w:val="18"/>
          <w:vertAlign w:val="superscript"/>
          <w:lang w:val="en-AU"/>
        </w:rPr>
        <w:t>2</w:t>
      </w:r>
      <w:r w:rsidR="0059608E" w:rsidRPr="009E5D22">
        <w:rPr>
          <w:rFonts w:cs="Arial"/>
          <w:color w:val="262626"/>
          <w:sz w:val="18"/>
          <w:szCs w:val="18"/>
        </w:rPr>
        <w:t xml:space="preserve">, </w:t>
      </w:r>
      <w:r w:rsidR="00314346" w:rsidRPr="009E5D22">
        <w:rPr>
          <w:rFonts w:cs="Arial"/>
          <w:color w:val="262626"/>
          <w:sz w:val="18"/>
          <w:szCs w:val="18"/>
        </w:rPr>
        <w:t>Stephen Lewis</w:t>
      </w:r>
      <w:r w:rsidR="00314346" w:rsidRPr="009E5D22">
        <w:rPr>
          <w:rFonts w:cs="Arial"/>
          <w:color w:val="262626"/>
          <w:sz w:val="18"/>
          <w:szCs w:val="18"/>
          <w:vertAlign w:val="superscript"/>
        </w:rPr>
        <w:t>2</w:t>
      </w:r>
      <w:r w:rsidR="00314346" w:rsidRPr="009E5D22">
        <w:rPr>
          <w:rFonts w:cs="Arial"/>
          <w:color w:val="262626"/>
          <w:sz w:val="18"/>
          <w:szCs w:val="18"/>
        </w:rPr>
        <w:t xml:space="preserve">, </w:t>
      </w:r>
      <w:r w:rsidR="00030BBA" w:rsidRPr="009E5D22">
        <w:rPr>
          <w:rFonts w:cs="Arial"/>
          <w:color w:val="262626"/>
          <w:sz w:val="18"/>
          <w:szCs w:val="18"/>
        </w:rPr>
        <w:t>Dieter Tracey</w:t>
      </w:r>
      <w:r w:rsidR="00030BBA" w:rsidRPr="009E5D22">
        <w:rPr>
          <w:rFonts w:cs="Arial"/>
          <w:color w:val="262626"/>
          <w:sz w:val="18"/>
          <w:szCs w:val="18"/>
          <w:vertAlign w:val="superscript"/>
        </w:rPr>
        <w:t>2</w:t>
      </w:r>
      <w:r w:rsidR="00030BBA" w:rsidRPr="009E5D22">
        <w:rPr>
          <w:rFonts w:eastAsia="Dotum" w:cs="Arial"/>
          <w:color w:val="262626" w:themeColor="text1" w:themeTint="D9"/>
          <w:sz w:val="18"/>
          <w:szCs w:val="18"/>
          <w:lang w:val="en-AU"/>
        </w:rPr>
        <w:t xml:space="preserve">, </w:t>
      </w:r>
      <w:r w:rsidR="0059608E" w:rsidRPr="009E5D22">
        <w:rPr>
          <w:rFonts w:eastAsia="Dotum" w:cs="Arial"/>
          <w:color w:val="262626" w:themeColor="text1" w:themeTint="D9"/>
          <w:sz w:val="18"/>
          <w:szCs w:val="18"/>
          <w:lang w:val="en-AU"/>
        </w:rPr>
        <w:t>Caroline Petus</w:t>
      </w:r>
      <w:r w:rsidR="0059608E" w:rsidRPr="009E5D22">
        <w:rPr>
          <w:rFonts w:eastAsia="Dotum" w:cs="Arial"/>
          <w:color w:val="262626" w:themeColor="text1" w:themeTint="D9"/>
          <w:sz w:val="18"/>
          <w:szCs w:val="18"/>
          <w:vertAlign w:val="superscript"/>
          <w:lang w:val="en-AU"/>
        </w:rPr>
        <w:t>2</w:t>
      </w:r>
    </w:p>
    <w:p w14:paraId="19D8C957" w14:textId="77777777" w:rsidR="0059608E" w:rsidRPr="007A17C3" w:rsidRDefault="0059608E" w:rsidP="002439C8">
      <w:pPr>
        <w:spacing w:line="276" w:lineRule="auto"/>
        <w:jc w:val="left"/>
        <w:rPr>
          <w:rFonts w:ascii="Arial Narrow" w:eastAsia="Dotum" w:hAnsi="Arial Narrow" w:cs="Arial"/>
          <w:lang w:val="en-AU"/>
        </w:rPr>
      </w:pPr>
    </w:p>
    <w:sdt>
      <w:sdtPr>
        <w:rPr>
          <w:rFonts w:eastAsiaTheme="minorEastAsia" w:cstheme="minorBidi"/>
          <w:b w:val="0"/>
          <w:bCs/>
          <w:caps/>
          <w:color w:val="auto"/>
          <w:sz w:val="22"/>
          <w:szCs w:val="22"/>
          <w:u w:val="single"/>
          <w:lang w:val="en-US" w:bidi="en-US"/>
        </w:rPr>
        <w:id w:val="-2104402256"/>
        <w:docPartObj>
          <w:docPartGallery w:val="Table of Contents"/>
          <w:docPartUnique/>
        </w:docPartObj>
      </w:sdtPr>
      <w:sdtEndPr>
        <w:rPr>
          <w:rFonts w:cs="Arial"/>
          <w:b/>
          <w:caps w:val="0"/>
          <w:noProof/>
          <w:szCs w:val="20"/>
        </w:rPr>
      </w:sdtEndPr>
      <w:sdtContent>
        <w:p w14:paraId="2CB0DB7C" w14:textId="77777777" w:rsidR="00C34E72" w:rsidRPr="00EB2F5C" w:rsidRDefault="00C34E72" w:rsidP="002439C8">
          <w:pPr>
            <w:pStyle w:val="Headers"/>
            <w:jc w:val="left"/>
            <w:rPr>
              <w:color w:val="auto"/>
            </w:rPr>
          </w:pPr>
          <w:r w:rsidRPr="00EB2F5C">
            <w:rPr>
              <w:color w:val="auto"/>
            </w:rPr>
            <w:t>Contents</w:t>
          </w:r>
        </w:p>
        <w:p w14:paraId="45534C86" w14:textId="77777777" w:rsidR="002B1876" w:rsidRDefault="002B1876">
          <w:pPr>
            <w:pStyle w:val="TOC1"/>
            <w:tabs>
              <w:tab w:val="right" w:leader="dot" w:pos="9016"/>
            </w:tabs>
            <w:rPr>
              <w:rFonts w:asciiTheme="minorHAnsi" w:hAnsiTheme="minorHAnsi"/>
              <w:b w:val="0"/>
              <w:bCs w:val="0"/>
              <w:noProof/>
              <w:szCs w:val="22"/>
              <w:lang w:val="en-AU" w:eastAsia="en-AU" w:bidi="ar-SA"/>
            </w:rPr>
          </w:pPr>
          <w:r>
            <w:rPr>
              <w:rFonts w:cs="Arial"/>
              <w:b w:val="0"/>
            </w:rPr>
            <w:fldChar w:fldCharType="begin"/>
          </w:r>
          <w:r>
            <w:rPr>
              <w:rFonts w:cs="Arial"/>
              <w:b w:val="0"/>
            </w:rPr>
            <w:instrText xml:space="preserve"> TOC \o "1-3" \h \z \u </w:instrText>
          </w:r>
          <w:r>
            <w:rPr>
              <w:rFonts w:cs="Arial"/>
              <w:b w:val="0"/>
            </w:rPr>
            <w:fldChar w:fldCharType="separate"/>
          </w:r>
          <w:hyperlink w:anchor="_Toc14435670" w:history="1">
            <w:r w:rsidRPr="00E579DA">
              <w:rPr>
                <w:rStyle w:val="Hyperlink"/>
                <w:rFonts w:ascii="Century Gothic" w:eastAsia="SimSun" w:hAnsi="Century Gothic"/>
                <w:noProof/>
                <w:kern w:val="28"/>
                <w:lang w:val="en-GB"/>
              </w:rPr>
              <w:t>Acknowledgements</w:t>
            </w:r>
            <w:r>
              <w:rPr>
                <w:noProof/>
                <w:webHidden/>
              </w:rPr>
              <w:tab/>
            </w:r>
            <w:r>
              <w:rPr>
                <w:noProof/>
                <w:webHidden/>
              </w:rPr>
              <w:fldChar w:fldCharType="begin"/>
            </w:r>
            <w:r>
              <w:rPr>
                <w:noProof/>
                <w:webHidden/>
              </w:rPr>
              <w:instrText xml:space="preserve"> PAGEREF _Toc14435670 \h </w:instrText>
            </w:r>
            <w:r>
              <w:rPr>
                <w:noProof/>
                <w:webHidden/>
              </w:rPr>
            </w:r>
            <w:r>
              <w:rPr>
                <w:noProof/>
                <w:webHidden/>
              </w:rPr>
              <w:fldChar w:fldCharType="separate"/>
            </w:r>
            <w:r w:rsidR="00A94823">
              <w:rPr>
                <w:noProof/>
                <w:webHidden/>
              </w:rPr>
              <w:t>viii</w:t>
            </w:r>
            <w:r>
              <w:rPr>
                <w:noProof/>
                <w:webHidden/>
              </w:rPr>
              <w:fldChar w:fldCharType="end"/>
            </w:r>
          </w:hyperlink>
        </w:p>
        <w:p w14:paraId="27AB7C22" w14:textId="77777777" w:rsidR="002B1876" w:rsidRDefault="00F41081">
          <w:pPr>
            <w:pStyle w:val="TOC1"/>
            <w:tabs>
              <w:tab w:val="right" w:leader="dot" w:pos="9016"/>
            </w:tabs>
            <w:rPr>
              <w:rFonts w:asciiTheme="minorHAnsi" w:hAnsiTheme="minorHAnsi"/>
              <w:b w:val="0"/>
              <w:bCs w:val="0"/>
              <w:noProof/>
              <w:szCs w:val="22"/>
              <w:lang w:val="en-AU" w:eastAsia="en-AU" w:bidi="ar-SA"/>
            </w:rPr>
          </w:pPr>
          <w:hyperlink w:anchor="_Toc14435671" w:history="1">
            <w:r w:rsidR="002B1876" w:rsidRPr="00E579DA">
              <w:rPr>
                <w:rStyle w:val="Hyperlink"/>
                <w:noProof/>
              </w:rPr>
              <w:t>Executive Summary</w:t>
            </w:r>
            <w:r w:rsidR="002B1876">
              <w:rPr>
                <w:noProof/>
                <w:webHidden/>
              </w:rPr>
              <w:tab/>
            </w:r>
            <w:r w:rsidR="002B1876">
              <w:rPr>
                <w:noProof/>
                <w:webHidden/>
              </w:rPr>
              <w:fldChar w:fldCharType="begin"/>
            </w:r>
            <w:r w:rsidR="002B1876">
              <w:rPr>
                <w:noProof/>
                <w:webHidden/>
              </w:rPr>
              <w:instrText xml:space="preserve"> PAGEREF _Toc14435671 \h </w:instrText>
            </w:r>
            <w:r w:rsidR="002B1876">
              <w:rPr>
                <w:noProof/>
                <w:webHidden/>
              </w:rPr>
            </w:r>
            <w:r w:rsidR="002B1876">
              <w:rPr>
                <w:noProof/>
                <w:webHidden/>
              </w:rPr>
              <w:fldChar w:fldCharType="separate"/>
            </w:r>
            <w:r w:rsidR="00A94823">
              <w:rPr>
                <w:noProof/>
                <w:webHidden/>
              </w:rPr>
              <w:t>9</w:t>
            </w:r>
            <w:r w:rsidR="002B1876">
              <w:rPr>
                <w:noProof/>
                <w:webHidden/>
              </w:rPr>
              <w:fldChar w:fldCharType="end"/>
            </w:r>
          </w:hyperlink>
        </w:p>
        <w:p w14:paraId="78C5FAD1" w14:textId="77777777" w:rsidR="002B1876" w:rsidRDefault="00F41081">
          <w:pPr>
            <w:pStyle w:val="TOC1"/>
            <w:tabs>
              <w:tab w:val="left" w:pos="440"/>
              <w:tab w:val="right" w:leader="dot" w:pos="9016"/>
            </w:tabs>
            <w:rPr>
              <w:rFonts w:asciiTheme="minorHAnsi" w:hAnsiTheme="minorHAnsi"/>
              <w:b w:val="0"/>
              <w:bCs w:val="0"/>
              <w:noProof/>
              <w:szCs w:val="22"/>
              <w:lang w:val="en-AU" w:eastAsia="en-AU" w:bidi="ar-SA"/>
            </w:rPr>
          </w:pPr>
          <w:hyperlink w:anchor="_Toc14435672" w:history="1">
            <w:r w:rsidR="002B1876" w:rsidRPr="00E579DA">
              <w:rPr>
                <w:rStyle w:val="Hyperlink"/>
                <w:noProof/>
              </w:rPr>
              <w:t>1.</w:t>
            </w:r>
            <w:r w:rsidR="002B1876">
              <w:rPr>
                <w:rFonts w:asciiTheme="minorHAnsi" w:hAnsiTheme="minorHAnsi"/>
                <w:b w:val="0"/>
                <w:bCs w:val="0"/>
                <w:noProof/>
                <w:szCs w:val="22"/>
                <w:lang w:val="en-AU" w:eastAsia="en-AU" w:bidi="ar-SA"/>
              </w:rPr>
              <w:tab/>
            </w:r>
            <w:r w:rsidR="002B1876" w:rsidRPr="00E579DA">
              <w:rPr>
                <w:rStyle w:val="Hyperlink"/>
                <w:noProof/>
              </w:rPr>
              <w:t>Introduction</w:t>
            </w:r>
            <w:r w:rsidR="002B1876">
              <w:rPr>
                <w:noProof/>
                <w:webHidden/>
              </w:rPr>
              <w:tab/>
            </w:r>
            <w:r w:rsidR="002B1876">
              <w:rPr>
                <w:noProof/>
                <w:webHidden/>
              </w:rPr>
              <w:fldChar w:fldCharType="begin"/>
            </w:r>
            <w:r w:rsidR="002B1876">
              <w:rPr>
                <w:noProof/>
                <w:webHidden/>
              </w:rPr>
              <w:instrText xml:space="preserve"> PAGEREF _Toc14435672 \h </w:instrText>
            </w:r>
            <w:r w:rsidR="002B1876">
              <w:rPr>
                <w:noProof/>
                <w:webHidden/>
              </w:rPr>
            </w:r>
            <w:r w:rsidR="002B1876">
              <w:rPr>
                <w:noProof/>
                <w:webHidden/>
              </w:rPr>
              <w:fldChar w:fldCharType="separate"/>
            </w:r>
            <w:r w:rsidR="00A94823">
              <w:rPr>
                <w:noProof/>
                <w:webHidden/>
              </w:rPr>
              <w:t>12</w:t>
            </w:r>
            <w:r w:rsidR="002B1876">
              <w:rPr>
                <w:noProof/>
                <w:webHidden/>
              </w:rPr>
              <w:fldChar w:fldCharType="end"/>
            </w:r>
          </w:hyperlink>
        </w:p>
        <w:p w14:paraId="5E34154A"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73" w:history="1">
            <w:r w:rsidR="002B1876" w:rsidRPr="00E579DA">
              <w:rPr>
                <w:rStyle w:val="Hyperlink"/>
                <w:noProof/>
              </w:rPr>
              <w:t>1.1</w:t>
            </w:r>
            <w:r w:rsidR="002B1876">
              <w:rPr>
                <w:rFonts w:asciiTheme="minorHAnsi" w:hAnsiTheme="minorHAnsi"/>
                <w:noProof/>
                <w:sz w:val="22"/>
                <w:szCs w:val="22"/>
                <w:lang w:val="en-AU" w:eastAsia="en-AU" w:bidi="ar-SA"/>
              </w:rPr>
              <w:tab/>
            </w:r>
            <w:r w:rsidR="002B1876" w:rsidRPr="00E579DA">
              <w:rPr>
                <w:rStyle w:val="Hyperlink"/>
                <w:noProof/>
              </w:rPr>
              <w:t>Pesticide monitoring in the Marine Monitoring Program</w:t>
            </w:r>
            <w:r w:rsidR="002B1876">
              <w:rPr>
                <w:noProof/>
                <w:webHidden/>
              </w:rPr>
              <w:tab/>
            </w:r>
            <w:r w:rsidR="002B1876">
              <w:rPr>
                <w:noProof/>
                <w:webHidden/>
              </w:rPr>
              <w:fldChar w:fldCharType="begin"/>
            </w:r>
            <w:r w:rsidR="002B1876">
              <w:rPr>
                <w:noProof/>
                <w:webHidden/>
              </w:rPr>
              <w:instrText xml:space="preserve"> PAGEREF _Toc14435673 \h </w:instrText>
            </w:r>
            <w:r w:rsidR="002B1876">
              <w:rPr>
                <w:noProof/>
                <w:webHidden/>
              </w:rPr>
            </w:r>
            <w:r w:rsidR="002B1876">
              <w:rPr>
                <w:noProof/>
                <w:webHidden/>
              </w:rPr>
              <w:fldChar w:fldCharType="separate"/>
            </w:r>
            <w:r w:rsidR="00A94823">
              <w:rPr>
                <w:noProof/>
                <w:webHidden/>
              </w:rPr>
              <w:t>12</w:t>
            </w:r>
            <w:r w:rsidR="002B1876">
              <w:rPr>
                <w:noProof/>
                <w:webHidden/>
              </w:rPr>
              <w:fldChar w:fldCharType="end"/>
            </w:r>
          </w:hyperlink>
        </w:p>
        <w:p w14:paraId="0F21B158"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74" w:history="1">
            <w:r w:rsidR="002B1876" w:rsidRPr="00E579DA">
              <w:rPr>
                <w:rStyle w:val="Hyperlink"/>
                <w:noProof/>
              </w:rPr>
              <w:t>1.2</w:t>
            </w:r>
            <w:r w:rsidR="002B1876">
              <w:rPr>
                <w:rFonts w:asciiTheme="minorHAnsi" w:hAnsiTheme="minorHAnsi"/>
                <w:noProof/>
                <w:sz w:val="22"/>
                <w:szCs w:val="22"/>
                <w:lang w:val="en-AU" w:eastAsia="en-AU" w:bidi="ar-SA"/>
              </w:rPr>
              <w:tab/>
            </w:r>
            <w:r w:rsidR="002B1876" w:rsidRPr="00E579DA">
              <w:rPr>
                <w:rStyle w:val="Hyperlink"/>
                <w:noProof/>
              </w:rPr>
              <w:t>The structure of this Report</w:t>
            </w:r>
            <w:r w:rsidR="002B1876">
              <w:rPr>
                <w:noProof/>
                <w:webHidden/>
              </w:rPr>
              <w:tab/>
            </w:r>
            <w:r w:rsidR="002B1876">
              <w:rPr>
                <w:noProof/>
                <w:webHidden/>
              </w:rPr>
              <w:fldChar w:fldCharType="begin"/>
            </w:r>
            <w:r w:rsidR="002B1876">
              <w:rPr>
                <w:noProof/>
                <w:webHidden/>
              </w:rPr>
              <w:instrText xml:space="preserve"> PAGEREF _Toc14435674 \h </w:instrText>
            </w:r>
            <w:r w:rsidR="002B1876">
              <w:rPr>
                <w:noProof/>
                <w:webHidden/>
              </w:rPr>
            </w:r>
            <w:r w:rsidR="002B1876">
              <w:rPr>
                <w:noProof/>
                <w:webHidden/>
              </w:rPr>
              <w:fldChar w:fldCharType="separate"/>
            </w:r>
            <w:r w:rsidR="00A94823">
              <w:rPr>
                <w:noProof/>
                <w:webHidden/>
              </w:rPr>
              <w:t>13</w:t>
            </w:r>
            <w:r w:rsidR="002B1876">
              <w:rPr>
                <w:noProof/>
                <w:webHidden/>
              </w:rPr>
              <w:fldChar w:fldCharType="end"/>
            </w:r>
          </w:hyperlink>
        </w:p>
        <w:p w14:paraId="1A9D414E" w14:textId="77777777" w:rsidR="002B1876" w:rsidRDefault="00F41081">
          <w:pPr>
            <w:pStyle w:val="TOC1"/>
            <w:tabs>
              <w:tab w:val="left" w:pos="440"/>
              <w:tab w:val="right" w:leader="dot" w:pos="9016"/>
            </w:tabs>
            <w:rPr>
              <w:rFonts w:asciiTheme="minorHAnsi" w:hAnsiTheme="minorHAnsi"/>
              <w:b w:val="0"/>
              <w:bCs w:val="0"/>
              <w:noProof/>
              <w:szCs w:val="22"/>
              <w:lang w:val="en-AU" w:eastAsia="en-AU" w:bidi="ar-SA"/>
            </w:rPr>
          </w:pPr>
          <w:hyperlink w:anchor="_Toc14435675" w:history="1">
            <w:r w:rsidR="002B1876" w:rsidRPr="00E579DA">
              <w:rPr>
                <w:rStyle w:val="Hyperlink"/>
                <w:noProof/>
              </w:rPr>
              <w:t>2.</w:t>
            </w:r>
            <w:r w:rsidR="002B1876">
              <w:rPr>
                <w:rFonts w:asciiTheme="minorHAnsi" w:hAnsiTheme="minorHAnsi"/>
                <w:b w:val="0"/>
                <w:bCs w:val="0"/>
                <w:noProof/>
                <w:szCs w:val="22"/>
                <w:lang w:val="en-AU" w:eastAsia="en-AU" w:bidi="ar-SA"/>
              </w:rPr>
              <w:tab/>
            </w:r>
            <w:r w:rsidR="002B1876" w:rsidRPr="00E579DA">
              <w:rPr>
                <w:rStyle w:val="Hyperlink"/>
                <w:noProof/>
              </w:rPr>
              <w:t>Methods</w:t>
            </w:r>
            <w:r w:rsidR="002B1876">
              <w:rPr>
                <w:noProof/>
                <w:webHidden/>
              </w:rPr>
              <w:tab/>
            </w:r>
            <w:r w:rsidR="002B1876">
              <w:rPr>
                <w:noProof/>
                <w:webHidden/>
              </w:rPr>
              <w:fldChar w:fldCharType="begin"/>
            </w:r>
            <w:r w:rsidR="002B1876">
              <w:rPr>
                <w:noProof/>
                <w:webHidden/>
              </w:rPr>
              <w:instrText xml:space="preserve"> PAGEREF _Toc14435675 \h </w:instrText>
            </w:r>
            <w:r w:rsidR="002B1876">
              <w:rPr>
                <w:noProof/>
                <w:webHidden/>
              </w:rPr>
            </w:r>
            <w:r w:rsidR="002B1876">
              <w:rPr>
                <w:noProof/>
                <w:webHidden/>
              </w:rPr>
              <w:fldChar w:fldCharType="separate"/>
            </w:r>
            <w:r w:rsidR="00A94823">
              <w:rPr>
                <w:noProof/>
                <w:webHidden/>
              </w:rPr>
              <w:t>14</w:t>
            </w:r>
            <w:r w:rsidR="002B1876">
              <w:rPr>
                <w:noProof/>
                <w:webHidden/>
              </w:rPr>
              <w:fldChar w:fldCharType="end"/>
            </w:r>
          </w:hyperlink>
        </w:p>
        <w:p w14:paraId="1DDF19FD"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676" w:history="1">
            <w:r w:rsidR="002B1876" w:rsidRPr="00E579DA">
              <w:rPr>
                <w:rStyle w:val="Hyperlink"/>
                <w:noProof/>
              </w:rPr>
              <w:t>2.1</w:t>
            </w:r>
            <w:r w:rsidR="002B1876">
              <w:rPr>
                <w:rFonts w:asciiTheme="minorHAnsi" w:hAnsiTheme="minorHAnsi"/>
                <w:iCs w:val="0"/>
                <w:noProof/>
                <w:sz w:val="22"/>
                <w:szCs w:val="22"/>
                <w:lang w:val="en-AU" w:eastAsia="en-AU" w:bidi="ar-SA"/>
              </w:rPr>
              <w:tab/>
            </w:r>
            <w:r w:rsidR="002B1876" w:rsidRPr="00E579DA">
              <w:rPr>
                <w:rStyle w:val="Hyperlink"/>
                <w:noProof/>
              </w:rPr>
              <w:t>Overview</w:t>
            </w:r>
            <w:r w:rsidR="002B1876">
              <w:rPr>
                <w:noProof/>
                <w:webHidden/>
              </w:rPr>
              <w:tab/>
            </w:r>
            <w:r w:rsidR="002B1876">
              <w:rPr>
                <w:noProof/>
                <w:webHidden/>
              </w:rPr>
              <w:fldChar w:fldCharType="begin"/>
            </w:r>
            <w:r w:rsidR="002B1876">
              <w:rPr>
                <w:noProof/>
                <w:webHidden/>
              </w:rPr>
              <w:instrText xml:space="preserve"> PAGEREF _Toc14435676 \h </w:instrText>
            </w:r>
            <w:r w:rsidR="002B1876">
              <w:rPr>
                <w:noProof/>
                <w:webHidden/>
              </w:rPr>
            </w:r>
            <w:r w:rsidR="002B1876">
              <w:rPr>
                <w:noProof/>
                <w:webHidden/>
              </w:rPr>
              <w:fldChar w:fldCharType="separate"/>
            </w:r>
            <w:r w:rsidR="00A94823">
              <w:rPr>
                <w:noProof/>
                <w:webHidden/>
              </w:rPr>
              <w:t>14</w:t>
            </w:r>
            <w:r w:rsidR="002B1876">
              <w:rPr>
                <w:noProof/>
                <w:webHidden/>
              </w:rPr>
              <w:fldChar w:fldCharType="end"/>
            </w:r>
          </w:hyperlink>
        </w:p>
        <w:p w14:paraId="12F4D1C9"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677" w:history="1">
            <w:r w:rsidR="002B1876" w:rsidRPr="00E579DA">
              <w:rPr>
                <w:rStyle w:val="Hyperlink"/>
                <w:noProof/>
              </w:rPr>
              <w:t>2.2</w:t>
            </w:r>
            <w:r w:rsidR="002B1876">
              <w:rPr>
                <w:rFonts w:asciiTheme="minorHAnsi" w:hAnsiTheme="minorHAnsi"/>
                <w:iCs w:val="0"/>
                <w:noProof/>
                <w:sz w:val="22"/>
                <w:szCs w:val="22"/>
                <w:lang w:val="en-AU" w:eastAsia="en-AU" w:bidi="ar-SA"/>
              </w:rPr>
              <w:tab/>
            </w:r>
            <w:r w:rsidR="002B1876" w:rsidRPr="00E579DA">
              <w:rPr>
                <w:rStyle w:val="Hyperlink"/>
                <w:noProof/>
              </w:rPr>
              <w:t>Study area and sampling sites</w:t>
            </w:r>
            <w:r w:rsidR="002B1876">
              <w:rPr>
                <w:noProof/>
                <w:webHidden/>
              </w:rPr>
              <w:tab/>
            </w:r>
            <w:r w:rsidR="002B1876">
              <w:rPr>
                <w:noProof/>
                <w:webHidden/>
              </w:rPr>
              <w:fldChar w:fldCharType="begin"/>
            </w:r>
            <w:r w:rsidR="002B1876">
              <w:rPr>
                <w:noProof/>
                <w:webHidden/>
              </w:rPr>
              <w:instrText xml:space="preserve"> PAGEREF _Toc14435677 \h </w:instrText>
            </w:r>
            <w:r w:rsidR="002B1876">
              <w:rPr>
                <w:noProof/>
                <w:webHidden/>
              </w:rPr>
            </w:r>
            <w:r w:rsidR="002B1876">
              <w:rPr>
                <w:noProof/>
                <w:webHidden/>
              </w:rPr>
              <w:fldChar w:fldCharType="separate"/>
            </w:r>
            <w:r w:rsidR="00A94823">
              <w:rPr>
                <w:noProof/>
                <w:webHidden/>
              </w:rPr>
              <w:t>14</w:t>
            </w:r>
            <w:r w:rsidR="002B1876">
              <w:rPr>
                <w:noProof/>
                <w:webHidden/>
              </w:rPr>
              <w:fldChar w:fldCharType="end"/>
            </w:r>
          </w:hyperlink>
        </w:p>
        <w:p w14:paraId="5520BB73"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78" w:history="1">
            <w:r w:rsidR="002B1876" w:rsidRPr="00E579DA">
              <w:rPr>
                <w:rStyle w:val="Hyperlink"/>
                <w:noProof/>
              </w:rPr>
              <w:t>2.2.1</w:t>
            </w:r>
            <w:r w:rsidR="002B1876">
              <w:rPr>
                <w:rFonts w:asciiTheme="minorHAnsi" w:hAnsiTheme="minorHAnsi"/>
                <w:noProof/>
                <w:sz w:val="22"/>
                <w:szCs w:val="22"/>
                <w:lang w:val="en-AU" w:eastAsia="en-AU" w:bidi="ar-SA"/>
              </w:rPr>
              <w:tab/>
            </w:r>
            <w:r w:rsidR="002B1876" w:rsidRPr="00E579DA">
              <w:rPr>
                <w:rStyle w:val="Hyperlink"/>
                <w:noProof/>
              </w:rPr>
              <w:t>Fixed monitoring sites (passive samplers)</w:t>
            </w:r>
            <w:r w:rsidR="002B1876">
              <w:rPr>
                <w:noProof/>
                <w:webHidden/>
              </w:rPr>
              <w:tab/>
            </w:r>
            <w:r w:rsidR="002B1876">
              <w:rPr>
                <w:noProof/>
                <w:webHidden/>
              </w:rPr>
              <w:fldChar w:fldCharType="begin"/>
            </w:r>
            <w:r w:rsidR="002B1876">
              <w:rPr>
                <w:noProof/>
                <w:webHidden/>
              </w:rPr>
              <w:instrText xml:space="preserve"> PAGEREF _Toc14435678 \h </w:instrText>
            </w:r>
            <w:r w:rsidR="002B1876">
              <w:rPr>
                <w:noProof/>
                <w:webHidden/>
              </w:rPr>
            </w:r>
            <w:r w:rsidR="002B1876">
              <w:rPr>
                <w:noProof/>
                <w:webHidden/>
              </w:rPr>
              <w:fldChar w:fldCharType="separate"/>
            </w:r>
            <w:r w:rsidR="00A94823">
              <w:rPr>
                <w:noProof/>
                <w:webHidden/>
              </w:rPr>
              <w:t>14</w:t>
            </w:r>
            <w:r w:rsidR="002B1876">
              <w:rPr>
                <w:noProof/>
                <w:webHidden/>
              </w:rPr>
              <w:fldChar w:fldCharType="end"/>
            </w:r>
          </w:hyperlink>
        </w:p>
        <w:p w14:paraId="63C403CA"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79" w:history="1">
            <w:r w:rsidR="002B1876" w:rsidRPr="00E579DA">
              <w:rPr>
                <w:rStyle w:val="Hyperlink"/>
                <w:noProof/>
              </w:rPr>
              <w:t>2.2.2</w:t>
            </w:r>
            <w:r w:rsidR="002B1876">
              <w:rPr>
                <w:rFonts w:asciiTheme="minorHAnsi" w:hAnsiTheme="minorHAnsi"/>
                <w:noProof/>
                <w:sz w:val="22"/>
                <w:szCs w:val="22"/>
                <w:lang w:val="en-AU" w:eastAsia="en-AU" w:bidi="ar-SA"/>
              </w:rPr>
              <w:tab/>
            </w:r>
            <w:r w:rsidR="002B1876" w:rsidRPr="00E579DA">
              <w:rPr>
                <w:rStyle w:val="Hyperlink"/>
                <w:noProof/>
              </w:rPr>
              <w:t>Flood plume (transect) monitoring (‘event’ passive sampler and grab sampling)</w:t>
            </w:r>
            <w:r w:rsidR="002B1876">
              <w:rPr>
                <w:noProof/>
                <w:webHidden/>
              </w:rPr>
              <w:tab/>
            </w:r>
            <w:r w:rsidR="002B1876">
              <w:rPr>
                <w:noProof/>
                <w:webHidden/>
              </w:rPr>
              <w:fldChar w:fldCharType="begin"/>
            </w:r>
            <w:r w:rsidR="002B1876">
              <w:rPr>
                <w:noProof/>
                <w:webHidden/>
              </w:rPr>
              <w:instrText xml:space="preserve"> PAGEREF _Toc14435679 \h </w:instrText>
            </w:r>
            <w:r w:rsidR="002B1876">
              <w:rPr>
                <w:noProof/>
                <w:webHidden/>
              </w:rPr>
            </w:r>
            <w:r w:rsidR="002B1876">
              <w:rPr>
                <w:noProof/>
                <w:webHidden/>
              </w:rPr>
              <w:fldChar w:fldCharType="separate"/>
            </w:r>
            <w:r w:rsidR="00A94823">
              <w:rPr>
                <w:noProof/>
                <w:webHidden/>
              </w:rPr>
              <w:t>16</w:t>
            </w:r>
            <w:r w:rsidR="002B1876">
              <w:rPr>
                <w:noProof/>
                <w:webHidden/>
              </w:rPr>
              <w:fldChar w:fldCharType="end"/>
            </w:r>
          </w:hyperlink>
        </w:p>
        <w:p w14:paraId="71D2547D"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680" w:history="1">
            <w:r w:rsidR="002B1876" w:rsidRPr="00E579DA">
              <w:rPr>
                <w:rStyle w:val="Hyperlink"/>
                <w:noProof/>
              </w:rPr>
              <w:t>2.3</w:t>
            </w:r>
            <w:r w:rsidR="002B1876">
              <w:rPr>
                <w:rFonts w:asciiTheme="minorHAnsi" w:hAnsiTheme="minorHAnsi"/>
                <w:iCs w:val="0"/>
                <w:noProof/>
                <w:sz w:val="22"/>
                <w:szCs w:val="22"/>
                <w:lang w:val="en-AU" w:eastAsia="en-AU" w:bidi="ar-SA"/>
              </w:rPr>
              <w:tab/>
            </w:r>
            <w:r w:rsidR="002B1876" w:rsidRPr="00E579DA">
              <w:rPr>
                <w:rStyle w:val="Hyperlink"/>
                <w:noProof/>
              </w:rPr>
              <w:t>Sampling approaches</w:t>
            </w:r>
            <w:r w:rsidR="002B1876">
              <w:rPr>
                <w:noProof/>
                <w:webHidden/>
              </w:rPr>
              <w:tab/>
            </w:r>
            <w:r w:rsidR="002B1876">
              <w:rPr>
                <w:noProof/>
                <w:webHidden/>
              </w:rPr>
              <w:fldChar w:fldCharType="begin"/>
            </w:r>
            <w:r w:rsidR="002B1876">
              <w:rPr>
                <w:noProof/>
                <w:webHidden/>
              </w:rPr>
              <w:instrText xml:space="preserve"> PAGEREF _Toc14435680 \h </w:instrText>
            </w:r>
            <w:r w:rsidR="002B1876">
              <w:rPr>
                <w:noProof/>
                <w:webHidden/>
              </w:rPr>
            </w:r>
            <w:r w:rsidR="002B1876">
              <w:rPr>
                <w:noProof/>
                <w:webHidden/>
              </w:rPr>
              <w:fldChar w:fldCharType="separate"/>
            </w:r>
            <w:r w:rsidR="00A94823">
              <w:rPr>
                <w:noProof/>
                <w:webHidden/>
              </w:rPr>
              <w:t>17</w:t>
            </w:r>
            <w:r w:rsidR="002B1876">
              <w:rPr>
                <w:noProof/>
                <w:webHidden/>
              </w:rPr>
              <w:fldChar w:fldCharType="end"/>
            </w:r>
          </w:hyperlink>
        </w:p>
        <w:p w14:paraId="2D004622"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81" w:history="1">
            <w:r w:rsidR="002B1876" w:rsidRPr="00E579DA">
              <w:rPr>
                <w:rStyle w:val="Hyperlink"/>
                <w:noProof/>
              </w:rPr>
              <w:t>2.3.1</w:t>
            </w:r>
            <w:r w:rsidR="002B1876">
              <w:rPr>
                <w:rFonts w:asciiTheme="minorHAnsi" w:hAnsiTheme="minorHAnsi"/>
                <w:noProof/>
                <w:sz w:val="22"/>
                <w:szCs w:val="22"/>
                <w:lang w:val="en-AU" w:eastAsia="en-AU" w:bidi="ar-SA"/>
              </w:rPr>
              <w:tab/>
            </w:r>
            <w:r w:rsidR="002B1876" w:rsidRPr="00E579DA">
              <w:rPr>
                <w:rStyle w:val="Hyperlink"/>
                <w:noProof/>
              </w:rPr>
              <w:t>Passive sampling (fixed monitoring sites) to establish long-term trends</w:t>
            </w:r>
            <w:r w:rsidR="002B1876">
              <w:rPr>
                <w:noProof/>
                <w:webHidden/>
              </w:rPr>
              <w:tab/>
            </w:r>
            <w:r w:rsidR="002B1876">
              <w:rPr>
                <w:noProof/>
                <w:webHidden/>
              </w:rPr>
              <w:fldChar w:fldCharType="begin"/>
            </w:r>
            <w:r w:rsidR="002B1876">
              <w:rPr>
                <w:noProof/>
                <w:webHidden/>
              </w:rPr>
              <w:instrText xml:space="preserve"> PAGEREF _Toc14435681 \h </w:instrText>
            </w:r>
            <w:r w:rsidR="002B1876">
              <w:rPr>
                <w:noProof/>
                <w:webHidden/>
              </w:rPr>
            </w:r>
            <w:r w:rsidR="002B1876">
              <w:rPr>
                <w:noProof/>
                <w:webHidden/>
              </w:rPr>
              <w:fldChar w:fldCharType="separate"/>
            </w:r>
            <w:r w:rsidR="00A94823">
              <w:rPr>
                <w:noProof/>
                <w:webHidden/>
              </w:rPr>
              <w:t>18</w:t>
            </w:r>
            <w:r w:rsidR="002B1876">
              <w:rPr>
                <w:noProof/>
                <w:webHidden/>
              </w:rPr>
              <w:fldChar w:fldCharType="end"/>
            </w:r>
          </w:hyperlink>
        </w:p>
        <w:p w14:paraId="7E8F509A"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82" w:history="1">
            <w:r w:rsidR="002B1876" w:rsidRPr="00E579DA">
              <w:rPr>
                <w:rStyle w:val="Hyperlink"/>
                <w:noProof/>
              </w:rPr>
              <w:t>2.3.2</w:t>
            </w:r>
            <w:r w:rsidR="002B1876">
              <w:rPr>
                <w:rFonts w:asciiTheme="minorHAnsi" w:hAnsiTheme="minorHAnsi"/>
                <w:noProof/>
                <w:sz w:val="22"/>
                <w:szCs w:val="22"/>
                <w:lang w:val="en-AU" w:eastAsia="en-AU" w:bidi="ar-SA"/>
              </w:rPr>
              <w:tab/>
            </w:r>
            <w:r w:rsidR="002B1876" w:rsidRPr="00E579DA">
              <w:rPr>
                <w:rStyle w:val="Hyperlink"/>
                <w:noProof/>
              </w:rPr>
              <w:t>Grab sampling to assess flood plume (transect) profiles</w:t>
            </w:r>
            <w:r w:rsidR="002B1876">
              <w:rPr>
                <w:noProof/>
                <w:webHidden/>
              </w:rPr>
              <w:tab/>
            </w:r>
            <w:r w:rsidR="002B1876">
              <w:rPr>
                <w:noProof/>
                <w:webHidden/>
              </w:rPr>
              <w:fldChar w:fldCharType="begin"/>
            </w:r>
            <w:r w:rsidR="002B1876">
              <w:rPr>
                <w:noProof/>
                <w:webHidden/>
              </w:rPr>
              <w:instrText xml:space="preserve"> PAGEREF _Toc14435682 \h </w:instrText>
            </w:r>
            <w:r w:rsidR="002B1876">
              <w:rPr>
                <w:noProof/>
                <w:webHidden/>
              </w:rPr>
            </w:r>
            <w:r w:rsidR="002B1876">
              <w:rPr>
                <w:noProof/>
                <w:webHidden/>
              </w:rPr>
              <w:fldChar w:fldCharType="separate"/>
            </w:r>
            <w:r w:rsidR="00A94823">
              <w:rPr>
                <w:noProof/>
                <w:webHidden/>
              </w:rPr>
              <w:t>18</w:t>
            </w:r>
            <w:r w:rsidR="002B1876">
              <w:rPr>
                <w:noProof/>
                <w:webHidden/>
              </w:rPr>
              <w:fldChar w:fldCharType="end"/>
            </w:r>
          </w:hyperlink>
        </w:p>
        <w:p w14:paraId="5B14245F"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83" w:history="1">
            <w:r w:rsidR="002B1876" w:rsidRPr="00E579DA">
              <w:rPr>
                <w:rStyle w:val="Hyperlink"/>
                <w:noProof/>
              </w:rPr>
              <w:t>2.3.3</w:t>
            </w:r>
            <w:r w:rsidR="002B1876">
              <w:rPr>
                <w:rFonts w:asciiTheme="minorHAnsi" w:hAnsiTheme="minorHAnsi"/>
                <w:noProof/>
                <w:sz w:val="22"/>
                <w:szCs w:val="22"/>
                <w:lang w:val="en-AU" w:eastAsia="en-AU" w:bidi="ar-SA"/>
              </w:rPr>
              <w:tab/>
            </w:r>
            <w:r w:rsidR="002B1876" w:rsidRPr="00E579DA">
              <w:rPr>
                <w:rStyle w:val="Hyperlink"/>
                <w:noProof/>
              </w:rPr>
              <w:t>Sampler deployment and approaches for missing data</w:t>
            </w:r>
            <w:r w:rsidR="002B1876">
              <w:rPr>
                <w:noProof/>
                <w:webHidden/>
              </w:rPr>
              <w:tab/>
            </w:r>
            <w:r w:rsidR="002B1876">
              <w:rPr>
                <w:noProof/>
                <w:webHidden/>
              </w:rPr>
              <w:fldChar w:fldCharType="begin"/>
            </w:r>
            <w:r w:rsidR="002B1876">
              <w:rPr>
                <w:noProof/>
                <w:webHidden/>
              </w:rPr>
              <w:instrText xml:space="preserve"> PAGEREF _Toc14435683 \h </w:instrText>
            </w:r>
            <w:r w:rsidR="002B1876">
              <w:rPr>
                <w:noProof/>
                <w:webHidden/>
              </w:rPr>
            </w:r>
            <w:r w:rsidR="002B1876">
              <w:rPr>
                <w:noProof/>
                <w:webHidden/>
              </w:rPr>
              <w:fldChar w:fldCharType="separate"/>
            </w:r>
            <w:r w:rsidR="00A94823">
              <w:rPr>
                <w:noProof/>
                <w:webHidden/>
              </w:rPr>
              <w:t>19</w:t>
            </w:r>
            <w:r w:rsidR="002B1876">
              <w:rPr>
                <w:noProof/>
                <w:webHidden/>
              </w:rPr>
              <w:fldChar w:fldCharType="end"/>
            </w:r>
          </w:hyperlink>
        </w:p>
        <w:p w14:paraId="2EC4373D"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684" w:history="1">
            <w:r w:rsidR="002B1876" w:rsidRPr="00E579DA">
              <w:rPr>
                <w:rStyle w:val="Hyperlink"/>
                <w:noProof/>
              </w:rPr>
              <w:t>2.4</w:t>
            </w:r>
            <w:r w:rsidR="002B1876">
              <w:rPr>
                <w:rFonts w:asciiTheme="minorHAnsi" w:hAnsiTheme="minorHAnsi"/>
                <w:iCs w:val="0"/>
                <w:noProof/>
                <w:sz w:val="22"/>
                <w:szCs w:val="22"/>
                <w:lang w:val="en-AU" w:eastAsia="en-AU" w:bidi="ar-SA"/>
              </w:rPr>
              <w:tab/>
            </w:r>
            <w:r w:rsidR="002B1876" w:rsidRPr="00E579DA">
              <w:rPr>
                <w:rStyle w:val="Hyperlink"/>
                <w:noProof/>
              </w:rPr>
              <w:t>Pesticide analyses and reporting QA/QC</w:t>
            </w:r>
            <w:r w:rsidR="002B1876">
              <w:rPr>
                <w:noProof/>
                <w:webHidden/>
              </w:rPr>
              <w:tab/>
            </w:r>
            <w:r w:rsidR="002B1876">
              <w:rPr>
                <w:noProof/>
                <w:webHidden/>
              </w:rPr>
              <w:fldChar w:fldCharType="begin"/>
            </w:r>
            <w:r w:rsidR="002B1876">
              <w:rPr>
                <w:noProof/>
                <w:webHidden/>
              </w:rPr>
              <w:instrText xml:space="preserve"> PAGEREF _Toc14435684 \h </w:instrText>
            </w:r>
            <w:r w:rsidR="002B1876">
              <w:rPr>
                <w:noProof/>
                <w:webHidden/>
              </w:rPr>
            </w:r>
            <w:r w:rsidR="002B1876">
              <w:rPr>
                <w:noProof/>
                <w:webHidden/>
              </w:rPr>
              <w:fldChar w:fldCharType="separate"/>
            </w:r>
            <w:r w:rsidR="00A94823">
              <w:rPr>
                <w:noProof/>
                <w:webHidden/>
              </w:rPr>
              <w:t>19</w:t>
            </w:r>
            <w:r w:rsidR="002B1876">
              <w:rPr>
                <w:noProof/>
                <w:webHidden/>
              </w:rPr>
              <w:fldChar w:fldCharType="end"/>
            </w:r>
          </w:hyperlink>
        </w:p>
        <w:p w14:paraId="3887FA20"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85" w:history="1">
            <w:r w:rsidR="002B1876" w:rsidRPr="00E579DA">
              <w:rPr>
                <w:rStyle w:val="Hyperlink"/>
                <w:noProof/>
              </w:rPr>
              <w:t>2.4.1</w:t>
            </w:r>
            <w:r w:rsidR="002B1876">
              <w:rPr>
                <w:rFonts w:asciiTheme="minorHAnsi" w:hAnsiTheme="minorHAnsi"/>
                <w:noProof/>
                <w:sz w:val="22"/>
                <w:szCs w:val="22"/>
                <w:lang w:val="en-AU" w:eastAsia="en-AU" w:bidi="ar-SA"/>
              </w:rPr>
              <w:tab/>
            </w:r>
            <w:r w:rsidR="002B1876" w:rsidRPr="00E579DA">
              <w:rPr>
                <w:rStyle w:val="Hyperlink"/>
                <w:noProof/>
              </w:rPr>
              <w:t>Target pesticides</w:t>
            </w:r>
            <w:r w:rsidR="002B1876">
              <w:rPr>
                <w:noProof/>
                <w:webHidden/>
              </w:rPr>
              <w:tab/>
            </w:r>
            <w:r w:rsidR="002B1876">
              <w:rPr>
                <w:noProof/>
                <w:webHidden/>
              </w:rPr>
              <w:fldChar w:fldCharType="begin"/>
            </w:r>
            <w:r w:rsidR="002B1876">
              <w:rPr>
                <w:noProof/>
                <w:webHidden/>
              </w:rPr>
              <w:instrText xml:space="preserve"> PAGEREF _Toc14435685 \h </w:instrText>
            </w:r>
            <w:r w:rsidR="002B1876">
              <w:rPr>
                <w:noProof/>
                <w:webHidden/>
              </w:rPr>
            </w:r>
            <w:r w:rsidR="002B1876">
              <w:rPr>
                <w:noProof/>
                <w:webHidden/>
              </w:rPr>
              <w:fldChar w:fldCharType="separate"/>
            </w:r>
            <w:r w:rsidR="00A94823">
              <w:rPr>
                <w:noProof/>
                <w:webHidden/>
              </w:rPr>
              <w:t>19</w:t>
            </w:r>
            <w:r w:rsidR="002B1876">
              <w:rPr>
                <w:noProof/>
                <w:webHidden/>
              </w:rPr>
              <w:fldChar w:fldCharType="end"/>
            </w:r>
          </w:hyperlink>
        </w:p>
        <w:p w14:paraId="539364BB"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86" w:history="1">
            <w:r w:rsidR="002B1876" w:rsidRPr="00E579DA">
              <w:rPr>
                <w:rStyle w:val="Hyperlink"/>
                <w:noProof/>
              </w:rPr>
              <w:t>2.4.2</w:t>
            </w:r>
            <w:r w:rsidR="002B1876">
              <w:rPr>
                <w:rFonts w:asciiTheme="minorHAnsi" w:hAnsiTheme="minorHAnsi"/>
                <w:noProof/>
                <w:sz w:val="22"/>
                <w:szCs w:val="22"/>
                <w:lang w:val="en-AU" w:eastAsia="en-AU" w:bidi="ar-SA"/>
              </w:rPr>
              <w:tab/>
            </w:r>
            <w:r w:rsidR="002B1876" w:rsidRPr="00E579DA">
              <w:rPr>
                <w:rStyle w:val="Hyperlink"/>
                <w:noProof/>
              </w:rPr>
              <w:t>Instrument analyses and quality assurance quality control (QA/QC)</w:t>
            </w:r>
            <w:r w:rsidR="002B1876">
              <w:rPr>
                <w:noProof/>
                <w:webHidden/>
              </w:rPr>
              <w:tab/>
            </w:r>
            <w:r w:rsidR="002B1876">
              <w:rPr>
                <w:noProof/>
                <w:webHidden/>
              </w:rPr>
              <w:fldChar w:fldCharType="begin"/>
            </w:r>
            <w:r w:rsidR="002B1876">
              <w:rPr>
                <w:noProof/>
                <w:webHidden/>
              </w:rPr>
              <w:instrText xml:space="preserve"> PAGEREF _Toc14435686 \h </w:instrText>
            </w:r>
            <w:r w:rsidR="002B1876">
              <w:rPr>
                <w:noProof/>
                <w:webHidden/>
              </w:rPr>
            </w:r>
            <w:r w:rsidR="002B1876">
              <w:rPr>
                <w:noProof/>
                <w:webHidden/>
              </w:rPr>
              <w:fldChar w:fldCharType="separate"/>
            </w:r>
            <w:r w:rsidR="00A94823">
              <w:rPr>
                <w:noProof/>
                <w:webHidden/>
              </w:rPr>
              <w:t>19</w:t>
            </w:r>
            <w:r w:rsidR="002B1876">
              <w:rPr>
                <w:noProof/>
                <w:webHidden/>
              </w:rPr>
              <w:fldChar w:fldCharType="end"/>
            </w:r>
          </w:hyperlink>
        </w:p>
        <w:p w14:paraId="588C423C"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87" w:history="1">
            <w:r w:rsidR="002B1876" w:rsidRPr="00E579DA">
              <w:rPr>
                <w:rStyle w:val="Hyperlink"/>
                <w:noProof/>
              </w:rPr>
              <w:t>2.4.3</w:t>
            </w:r>
            <w:r w:rsidR="002B1876">
              <w:rPr>
                <w:rFonts w:asciiTheme="minorHAnsi" w:hAnsiTheme="minorHAnsi"/>
                <w:noProof/>
                <w:sz w:val="22"/>
                <w:szCs w:val="22"/>
                <w:lang w:val="en-AU" w:eastAsia="en-AU" w:bidi="ar-SA"/>
              </w:rPr>
              <w:tab/>
            </w:r>
            <w:r w:rsidR="002B1876" w:rsidRPr="00E579DA">
              <w:rPr>
                <w:rStyle w:val="Hyperlink"/>
                <w:noProof/>
              </w:rPr>
              <w:t>Calculating the pesticide concentrations</w:t>
            </w:r>
            <w:r w:rsidR="002B1876">
              <w:rPr>
                <w:noProof/>
                <w:webHidden/>
              </w:rPr>
              <w:tab/>
            </w:r>
            <w:r w:rsidR="002B1876">
              <w:rPr>
                <w:noProof/>
                <w:webHidden/>
              </w:rPr>
              <w:fldChar w:fldCharType="begin"/>
            </w:r>
            <w:r w:rsidR="002B1876">
              <w:rPr>
                <w:noProof/>
                <w:webHidden/>
              </w:rPr>
              <w:instrText xml:space="preserve"> PAGEREF _Toc14435687 \h </w:instrText>
            </w:r>
            <w:r w:rsidR="002B1876">
              <w:rPr>
                <w:noProof/>
                <w:webHidden/>
              </w:rPr>
            </w:r>
            <w:r w:rsidR="002B1876">
              <w:rPr>
                <w:noProof/>
                <w:webHidden/>
              </w:rPr>
              <w:fldChar w:fldCharType="separate"/>
            </w:r>
            <w:r w:rsidR="00A94823">
              <w:rPr>
                <w:noProof/>
                <w:webHidden/>
              </w:rPr>
              <w:t>20</w:t>
            </w:r>
            <w:r w:rsidR="002B1876">
              <w:rPr>
                <w:noProof/>
                <w:webHidden/>
              </w:rPr>
              <w:fldChar w:fldCharType="end"/>
            </w:r>
          </w:hyperlink>
        </w:p>
        <w:p w14:paraId="17D5CBA5"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688" w:history="1">
            <w:r w:rsidR="002B1876" w:rsidRPr="00E579DA">
              <w:rPr>
                <w:rStyle w:val="Hyperlink"/>
                <w:noProof/>
              </w:rPr>
              <w:t>2.5</w:t>
            </w:r>
            <w:r w:rsidR="002B1876">
              <w:rPr>
                <w:rFonts w:asciiTheme="minorHAnsi" w:hAnsiTheme="minorHAnsi"/>
                <w:iCs w:val="0"/>
                <w:noProof/>
                <w:sz w:val="22"/>
                <w:szCs w:val="22"/>
                <w:lang w:val="en-AU" w:eastAsia="en-AU" w:bidi="ar-SA"/>
              </w:rPr>
              <w:tab/>
            </w:r>
            <w:r w:rsidR="002B1876" w:rsidRPr="00E579DA">
              <w:rPr>
                <w:rStyle w:val="Hyperlink"/>
                <w:noProof/>
              </w:rPr>
              <w:t>Data analyses and reporting metrics</w:t>
            </w:r>
            <w:r w:rsidR="002B1876">
              <w:rPr>
                <w:noProof/>
                <w:webHidden/>
              </w:rPr>
              <w:tab/>
            </w:r>
            <w:r w:rsidR="002B1876">
              <w:rPr>
                <w:noProof/>
                <w:webHidden/>
              </w:rPr>
              <w:fldChar w:fldCharType="begin"/>
            </w:r>
            <w:r w:rsidR="002B1876">
              <w:rPr>
                <w:noProof/>
                <w:webHidden/>
              </w:rPr>
              <w:instrText xml:space="preserve"> PAGEREF _Toc14435688 \h </w:instrText>
            </w:r>
            <w:r w:rsidR="002B1876">
              <w:rPr>
                <w:noProof/>
                <w:webHidden/>
              </w:rPr>
            </w:r>
            <w:r w:rsidR="002B1876">
              <w:rPr>
                <w:noProof/>
                <w:webHidden/>
              </w:rPr>
              <w:fldChar w:fldCharType="separate"/>
            </w:r>
            <w:r w:rsidR="00A94823">
              <w:rPr>
                <w:noProof/>
                <w:webHidden/>
              </w:rPr>
              <w:t>20</w:t>
            </w:r>
            <w:r w:rsidR="002B1876">
              <w:rPr>
                <w:noProof/>
                <w:webHidden/>
              </w:rPr>
              <w:fldChar w:fldCharType="end"/>
            </w:r>
          </w:hyperlink>
        </w:p>
        <w:p w14:paraId="7FF2363B"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89" w:history="1">
            <w:r w:rsidR="002B1876" w:rsidRPr="00E579DA">
              <w:rPr>
                <w:rStyle w:val="Hyperlink"/>
                <w:noProof/>
              </w:rPr>
              <w:t>2.5.1</w:t>
            </w:r>
            <w:r w:rsidR="002B1876">
              <w:rPr>
                <w:rFonts w:asciiTheme="minorHAnsi" w:hAnsiTheme="minorHAnsi"/>
                <w:noProof/>
                <w:sz w:val="22"/>
                <w:szCs w:val="22"/>
                <w:lang w:val="en-AU" w:eastAsia="en-AU" w:bidi="ar-SA"/>
              </w:rPr>
              <w:tab/>
            </w:r>
            <w:r w:rsidR="002B1876" w:rsidRPr="00E579DA">
              <w:rPr>
                <w:rStyle w:val="Hyperlink"/>
                <w:noProof/>
              </w:rPr>
              <w:t>Water quality guideline values (GVs)</w:t>
            </w:r>
            <w:r w:rsidR="002B1876">
              <w:rPr>
                <w:noProof/>
                <w:webHidden/>
              </w:rPr>
              <w:tab/>
            </w:r>
            <w:r w:rsidR="002B1876">
              <w:rPr>
                <w:noProof/>
                <w:webHidden/>
              </w:rPr>
              <w:fldChar w:fldCharType="begin"/>
            </w:r>
            <w:r w:rsidR="002B1876">
              <w:rPr>
                <w:noProof/>
                <w:webHidden/>
              </w:rPr>
              <w:instrText xml:space="preserve"> PAGEREF _Toc14435689 \h </w:instrText>
            </w:r>
            <w:r w:rsidR="002B1876">
              <w:rPr>
                <w:noProof/>
                <w:webHidden/>
              </w:rPr>
            </w:r>
            <w:r w:rsidR="002B1876">
              <w:rPr>
                <w:noProof/>
                <w:webHidden/>
              </w:rPr>
              <w:fldChar w:fldCharType="separate"/>
            </w:r>
            <w:r w:rsidR="00A94823">
              <w:rPr>
                <w:noProof/>
                <w:webHidden/>
              </w:rPr>
              <w:t>20</w:t>
            </w:r>
            <w:r w:rsidR="002B1876">
              <w:rPr>
                <w:noProof/>
                <w:webHidden/>
              </w:rPr>
              <w:fldChar w:fldCharType="end"/>
            </w:r>
          </w:hyperlink>
        </w:p>
        <w:p w14:paraId="0A17659B"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90" w:history="1">
            <w:r w:rsidR="002B1876" w:rsidRPr="00E579DA">
              <w:rPr>
                <w:rStyle w:val="Hyperlink"/>
                <w:noProof/>
              </w:rPr>
              <w:t>2.5.2</w:t>
            </w:r>
            <w:r w:rsidR="002B1876">
              <w:rPr>
                <w:rFonts w:asciiTheme="minorHAnsi" w:hAnsiTheme="minorHAnsi"/>
                <w:noProof/>
                <w:sz w:val="22"/>
                <w:szCs w:val="22"/>
                <w:lang w:val="en-AU" w:eastAsia="en-AU" w:bidi="ar-SA"/>
              </w:rPr>
              <w:tab/>
            </w:r>
            <w:r w:rsidR="002B1876" w:rsidRPr="00E579DA">
              <w:rPr>
                <w:rStyle w:val="Hyperlink"/>
                <w:noProof/>
              </w:rPr>
              <w:t>Risk assessment metric</w:t>
            </w:r>
            <w:r w:rsidR="002B1876">
              <w:rPr>
                <w:noProof/>
                <w:webHidden/>
              </w:rPr>
              <w:tab/>
            </w:r>
            <w:r w:rsidR="002B1876">
              <w:rPr>
                <w:noProof/>
                <w:webHidden/>
              </w:rPr>
              <w:fldChar w:fldCharType="begin"/>
            </w:r>
            <w:r w:rsidR="002B1876">
              <w:rPr>
                <w:noProof/>
                <w:webHidden/>
              </w:rPr>
              <w:instrText xml:space="preserve"> PAGEREF _Toc14435690 \h </w:instrText>
            </w:r>
            <w:r w:rsidR="002B1876">
              <w:rPr>
                <w:noProof/>
                <w:webHidden/>
              </w:rPr>
            </w:r>
            <w:r w:rsidR="002B1876">
              <w:rPr>
                <w:noProof/>
                <w:webHidden/>
              </w:rPr>
              <w:fldChar w:fldCharType="separate"/>
            </w:r>
            <w:r w:rsidR="00A94823">
              <w:rPr>
                <w:noProof/>
                <w:webHidden/>
              </w:rPr>
              <w:t>21</w:t>
            </w:r>
            <w:r w:rsidR="002B1876">
              <w:rPr>
                <w:noProof/>
                <w:webHidden/>
              </w:rPr>
              <w:fldChar w:fldCharType="end"/>
            </w:r>
          </w:hyperlink>
        </w:p>
        <w:p w14:paraId="3EA19BA3"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91" w:history="1">
            <w:r w:rsidR="002B1876" w:rsidRPr="00E579DA">
              <w:rPr>
                <w:rStyle w:val="Hyperlink"/>
                <w:noProof/>
              </w:rPr>
              <w:t>2.5.3</w:t>
            </w:r>
            <w:r w:rsidR="002B1876">
              <w:rPr>
                <w:rFonts w:asciiTheme="minorHAnsi" w:hAnsiTheme="minorHAnsi"/>
                <w:noProof/>
                <w:sz w:val="22"/>
                <w:szCs w:val="22"/>
                <w:lang w:val="en-AU" w:eastAsia="en-AU" w:bidi="ar-SA"/>
              </w:rPr>
              <w:tab/>
            </w:r>
            <w:r w:rsidR="002B1876" w:rsidRPr="00E579DA">
              <w:rPr>
                <w:rStyle w:val="Hyperlink"/>
                <w:noProof/>
              </w:rPr>
              <w:t>Mapping the frequency and extent of flood plumes (water type frequency maps)</w:t>
            </w:r>
            <w:r w:rsidR="002B1876">
              <w:rPr>
                <w:noProof/>
                <w:webHidden/>
              </w:rPr>
              <w:tab/>
            </w:r>
            <w:r w:rsidR="002B1876">
              <w:rPr>
                <w:noProof/>
                <w:webHidden/>
              </w:rPr>
              <w:fldChar w:fldCharType="begin"/>
            </w:r>
            <w:r w:rsidR="002B1876">
              <w:rPr>
                <w:noProof/>
                <w:webHidden/>
              </w:rPr>
              <w:instrText xml:space="preserve"> PAGEREF _Toc14435691 \h </w:instrText>
            </w:r>
            <w:r w:rsidR="002B1876">
              <w:rPr>
                <w:noProof/>
                <w:webHidden/>
              </w:rPr>
            </w:r>
            <w:r w:rsidR="002B1876">
              <w:rPr>
                <w:noProof/>
                <w:webHidden/>
              </w:rPr>
              <w:fldChar w:fldCharType="separate"/>
            </w:r>
            <w:r w:rsidR="00A94823">
              <w:rPr>
                <w:noProof/>
                <w:webHidden/>
              </w:rPr>
              <w:t>22</w:t>
            </w:r>
            <w:r w:rsidR="002B1876">
              <w:rPr>
                <w:noProof/>
                <w:webHidden/>
              </w:rPr>
              <w:fldChar w:fldCharType="end"/>
            </w:r>
          </w:hyperlink>
        </w:p>
        <w:p w14:paraId="58DC9C1F"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92" w:history="1">
            <w:r w:rsidR="002B1876" w:rsidRPr="00E579DA">
              <w:rPr>
                <w:rStyle w:val="Hyperlink"/>
                <w:noProof/>
              </w:rPr>
              <w:t>2.5.4</w:t>
            </w:r>
            <w:r w:rsidR="002B1876">
              <w:rPr>
                <w:rFonts w:asciiTheme="minorHAnsi" w:hAnsiTheme="minorHAnsi"/>
                <w:noProof/>
                <w:sz w:val="22"/>
                <w:szCs w:val="22"/>
                <w:lang w:val="en-AU" w:eastAsia="en-AU" w:bidi="ar-SA"/>
              </w:rPr>
              <w:tab/>
            </w:r>
            <w:r w:rsidR="002B1876" w:rsidRPr="00E579DA">
              <w:rPr>
                <w:rStyle w:val="Hyperlink"/>
                <w:noProof/>
              </w:rPr>
              <w:t>Other data sources (weather, rainfall)</w:t>
            </w:r>
            <w:r w:rsidR="002B1876">
              <w:rPr>
                <w:noProof/>
                <w:webHidden/>
              </w:rPr>
              <w:tab/>
            </w:r>
            <w:r w:rsidR="002B1876">
              <w:rPr>
                <w:noProof/>
                <w:webHidden/>
              </w:rPr>
              <w:fldChar w:fldCharType="begin"/>
            </w:r>
            <w:r w:rsidR="002B1876">
              <w:rPr>
                <w:noProof/>
                <w:webHidden/>
              </w:rPr>
              <w:instrText xml:space="preserve"> PAGEREF _Toc14435692 \h </w:instrText>
            </w:r>
            <w:r w:rsidR="002B1876">
              <w:rPr>
                <w:noProof/>
                <w:webHidden/>
              </w:rPr>
            </w:r>
            <w:r w:rsidR="002B1876">
              <w:rPr>
                <w:noProof/>
                <w:webHidden/>
              </w:rPr>
              <w:fldChar w:fldCharType="separate"/>
            </w:r>
            <w:r w:rsidR="00A94823">
              <w:rPr>
                <w:noProof/>
                <w:webHidden/>
              </w:rPr>
              <w:t>22</w:t>
            </w:r>
            <w:r w:rsidR="002B1876">
              <w:rPr>
                <w:noProof/>
                <w:webHidden/>
              </w:rPr>
              <w:fldChar w:fldCharType="end"/>
            </w:r>
          </w:hyperlink>
        </w:p>
        <w:p w14:paraId="225E3E49" w14:textId="77777777" w:rsidR="002B1876" w:rsidRDefault="00F41081">
          <w:pPr>
            <w:pStyle w:val="TOC1"/>
            <w:tabs>
              <w:tab w:val="left" w:pos="440"/>
              <w:tab w:val="right" w:leader="dot" w:pos="9016"/>
            </w:tabs>
            <w:rPr>
              <w:rFonts w:asciiTheme="minorHAnsi" w:hAnsiTheme="minorHAnsi"/>
              <w:b w:val="0"/>
              <w:bCs w:val="0"/>
              <w:noProof/>
              <w:szCs w:val="22"/>
              <w:lang w:val="en-AU" w:eastAsia="en-AU" w:bidi="ar-SA"/>
            </w:rPr>
          </w:pPr>
          <w:hyperlink w:anchor="_Toc14435693" w:history="1">
            <w:r w:rsidR="002B1876" w:rsidRPr="00E579DA">
              <w:rPr>
                <w:rStyle w:val="Hyperlink"/>
                <w:noProof/>
              </w:rPr>
              <w:t>3.</w:t>
            </w:r>
            <w:r w:rsidR="002B1876">
              <w:rPr>
                <w:rFonts w:asciiTheme="minorHAnsi" w:hAnsiTheme="minorHAnsi"/>
                <w:b w:val="0"/>
                <w:bCs w:val="0"/>
                <w:noProof/>
                <w:szCs w:val="22"/>
                <w:lang w:val="en-AU" w:eastAsia="en-AU" w:bidi="ar-SA"/>
              </w:rPr>
              <w:tab/>
            </w:r>
            <w:r w:rsidR="002B1876" w:rsidRPr="00E579DA">
              <w:rPr>
                <w:rStyle w:val="Hyperlink"/>
                <w:noProof/>
              </w:rPr>
              <w:t xml:space="preserve">Drivers and pressures influencing pesticide concentrations </w:t>
            </w:r>
            <w:r w:rsidR="002B1876" w:rsidRPr="00E579DA">
              <w:rPr>
                <w:rStyle w:val="Hyperlink"/>
                <w:noProof/>
                <w:lang w:val="en-GB"/>
              </w:rPr>
              <w:t>during 2017–18</w:t>
            </w:r>
            <w:r w:rsidR="002B1876">
              <w:rPr>
                <w:noProof/>
                <w:webHidden/>
              </w:rPr>
              <w:tab/>
            </w:r>
            <w:r w:rsidR="002B1876">
              <w:rPr>
                <w:noProof/>
                <w:webHidden/>
              </w:rPr>
              <w:fldChar w:fldCharType="begin"/>
            </w:r>
            <w:r w:rsidR="002B1876">
              <w:rPr>
                <w:noProof/>
                <w:webHidden/>
              </w:rPr>
              <w:instrText xml:space="preserve"> PAGEREF _Toc14435693 \h </w:instrText>
            </w:r>
            <w:r w:rsidR="002B1876">
              <w:rPr>
                <w:noProof/>
                <w:webHidden/>
              </w:rPr>
            </w:r>
            <w:r w:rsidR="002B1876">
              <w:rPr>
                <w:noProof/>
                <w:webHidden/>
              </w:rPr>
              <w:fldChar w:fldCharType="separate"/>
            </w:r>
            <w:r w:rsidR="00A94823">
              <w:rPr>
                <w:noProof/>
                <w:webHidden/>
              </w:rPr>
              <w:t>23</w:t>
            </w:r>
            <w:r w:rsidR="002B1876">
              <w:rPr>
                <w:noProof/>
                <w:webHidden/>
              </w:rPr>
              <w:fldChar w:fldCharType="end"/>
            </w:r>
          </w:hyperlink>
        </w:p>
        <w:p w14:paraId="14883503"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694" w:history="1">
            <w:r w:rsidR="002B1876" w:rsidRPr="00E579DA">
              <w:rPr>
                <w:rStyle w:val="Hyperlink"/>
                <w:noProof/>
              </w:rPr>
              <w:t>3.1</w:t>
            </w:r>
            <w:r w:rsidR="002B1876">
              <w:rPr>
                <w:rFonts w:asciiTheme="minorHAnsi" w:hAnsiTheme="minorHAnsi"/>
                <w:iCs w:val="0"/>
                <w:noProof/>
                <w:sz w:val="22"/>
                <w:szCs w:val="22"/>
                <w:lang w:val="en-AU" w:eastAsia="en-AU" w:bidi="ar-SA"/>
              </w:rPr>
              <w:tab/>
            </w:r>
            <w:r w:rsidR="002B1876" w:rsidRPr="00E579DA">
              <w:rPr>
                <w:rStyle w:val="Hyperlink"/>
                <w:noProof/>
              </w:rPr>
              <w:t>Land use</w:t>
            </w:r>
            <w:r w:rsidR="002B1876">
              <w:rPr>
                <w:noProof/>
                <w:webHidden/>
              </w:rPr>
              <w:tab/>
            </w:r>
            <w:r w:rsidR="002B1876">
              <w:rPr>
                <w:noProof/>
                <w:webHidden/>
              </w:rPr>
              <w:fldChar w:fldCharType="begin"/>
            </w:r>
            <w:r w:rsidR="002B1876">
              <w:rPr>
                <w:noProof/>
                <w:webHidden/>
              </w:rPr>
              <w:instrText xml:space="preserve"> PAGEREF _Toc14435694 \h </w:instrText>
            </w:r>
            <w:r w:rsidR="002B1876">
              <w:rPr>
                <w:noProof/>
                <w:webHidden/>
              </w:rPr>
            </w:r>
            <w:r w:rsidR="002B1876">
              <w:rPr>
                <w:noProof/>
                <w:webHidden/>
              </w:rPr>
              <w:fldChar w:fldCharType="separate"/>
            </w:r>
            <w:r w:rsidR="00A94823">
              <w:rPr>
                <w:noProof/>
                <w:webHidden/>
              </w:rPr>
              <w:t>23</w:t>
            </w:r>
            <w:r w:rsidR="002B1876">
              <w:rPr>
                <w:noProof/>
                <w:webHidden/>
              </w:rPr>
              <w:fldChar w:fldCharType="end"/>
            </w:r>
          </w:hyperlink>
        </w:p>
        <w:p w14:paraId="48667A4C"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695" w:history="1">
            <w:r w:rsidR="002B1876" w:rsidRPr="00E579DA">
              <w:rPr>
                <w:rStyle w:val="Hyperlink"/>
                <w:noProof/>
              </w:rPr>
              <w:t>3.2</w:t>
            </w:r>
            <w:r w:rsidR="002B1876">
              <w:rPr>
                <w:rFonts w:asciiTheme="minorHAnsi" w:hAnsiTheme="minorHAnsi"/>
                <w:iCs w:val="0"/>
                <w:noProof/>
                <w:sz w:val="22"/>
                <w:szCs w:val="22"/>
                <w:lang w:val="en-AU" w:eastAsia="en-AU" w:bidi="ar-SA"/>
              </w:rPr>
              <w:tab/>
            </w:r>
            <w:r w:rsidR="002B1876" w:rsidRPr="00E579DA">
              <w:rPr>
                <w:rStyle w:val="Hyperlink"/>
                <w:noProof/>
              </w:rPr>
              <w:t>Hydrological conditions in the Reef basins</w:t>
            </w:r>
            <w:r w:rsidR="002B1876">
              <w:rPr>
                <w:noProof/>
                <w:webHidden/>
              </w:rPr>
              <w:tab/>
            </w:r>
            <w:r w:rsidR="002B1876">
              <w:rPr>
                <w:noProof/>
                <w:webHidden/>
              </w:rPr>
              <w:fldChar w:fldCharType="begin"/>
            </w:r>
            <w:r w:rsidR="002B1876">
              <w:rPr>
                <w:noProof/>
                <w:webHidden/>
              </w:rPr>
              <w:instrText xml:space="preserve"> PAGEREF _Toc14435695 \h </w:instrText>
            </w:r>
            <w:r w:rsidR="002B1876">
              <w:rPr>
                <w:noProof/>
                <w:webHidden/>
              </w:rPr>
            </w:r>
            <w:r w:rsidR="002B1876">
              <w:rPr>
                <w:noProof/>
                <w:webHidden/>
              </w:rPr>
              <w:fldChar w:fldCharType="separate"/>
            </w:r>
            <w:r w:rsidR="00A94823">
              <w:rPr>
                <w:noProof/>
                <w:webHidden/>
              </w:rPr>
              <w:t>24</w:t>
            </w:r>
            <w:r w:rsidR="002B1876">
              <w:rPr>
                <w:noProof/>
                <w:webHidden/>
              </w:rPr>
              <w:fldChar w:fldCharType="end"/>
            </w:r>
          </w:hyperlink>
        </w:p>
        <w:p w14:paraId="1E6E9705"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96" w:history="1">
            <w:r w:rsidR="002B1876" w:rsidRPr="00E579DA">
              <w:rPr>
                <w:rStyle w:val="Hyperlink"/>
                <w:noProof/>
              </w:rPr>
              <w:t>3.2.1</w:t>
            </w:r>
            <w:r w:rsidR="002B1876">
              <w:rPr>
                <w:rFonts w:asciiTheme="minorHAnsi" w:hAnsiTheme="minorHAnsi"/>
                <w:noProof/>
                <w:sz w:val="22"/>
                <w:szCs w:val="22"/>
                <w:lang w:val="en-AU" w:eastAsia="en-AU" w:bidi="ar-SA"/>
              </w:rPr>
              <w:tab/>
            </w:r>
            <w:r w:rsidR="002B1876" w:rsidRPr="00E579DA">
              <w:rPr>
                <w:rStyle w:val="Hyperlink"/>
                <w:noProof/>
              </w:rPr>
              <w:t>Cyclones</w:t>
            </w:r>
            <w:r w:rsidR="002B1876">
              <w:rPr>
                <w:noProof/>
                <w:webHidden/>
              </w:rPr>
              <w:tab/>
            </w:r>
            <w:r w:rsidR="002B1876">
              <w:rPr>
                <w:noProof/>
                <w:webHidden/>
              </w:rPr>
              <w:fldChar w:fldCharType="begin"/>
            </w:r>
            <w:r w:rsidR="002B1876">
              <w:rPr>
                <w:noProof/>
                <w:webHidden/>
              </w:rPr>
              <w:instrText xml:space="preserve"> PAGEREF _Toc14435696 \h </w:instrText>
            </w:r>
            <w:r w:rsidR="002B1876">
              <w:rPr>
                <w:noProof/>
                <w:webHidden/>
              </w:rPr>
            </w:r>
            <w:r w:rsidR="002B1876">
              <w:rPr>
                <w:noProof/>
                <w:webHidden/>
              </w:rPr>
              <w:fldChar w:fldCharType="separate"/>
            </w:r>
            <w:r w:rsidR="00A94823">
              <w:rPr>
                <w:noProof/>
                <w:webHidden/>
              </w:rPr>
              <w:t>25</w:t>
            </w:r>
            <w:r w:rsidR="002B1876">
              <w:rPr>
                <w:noProof/>
                <w:webHidden/>
              </w:rPr>
              <w:fldChar w:fldCharType="end"/>
            </w:r>
          </w:hyperlink>
        </w:p>
        <w:p w14:paraId="13A45364"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97" w:history="1">
            <w:r w:rsidR="002B1876" w:rsidRPr="00E579DA">
              <w:rPr>
                <w:rStyle w:val="Hyperlink"/>
                <w:noProof/>
              </w:rPr>
              <w:t>3.2.2</w:t>
            </w:r>
            <w:r w:rsidR="002B1876">
              <w:rPr>
                <w:rFonts w:asciiTheme="minorHAnsi" w:hAnsiTheme="minorHAnsi"/>
                <w:noProof/>
                <w:sz w:val="22"/>
                <w:szCs w:val="22"/>
                <w:lang w:val="en-AU" w:eastAsia="en-AU" w:bidi="ar-SA"/>
              </w:rPr>
              <w:tab/>
            </w:r>
            <w:r w:rsidR="002B1876" w:rsidRPr="00E579DA">
              <w:rPr>
                <w:rStyle w:val="Hyperlink"/>
                <w:noProof/>
              </w:rPr>
              <w:t>Rainfall</w:t>
            </w:r>
            <w:r w:rsidR="002B1876">
              <w:rPr>
                <w:noProof/>
                <w:webHidden/>
              </w:rPr>
              <w:tab/>
            </w:r>
            <w:r w:rsidR="002B1876">
              <w:rPr>
                <w:noProof/>
                <w:webHidden/>
              </w:rPr>
              <w:fldChar w:fldCharType="begin"/>
            </w:r>
            <w:r w:rsidR="002B1876">
              <w:rPr>
                <w:noProof/>
                <w:webHidden/>
              </w:rPr>
              <w:instrText xml:space="preserve"> PAGEREF _Toc14435697 \h </w:instrText>
            </w:r>
            <w:r w:rsidR="002B1876">
              <w:rPr>
                <w:noProof/>
                <w:webHidden/>
              </w:rPr>
            </w:r>
            <w:r w:rsidR="002B1876">
              <w:rPr>
                <w:noProof/>
                <w:webHidden/>
              </w:rPr>
              <w:fldChar w:fldCharType="separate"/>
            </w:r>
            <w:r w:rsidR="00A94823">
              <w:rPr>
                <w:noProof/>
                <w:webHidden/>
              </w:rPr>
              <w:t>25</w:t>
            </w:r>
            <w:r w:rsidR="002B1876">
              <w:rPr>
                <w:noProof/>
                <w:webHidden/>
              </w:rPr>
              <w:fldChar w:fldCharType="end"/>
            </w:r>
          </w:hyperlink>
        </w:p>
        <w:p w14:paraId="221FDC20"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98" w:history="1">
            <w:r w:rsidR="002B1876" w:rsidRPr="00E579DA">
              <w:rPr>
                <w:rStyle w:val="Hyperlink"/>
                <w:noProof/>
              </w:rPr>
              <w:t>3.2.3</w:t>
            </w:r>
            <w:r w:rsidR="002B1876">
              <w:rPr>
                <w:rFonts w:asciiTheme="minorHAnsi" w:hAnsiTheme="minorHAnsi"/>
                <w:noProof/>
                <w:sz w:val="22"/>
                <w:szCs w:val="22"/>
                <w:lang w:val="en-AU" w:eastAsia="en-AU" w:bidi="ar-SA"/>
              </w:rPr>
              <w:tab/>
            </w:r>
            <w:r w:rsidR="002B1876" w:rsidRPr="00E579DA">
              <w:rPr>
                <w:rStyle w:val="Hyperlink"/>
                <w:noProof/>
              </w:rPr>
              <w:t>River discharge</w:t>
            </w:r>
            <w:r w:rsidR="002B1876">
              <w:rPr>
                <w:noProof/>
                <w:webHidden/>
              </w:rPr>
              <w:tab/>
            </w:r>
            <w:r w:rsidR="002B1876">
              <w:rPr>
                <w:noProof/>
                <w:webHidden/>
              </w:rPr>
              <w:fldChar w:fldCharType="begin"/>
            </w:r>
            <w:r w:rsidR="002B1876">
              <w:rPr>
                <w:noProof/>
                <w:webHidden/>
              </w:rPr>
              <w:instrText xml:space="preserve"> PAGEREF _Toc14435698 \h </w:instrText>
            </w:r>
            <w:r w:rsidR="002B1876">
              <w:rPr>
                <w:noProof/>
                <w:webHidden/>
              </w:rPr>
            </w:r>
            <w:r w:rsidR="002B1876">
              <w:rPr>
                <w:noProof/>
                <w:webHidden/>
              </w:rPr>
              <w:fldChar w:fldCharType="separate"/>
            </w:r>
            <w:r w:rsidR="00A94823">
              <w:rPr>
                <w:noProof/>
                <w:webHidden/>
              </w:rPr>
              <w:t>27</w:t>
            </w:r>
            <w:r w:rsidR="002B1876">
              <w:rPr>
                <w:noProof/>
                <w:webHidden/>
              </w:rPr>
              <w:fldChar w:fldCharType="end"/>
            </w:r>
          </w:hyperlink>
        </w:p>
        <w:p w14:paraId="3B4C8554"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699" w:history="1">
            <w:r w:rsidR="002B1876" w:rsidRPr="00E579DA">
              <w:rPr>
                <w:rStyle w:val="Hyperlink"/>
                <w:noProof/>
              </w:rPr>
              <w:t>3.2.4</w:t>
            </w:r>
            <w:r w:rsidR="002B1876">
              <w:rPr>
                <w:rFonts w:asciiTheme="minorHAnsi" w:hAnsiTheme="minorHAnsi"/>
                <w:noProof/>
                <w:sz w:val="22"/>
                <w:szCs w:val="22"/>
                <w:lang w:val="en-AU" w:eastAsia="en-AU" w:bidi="ar-SA"/>
              </w:rPr>
              <w:tab/>
            </w:r>
            <w:r w:rsidR="002B1876" w:rsidRPr="00E579DA">
              <w:rPr>
                <w:rStyle w:val="Hyperlink"/>
                <w:noProof/>
              </w:rPr>
              <w:t>End-of-basin pesticide monitoring</w:t>
            </w:r>
            <w:r w:rsidR="002B1876">
              <w:rPr>
                <w:noProof/>
                <w:webHidden/>
              </w:rPr>
              <w:tab/>
            </w:r>
            <w:r w:rsidR="002B1876">
              <w:rPr>
                <w:noProof/>
                <w:webHidden/>
              </w:rPr>
              <w:fldChar w:fldCharType="begin"/>
            </w:r>
            <w:r w:rsidR="002B1876">
              <w:rPr>
                <w:noProof/>
                <w:webHidden/>
              </w:rPr>
              <w:instrText xml:space="preserve"> PAGEREF _Toc14435699 \h </w:instrText>
            </w:r>
            <w:r w:rsidR="002B1876">
              <w:rPr>
                <w:noProof/>
                <w:webHidden/>
              </w:rPr>
            </w:r>
            <w:r w:rsidR="002B1876">
              <w:rPr>
                <w:noProof/>
                <w:webHidden/>
              </w:rPr>
              <w:fldChar w:fldCharType="separate"/>
            </w:r>
            <w:r w:rsidR="00A94823">
              <w:rPr>
                <w:noProof/>
                <w:webHidden/>
              </w:rPr>
              <w:t>29</w:t>
            </w:r>
            <w:r w:rsidR="002B1876">
              <w:rPr>
                <w:noProof/>
                <w:webHidden/>
              </w:rPr>
              <w:fldChar w:fldCharType="end"/>
            </w:r>
          </w:hyperlink>
        </w:p>
        <w:p w14:paraId="01A3A8DB" w14:textId="77777777" w:rsidR="002B1876" w:rsidRDefault="00F41081">
          <w:pPr>
            <w:pStyle w:val="TOC1"/>
            <w:tabs>
              <w:tab w:val="left" w:pos="440"/>
              <w:tab w:val="right" w:leader="dot" w:pos="9016"/>
            </w:tabs>
            <w:rPr>
              <w:rFonts w:asciiTheme="minorHAnsi" w:hAnsiTheme="minorHAnsi"/>
              <w:b w:val="0"/>
              <w:bCs w:val="0"/>
              <w:noProof/>
              <w:szCs w:val="22"/>
              <w:lang w:val="en-AU" w:eastAsia="en-AU" w:bidi="ar-SA"/>
            </w:rPr>
          </w:pPr>
          <w:hyperlink w:anchor="_Toc14435700" w:history="1">
            <w:r w:rsidR="002B1876" w:rsidRPr="00E579DA">
              <w:rPr>
                <w:rStyle w:val="Hyperlink"/>
                <w:noProof/>
              </w:rPr>
              <w:t>4.</w:t>
            </w:r>
            <w:r w:rsidR="002B1876">
              <w:rPr>
                <w:rFonts w:asciiTheme="minorHAnsi" w:hAnsiTheme="minorHAnsi"/>
                <w:b w:val="0"/>
                <w:bCs w:val="0"/>
                <w:noProof/>
                <w:szCs w:val="22"/>
                <w:lang w:val="en-AU" w:eastAsia="en-AU" w:bidi="ar-SA"/>
              </w:rPr>
              <w:tab/>
            </w:r>
            <w:r w:rsidR="002B1876" w:rsidRPr="00E579DA">
              <w:rPr>
                <w:rStyle w:val="Hyperlink"/>
                <w:noProof/>
              </w:rPr>
              <w:t>Pesticides detected in marine waters</w:t>
            </w:r>
            <w:r w:rsidR="002B1876">
              <w:rPr>
                <w:noProof/>
                <w:webHidden/>
              </w:rPr>
              <w:tab/>
            </w:r>
            <w:r w:rsidR="002B1876">
              <w:rPr>
                <w:noProof/>
                <w:webHidden/>
              </w:rPr>
              <w:fldChar w:fldCharType="begin"/>
            </w:r>
            <w:r w:rsidR="002B1876">
              <w:rPr>
                <w:noProof/>
                <w:webHidden/>
              </w:rPr>
              <w:instrText xml:space="preserve"> PAGEREF _Toc14435700 \h </w:instrText>
            </w:r>
            <w:r w:rsidR="002B1876">
              <w:rPr>
                <w:noProof/>
                <w:webHidden/>
              </w:rPr>
            </w:r>
            <w:r w:rsidR="002B1876">
              <w:rPr>
                <w:noProof/>
                <w:webHidden/>
              </w:rPr>
              <w:fldChar w:fldCharType="separate"/>
            </w:r>
            <w:r w:rsidR="00A94823">
              <w:rPr>
                <w:noProof/>
                <w:webHidden/>
              </w:rPr>
              <w:t>30</w:t>
            </w:r>
            <w:r w:rsidR="002B1876">
              <w:rPr>
                <w:noProof/>
                <w:webHidden/>
              </w:rPr>
              <w:fldChar w:fldCharType="end"/>
            </w:r>
          </w:hyperlink>
        </w:p>
        <w:p w14:paraId="7E919C04"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701" w:history="1">
            <w:r w:rsidR="002B1876" w:rsidRPr="00E579DA">
              <w:rPr>
                <w:rStyle w:val="Hyperlink"/>
                <w:noProof/>
              </w:rPr>
              <w:t>4.1</w:t>
            </w:r>
            <w:r w:rsidR="002B1876">
              <w:rPr>
                <w:rFonts w:asciiTheme="minorHAnsi" w:hAnsiTheme="minorHAnsi"/>
                <w:iCs w:val="0"/>
                <w:noProof/>
                <w:sz w:val="22"/>
                <w:szCs w:val="22"/>
                <w:lang w:val="en-AU" w:eastAsia="en-AU" w:bidi="ar-SA"/>
              </w:rPr>
              <w:tab/>
            </w:r>
            <w:r w:rsidR="002B1876" w:rsidRPr="00E579DA">
              <w:rPr>
                <w:rStyle w:val="Hyperlink"/>
                <w:noProof/>
              </w:rPr>
              <w:t>Frequency of pesticide detections</w:t>
            </w:r>
            <w:r w:rsidR="002B1876">
              <w:rPr>
                <w:noProof/>
                <w:webHidden/>
              </w:rPr>
              <w:tab/>
            </w:r>
            <w:r w:rsidR="002B1876">
              <w:rPr>
                <w:noProof/>
                <w:webHidden/>
              </w:rPr>
              <w:fldChar w:fldCharType="begin"/>
            </w:r>
            <w:r w:rsidR="002B1876">
              <w:rPr>
                <w:noProof/>
                <w:webHidden/>
              </w:rPr>
              <w:instrText xml:space="preserve"> PAGEREF _Toc14435701 \h </w:instrText>
            </w:r>
            <w:r w:rsidR="002B1876">
              <w:rPr>
                <w:noProof/>
                <w:webHidden/>
              </w:rPr>
            </w:r>
            <w:r w:rsidR="002B1876">
              <w:rPr>
                <w:noProof/>
                <w:webHidden/>
              </w:rPr>
              <w:fldChar w:fldCharType="separate"/>
            </w:r>
            <w:r w:rsidR="00A94823">
              <w:rPr>
                <w:noProof/>
                <w:webHidden/>
              </w:rPr>
              <w:t>30</w:t>
            </w:r>
            <w:r w:rsidR="002B1876">
              <w:rPr>
                <w:noProof/>
                <w:webHidden/>
              </w:rPr>
              <w:fldChar w:fldCharType="end"/>
            </w:r>
          </w:hyperlink>
        </w:p>
        <w:p w14:paraId="331B4A14"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702" w:history="1">
            <w:r w:rsidR="002B1876" w:rsidRPr="00E579DA">
              <w:rPr>
                <w:rStyle w:val="Hyperlink"/>
                <w:noProof/>
              </w:rPr>
              <w:t>4.2</w:t>
            </w:r>
            <w:r w:rsidR="002B1876">
              <w:rPr>
                <w:rFonts w:asciiTheme="minorHAnsi" w:hAnsiTheme="minorHAnsi"/>
                <w:iCs w:val="0"/>
                <w:noProof/>
                <w:sz w:val="22"/>
                <w:szCs w:val="22"/>
                <w:lang w:val="en-AU" w:eastAsia="en-AU" w:bidi="ar-SA"/>
              </w:rPr>
              <w:tab/>
            </w:r>
            <w:r w:rsidR="002B1876" w:rsidRPr="00E579DA">
              <w:rPr>
                <w:rStyle w:val="Hyperlink"/>
                <w:noProof/>
              </w:rPr>
              <w:t>Summary of pesticide concentrations in 2017–18</w:t>
            </w:r>
            <w:r w:rsidR="002B1876">
              <w:rPr>
                <w:noProof/>
                <w:webHidden/>
              </w:rPr>
              <w:tab/>
            </w:r>
            <w:r w:rsidR="002B1876">
              <w:rPr>
                <w:noProof/>
                <w:webHidden/>
              </w:rPr>
              <w:fldChar w:fldCharType="begin"/>
            </w:r>
            <w:r w:rsidR="002B1876">
              <w:rPr>
                <w:noProof/>
                <w:webHidden/>
              </w:rPr>
              <w:instrText xml:space="preserve"> PAGEREF _Toc14435702 \h </w:instrText>
            </w:r>
            <w:r w:rsidR="002B1876">
              <w:rPr>
                <w:noProof/>
                <w:webHidden/>
              </w:rPr>
            </w:r>
            <w:r w:rsidR="002B1876">
              <w:rPr>
                <w:noProof/>
                <w:webHidden/>
              </w:rPr>
              <w:fldChar w:fldCharType="separate"/>
            </w:r>
            <w:r w:rsidR="00A94823">
              <w:rPr>
                <w:noProof/>
                <w:webHidden/>
              </w:rPr>
              <w:t>31</w:t>
            </w:r>
            <w:r w:rsidR="002B1876">
              <w:rPr>
                <w:noProof/>
                <w:webHidden/>
              </w:rPr>
              <w:fldChar w:fldCharType="end"/>
            </w:r>
          </w:hyperlink>
        </w:p>
        <w:p w14:paraId="38F5B39D"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703" w:history="1">
            <w:r w:rsidR="002B1876" w:rsidRPr="00E579DA">
              <w:rPr>
                <w:rStyle w:val="Hyperlink"/>
                <w:noProof/>
              </w:rPr>
              <w:t>4.3</w:t>
            </w:r>
            <w:r w:rsidR="002B1876">
              <w:rPr>
                <w:rFonts w:asciiTheme="minorHAnsi" w:hAnsiTheme="minorHAnsi"/>
                <w:iCs w:val="0"/>
                <w:noProof/>
                <w:sz w:val="22"/>
                <w:szCs w:val="22"/>
                <w:lang w:val="en-AU" w:eastAsia="en-AU" w:bidi="ar-SA"/>
              </w:rPr>
              <w:tab/>
            </w:r>
            <w:r w:rsidR="002B1876" w:rsidRPr="00E579DA">
              <w:rPr>
                <w:rStyle w:val="Hyperlink"/>
                <w:noProof/>
              </w:rPr>
              <w:t>Comparison to guideline values</w:t>
            </w:r>
            <w:r w:rsidR="002B1876">
              <w:rPr>
                <w:noProof/>
                <w:webHidden/>
              </w:rPr>
              <w:tab/>
            </w:r>
            <w:r w:rsidR="002B1876">
              <w:rPr>
                <w:noProof/>
                <w:webHidden/>
              </w:rPr>
              <w:fldChar w:fldCharType="begin"/>
            </w:r>
            <w:r w:rsidR="002B1876">
              <w:rPr>
                <w:noProof/>
                <w:webHidden/>
              </w:rPr>
              <w:instrText xml:space="preserve"> PAGEREF _Toc14435703 \h </w:instrText>
            </w:r>
            <w:r w:rsidR="002B1876">
              <w:rPr>
                <w:noProof/>
                <w:webHidden/>
              </w:rPr>
            </w:r>
            <w:r w:rsidR="002B1876">
              <w:rPr>
                <w:noProof/>
                <w:webHidden/>
              </w:rPr>
              <w:fldChar w:fldCharType="separate"/>
            </w:r>
            <w:r w:rsidR="00A94823">
              <w:rPr>
                <w:noProof/>
                <w:webHidden/>
              </w:rPr>
              <w:t>32</w:t>
            </w:r>
            <w:r w:rsidR="002B1876">
              <w:rPr>
                <w:noProof/>
                <w:webHidden/>
              </w:rPr>
              <w:fldChar w:fldCharType="end"/>
            </w:r>
          </w:hyperlink>
        </w:p>
        <w:p w14:paraId="44F8596A"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704" w:history="1">
            <w:r w:rsidR="002B1876" w:rsidRPr="00E579DA">
              <w:rPr>
                <w:rStyle w:val="Hyperlink"/>
                <w:noProof/>
              </w:rPr>
              <w:t>4.4</w:t>
            </w:r>
            <w:r w:rsidR="002B1876">
              <w:rPr>
                <w:rFonts w:asciiTheme="minorHAnsi" w:hAnsiTheme="minorHAnsi"/>
                <w:iCs w:val="0"/>
                <w:noProof/>
                <w:sz w:val="22"/>
                <w:szCs w:val="22"/>
                <w:lang w:val="en-AU" w:eastAsia="en-AU" w:bidi="ar-SA"/>
              </w:rPr>
              <w:tab/>
            </w:r>
            <w:r w:rsidR="002B1876" w:rsidRPr="00E579DA">
              <w:rPr>
                <w:rStyle w:val="Hyperlink"/>
                <w:noProof/>
              </w:rPr>
              <w:t>Comparison to previous years: trends in pesticide concentrations</w:t>
            </w:r>
            <w:r w:rsidR="002B1876">
              <w:rPr>
                <w:noProof/>
                <w:webHidden/>
              </w:rPr>
              <w:tab/>
            </w:r>
            <w:r w:rsidR="002B1876">
              <w:rPr>
                <w:noProof/>
                <w:webHidden/>
              </w:rPr>
              <w:fldChar w:fldCharType="begin"/>
            </w:r>
            <w:r w:rsidR="002B1876">
              <w:rPr>
                <w:noProof/>
                <w:webHidden/>
              </w:rPr>
              <w:instrText xml:space="preserve"> PAGEREF _Toc14435704 \h </w:instrText>
            </w:r>
            <w:r w:rsidR="002B1876">
              <w:rPr>
                <w:noProof/>
                <w:webHidden/>
              </w:rPr>
            </w:r>
            <w:r w:rsidR="002B1876">
              <w:rPr>
                <w:noProof/>
                <w:webHidden/>
              </w:rPr>
              <w:fldChar w:fldCharType="separate"/>
            </w:r>
            <w:r w:rsidR="00A94823">
              <w:rPr>
                <w:noProof/>
                <w:webHidden/>
              </w:rPr>
              <w:t>32</w:t>
            </w:r>
            <w:r w:rsidR="002B1876">
              <w:rPr>
                <w:noProof/>
                <w:webHidden/>
              </w:rPr>
              <w:fldChar w:fldCharType="end"/>
            </w:r>
          </w:hyperlink>
        </w:p>
        <w:p w14:paraId="068B0703" w14:textId="77777777" w:rsidR="002B1876" w:rsidRDefault="00F41081">
          <w:pPr>
            <w:pStyle w:val="TOC1"/>
            <w:tabs>
              <w:tab w:val="left" w:pos="440"/>
              <w:tab w:val="right" w:leader="dot" w:pos="9016"/>
            </w:tabs>
            <w:rPr>
              <w:rFonts w:asciiTheme="minorHAnsi" w:hAnsiTheme="minorHAnsi"/>
              <w:b w:val="0"/>
              <w:bCs w:val="0"/>
              <w:noProof/>
              <w:szCs w:val="22"/>
              <w:lang w:val="en-AU" w:eastAsia="en-AU" w:bidi="ar-SA"/>
            </w:rPr>
          </w:pPr>
          <w:hyperlink w:anchor="_Toc14435705" w:history="1">
            <w:r w:rsidR="002B1876" w:rsidRPr="00E579DA">
              <w:rPr>
                <w:rStyle w:val="Hyperlink"/>
                <w:noProof/>
              </w:rPr>
              <w:t>5.</w:t>
            </w:r>
            <w:r w:rsidR="002B1876">
              <w:rPr>
                <w:rFonts w:asciiTheme="minorHAnsi" w:hAnsiTheme="minorHAnsi"/>
                <w:b w:val="0"/>
                <w:bCs w:val="0"/>
                <w:noProof/>
                <w:szCs w:val="22"/>
                <w:lang w:val="en-AU" w:eastAsia="en-AU" w:bidi="ar-SA"/>
              </w:rPr>
              <w:tab/>
            </w:r>
            <w:r w:rsidR="002B1876" w:rsidRPr="00E579DA">
              <w:rPr>
                <w:rStyle w:val="Hyperlink"/>
                <w:noProof/>
              </w:rPr>
              <w:t>Regional results</w:t>
            </w:r>
            <w:r w:rsidR="002B1876">
              <w:rPr>
                <w:noProof/>
                <w:webHidden/>
              </w:rPr>
              <w:tab/>
            </w:r>
            <w:r w:rsidR="002B1876">
              <w:rPr>
                <w:noProof/>
                <w:webHidden/>
              </w:rPr>
              <w:fldChar w:fldCharType="begin"/>
            </w:r>
            <w:r w:rsidR="002B1876">
              <w:rPr>
                <w:noProof/>
                <w:webHidden/>
              </w:rPr>
              <w:instrText xml:space="preserve"> PAGEREF _Toc14435705 \h </w:instrText>
            </w:r>
            <w:r w:rsidR="002B1876">
              <w:rPr>
                <w:noProof/>
                <w:webHidden/>
              </w:rPr>
            </w:r>
            <w:r w:rsidR="002B1876">
              <w:rPr>
                <w:noProof/>
                <w:webHidden/>
              </w:rPr>
              <w:fldChar w:fldCharType="separate"/>
            </w:r>
            <w:r w:rsidR="00A94823">
              <w:rPr>
                <w:noProof/>
                <w:webHidden/>
              </w:rPr>
              <w:t>37</w:t>
            </w:r>
            <w:r w:rsidR="002B1876">
              <w:rPr>
                <w:noProof/>
                <w:webHidden/>
              </w:rPr>
              <w:fldChar w:fldCharType="end"/>
            </w:r>
          </w:hyperlink>
        </w:p>
        <w:p w14:paraId="1E98A6DA"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706" w:history="1">
            <w:r w:rsidR="002B1876" w:rsidRPr="00E579DA">
              <w:rPr>
                <w:rStyle w:val="Hyperlink"/>
                <w:noProof/>
              </w:rPr>
              <w:t>5.1</w:t>
            </w:r>
            <w:r w:rsidR="002B1876">
              <w:rPr>
                <w:rFonts w:asciiTheme="minorHAnsi" w:hAnsiTheme="minorHAnsi"/>
                <w:iCs w:val="0"/>
                <w:noProof/>
                <w:sz w:val="22"/>
                <w:szCs w:val="22"/>
                <w:lang w:val="en-AU" w:eastAsia="en-AU" w:bidi="ar-SA"/>
              </w:rPr>
              <w:tab/>
            </w:r>
            <w:r w:rsidR="002B1876" w:rsidRPr="00E579DA">
              <w:rPr>
                <w:rStyle w:val="Hyperlink"/>
                <w:noProof/>
              </w:rPr>
              <w:t>Wet Tropics Region</w:t>
            </w:r>
            <w:r w:rsidR="002B1876">
              <w:rPr>
                <w:noProof/>
                <w:webHidden/>
              </w:rPr>
              <w:tab/>
            </w:r>
            <w:r w:rsidR="002B1876">
              <w:rPr>
                <w:noProof/>
                <w:webHidden/>
              </w:rPr>
              <w:fldChar w:fldCharType="begin"/>
            </w:r>
            <w:r w:rsidR="002B1876">
              <w:rPr>
                <w:noProof/>
                <w:webHidden/>
              </w:rPr>
              <w:instrText xml:space="preserve"> PAGEREF _Toc14435706 \h </w:instrText>
            </w:r>
            <w:r w:rsidR="002B1876">
              <w:rPr>
                <w:noProof/>
                <w:webHidden/>
              </w:rPr>
            </w:r>
            <w:r w:rsidR="002B1876">
              <w:rPr>
                <w:noProof/>
                <w:webHidden/>
              </w:rPr>
              <w:fldChar w:fldCharType="separate"/>
            </w:r>
            <w:r w:rsidR="00A94823">
              <w:rPr>
                <w:noProof/>
                <w:webHidden/>
              </w:rPr>
              <w:t>37</w:t>
            </w:r>
            <w:r w:rsidR="002B1876">
              <w:rPr>
                <w:noProof/>
                <w:webHidden/>
              </w:rPr>
              <w:fldChar w:fldCharType="end"/>
            </w:r>
          </w:hyperlink>
        </w:p>
        <w:p w14:paraId="6145CBD7"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07" w:history="1">
            <w:r w:rsidR="002B1876" w:rsidRPr="00E579DA">
              <w:rPr>
                <w:rStyle w:val="Hyperlink"/>
                <w:noProof/>
              </w:rPr>
              <w:t>5.1.1</w:t>
            </w:r>
            <w:r w:rsidR="002B1876">
              <w:rPr>
                <w:rFonts w:asciiTheme="minorHAnsi" w:hAnsiTheme="minorHAnsi"/>
                <w:noProof/>
                <w:sz w:val="22"/>
                <w:szCs w:val="22"/>
                <w:lang w:val="en-AU" w:eastAsia="en-AU" w:bidi="ar-SA"/>
              </w:rPr>
              <w:tab/>
            </w:r>
            <w:r w:rsidR="002B1876" w:rsidRPr="00E579DA">
              <w:rPr>
                <w:rStyle w:val="Hyperlink"/>
                <w:noProof/>
              </w:rPr>
              <w:t>Low Isles</w:t>
            </w:r>
            <w:r w:rsidR="002B1876">
              <w:rPr>
                <w:noProof/>
                <w:webHidden/>
              </w:rPr>
              <w:tab/>
            </w:r>
            <w:r w:rsidR="002B1876">
              <w:rPr>
                <w:noProof/>
                <w:webHidden/>
              </w:rPr>
              <w:fldChar w:fldCharType="begin"/>
            </w:r>
            <w:r w:rsidR="002B1876">
              <w:rPr>
                <w:noProof/>
                <w:webHidden/>
              </w:rPr>
              <w:instrText xml:space="preserve"> PAGEREF _Toc14435707 \h </w:instrText>
            </w:r>
            <w:r w:rsidR="002B1876">
              <w:rPr>
                <w:noProof/>
                <w:webHidden/>
              </w:rPr>
            </w:r>
            <w:r w:rsidR="002B1876">
              <w:rPr>
                <w:noProof/>
                <w:webHidden/>
              </w:rPr>
              <w:fldChar w:fldCharType="separate"/>
            </w:r>
            <w:r w:rsidR="00A94823">
              <w:rPr>
                <w:noProof/>
                <w:webHidden/>
              </w:rPr>
              <w:t>37</w:t>
            </w:r>
            <w:r w:rsidR="002B1876">
              <w:rPr>
                <w:noProof/>
                <w:webHidden/>
              </w:rPr>
              <w:fldChar w:fldCharType="end"/>
            </w:r>
          </w:hyperlink>
        </w:p>
        <w:p w14:paraId="4DA9DE5B"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08" w:history="1">
            <w:r w:rsidR="002B1876" w:rsidRPr="00E579DA">
              <w:rPr>
                <w:rStyle w:val="Hyperlink"/>
                <w:noProof/>
              </w:rPr>
              <w:t>5.1.2</w:t>
            </w:r>
            <w:r w:rsidR="002B1876">
              <w:rPr>
                <w:rFonts w:asciiTheme="minorHAnsi" w:hAnsiTheme="minorHAnsi"/>
                <w:noProof/>
                <w:sz w:val="22"/>
                <w:szCs w:val="22"/>
                <w:lang w:val="en-AU" w:eastAsia="en-AU" w:bidi="ar-SA"/>
              </w:rPr>
              <w:tab/>
            </w:r>
            <w:r w:rsidR="002B1876" w:rsidRPr="00E579DA">
              <w:rPr>
                <w:rStyle w:val="Hyperlink"/>
                <w:noProof/>
              </w:rPr>
              <w:t>High Island</w:t>
            </w:r>
            <w:r w:rsidR="002B1876">
              <w:rPr>
                <w:noProof/>
                <w:webHidden/>
              </w:rPr>
              <w:tab/>
            </w:r>
            <w:r w:rsidR="002B1876">
              <w:rPr>
                <w:noProof/>
                <w:webHidden/>
              </w:rPr>
              <w:fldChar w:fldCharType="begin"/>
            </w:r>
            <w:r w:rsidR="002B1876">
              <w:rPr>
                <w:noProof/>
                <w:webHidden/>
              </w:rPr>
              <w:instrText xml:space="preserve"> PAGEREF _Toc14435708 \h </w:instrText>
            </w:r>
            <w:r w:rsidR="002B1876">
              <w:rPr>
                <w:noProof/>
                <w:webHidden/>
              </w:rPr>
            </w:r>
            <w:r w:rsidR="002B1876">
              <w:rPr>
                <w:noProof/>
                <w:webHidden/>
              </w:rPr>
              <w:fldChar w:fldCharType="separate"/>
            </w:r>
            <w:r w:rsidR="00A94823">
              <w:rPr>
                <w:noProof/>
                <w:webHidden/>
              </w:rPr>
              <w:t>38</w:t>
            </w:r>
            <w:r w:rsidR="002B1876">
              <w:rPr>
                <w:noProof/>
                <w:webHidden/>
              </w:rPr>
              <w:fldChar w:fldCharType="end"/>
            </w:r>
          </w:hyperlink>
        </w:p>
        <w:p w14:paraId="08C42E71"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09" w:history="1">
            <w:r w:rsidR="002B1876" w:rsidRPr="00E579DA">
              <w:rPr>
                <w:rStyle w:val="Hyperlink"/>
                <w:noProof/>
              </w:rPr>
              <w:t>5.1.3</w:t>
            </w:r>
            <w:r w:rsidR="002B1876">
              <w:rPr>
                <w:rFonts w:asciiTheme="minorHAnsi" w:hAnsiTheme="minorHAnsi"/>
                <w:noProof/>
                <w:sz w:val="22"/>
                <w:szCs w:val="22"/>
                <w:lang w:val="en-AU" w:eastAsia="en-AU" w:bidi="ar-SA"/>
              </w:rPr>
              <w:tab/>
            </w:r>
            <w:r w:rsidR="002B1876" w:rsidRPr="00E579DA">
              <w:rPr>
                <w:rStyle w:val="Hyperlink"/>
                <w:noProof/>
              </w:rPr>
              <w:t>Normanby Island</w:t>
            </w:r>
            <w:r w:rsidR="002B1876">
              <w:rPr>
                <w:noProof/>
                <w:webHidden/>
              </w:rPr>
              <w:tab/>
            </w:r>
            <w:r w:rsidR="002B1876">
              <w:rPr>
                <w:noProof/>
                <w:webHidden/>
              </w:rPr>
              <w:fldChar w:fldCharType="begin"/>
            </w:r>
            <w:r w:rsidR="002B1876">
              <w:rPr>
                <w:noProof/>
                <w:webHidden/>
              </w:rPr>
              <w:instrText xml:space="preserve"> PAGEREF _Toc14435709 \h </w:instrText>
            </w:r>
            <w:r w:rsidR="002B1876">
              <w:rPr>
                <w:noProof/>
                <w:webHidden/>
              </w:rPr>
            </w:r>
            <w:r w:rsidR="002B1876">
              <w:rPr>
                <w:noProof/>
                <w:webHidden/>
              </w:rPr>
              <w:fldChar w:fldCharType="separate"/>
            </w:r>
            <w:r w:rsidR="00A94823">
              <w:rPr>
                <w:noProof/>
                <w:webHidden/>
              </w:rPr>
              <w:t>39</w:t>
            </w:r>
            <w:r w:rsidR="002B1876">
              <w:rPr>
                <w:noProof/>
                <w:webHidden/>
              </w:rPr>
              <w:fldChar w:fldCharType="end"/>
            </w:r>
          </w:hyperlink>
        </w:p>
        <w:p w14:paraId="69364F4F"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10" w:history="1">
            <w:r w:rsidR="002B1876" w:rsidRPr="00E579DA">
              <w:rPr>
                <w:rStyle w:val="Hyperlink"/>
                <w:noProof/>
              </w:rPr>
              <w:t>5.1.4</w:t>
            </w:r>
            <w:r w:rsidR="002B1876">
              <w:rPr>
                <w:rFonts w:asciiTheme="minorHAnsi" w:hAnsiTheme="minorHAnsi"/>
                <w:noProof/>
                <w:sz w:val="22"/>
                <w:szCs w:val="22"/>
                <w:lang w:val="en-AU" w:eastAsia="en-AU" w:bidi="ar-SA"/>
              </w:rPr>
              <w:tab/>
            </w:r>
            <w:r w:rsidR="002B1876" w:rsidRPr="00E579DA">
              <w:rPr>
                <w:rStyle w:val="Hyperlink"/>
                <w:noProof/>
              </w:rPr>
              <w:t>Dunk Island</w:t>
            </w:r>
            <w:r w:rsidR="002B1876">
              <w:rPr>
                <w:noProof/>
                <w:webHidden/>
              </w:rPr>
              <w:tab/>
            </w:r>
            <w:r w:rsidR="002B1876">
              <w:rPr>
                <w:noProof/>
                <w:webHidden/>
              </w:rPr>
              <w:fldChar w:fldCharType="begin"/>
            </w:r>
            <w:r w:rsidR="002B1876">
              <w:rPr>
                <w:noProof/>
                <w:webHidden/>
              </w:rPr>
              <w:instrText xml:space="preserve"> PAGEREF _Toc14435710 \h </w:instrText>
            </w:r>
            <w:r w:rsidR="002B1876">
              <w:rPr>
                <w:noProof/>
                <w:webHidden/>
              </w:rPr>
            </w:r>
            <w:r w:rsidR="002B1876">
              <w:rPr>
                <w:noProof/>
                <w:webHidden/>
              </w:rPr>
              <w:fldChar w:fldCharType="separate"/>
            </w:r>
            <w:r w:rsidR="00A94823">
              <w:rPr>
                <w:noProof/>
                <w:webHidden/>
              </w:rPr>
              <w:t>40</w:t>
            </w:r>
            <w:r w:rsidR="002B1876">
              <w:rPr>
                <w:noProof/>
                <w:webHidden/>
              </w:rPr>
              <w:fldChar w:fldCharType="end"/>
            </w:r>
          </w:hyperlink>
        </w:p>
        <w:p w14:paraId="638D749F"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11" w:history="1">
            <w:r w:rsidR="002B1876" w:rsidRPr="00E579DA">
              <w:rPr>
                <w:rStyle w:val="Hyperlink"/>
                <w:noProof/>
              </w:rPr>
              <w:t>5.1.5</w:t>
            </w:r>
            <w:r w:rsidR="002B1876">
              <w:rPr>
                <w:rFonts w:asciiTheme="minorHAnsi" w:hAnsiTheme="minorHAnsi"/>
                <w:noProof/>
                <w:sz w:val="22"/>
                <w:szCs w:val="22"/>
                <w:lang w:val="en-AU" w:eastAsia="en-AU" w:bidi="ar-SA"/>
              </w:rPr>
              <w:tab/>
            </w:r>
            <w:r w:rsidR="002B1876" w:rsidRPr="00E579DA">
              <w:rPr>
                <w:rStyle w:val="Hyperlink"/>
                <w:noProof/>
              </w:rPr>
              <w:t>Lucinda</w:t>
            </w:r>
            <w:r w:rsidR="002B1876">
              <w:rPr>
                <w:noProof/>
                <w:webHidden/>
              </w:rPr>
              <w:tab/>
            </w:r>
            <w:r w:rsidR="002B1876">
              <w:rPr>
                <w:noProof/>
                <w:webHidden/>
              </w:rPr>
              <w:fldChar w:fldCharType="begin"/>
            </w:r>
            <w:r w:rsidR="002B1876">
              <w:rPr>
                <w:noProof/>
                <w:webHidden/>
              </w:rPr>
              <w:instrText xml:space="preserve"> PAGEREF _Toc14435711 \h </w:instrText>
            </w:r>
            <w:r w:rsidR="002B1876">
              <w:rPr>
                <w:noProof/>
                <w:webHidden/>
              </w:rPr>
            </w:r>
            <w:r w:rsidR="002B1876">
              <w:rPr>
                <w:noProof/>
                <w:webHidden/>
              </w:rPr>
              <w:fldChar w:fldCharType="separate"/>
            </w:r>
            <w:r w:rsidR="00A94823">
              <w:rPr>
                <w:noProof/>
                <w:webHidden/>
              </w:rPr>
              <w:t>42</w:t>
            </w:r>
            <w:r w:rsidR="002B1876">
              <w:rPr>
                <w:noProof/>
                <w:webHidden/>
              </w:rPr>
              <w:fldChar w:fldCharType="end"/>
            </w:r>
          </w:hyperlink>
        </w:p>
        <w:p w14:paraId="44BFD952"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12" w:history="1">
            <w:r w:rsidR="002B1876" w:rsidRPr="00E579DA">
              <w:rPr>
                <w:rStyle w:val="Hyperlink"/>
                <w:noProof/>
              </w:rPr>
              <w:t>5.1.6</w:t>
            </w:r>
            <w:r w:rsidR="002B1876">
              <w:rPr>
                <w:rFonts w:asciiTheme="minorHAnsi" w:hAnsiTheme="minorHAnsi"/>
                <w:noProof/>
                <w:sz w:val="22"/>
                <w:szCs w:val="22"/>
                <w:lang w:val="en-AU" w:eastAsia="en-AU" w:bidi="ar-SA"/>
              </w:rPr>
              <w:tab/>
            </w:r>
            <w:r w:rsidR="002B1876" w:rsidRPr="00E579DA">
              <w:rPr>
                <w:rStyle w:val="Hyperlink"/>
                <w:noProof/>
              </w:rPr>
              <w:t>Factors influencing the pesticide concentrations in the Wet Tropics</w:t>
            </w:r>
            <w:r w:rsidR="002B1876">
              <w:rPr>
                <w:noProof/>
                <w:webHidden/>
              </w:rPr>
              <w:tab/>
            </w:r>
            <w:r w:rsidR="002B1876">
              <w:rPr>
                <w:noProof/>
                <w:webHidden/>
              </w:rPr>
              <w:fldChar w:fldCharType="begin"/>
            </w:r>
            <w:r w:rsidR="002B1876">
              <w:rPr>
                <w:noProof/>
                <w:webHidden/>
              </w:rPr>
              <w:instrText xml:space="preserve"> PAGEREF _Toc14435712 \h </w:instrText>
            </w:r>
            <w:r w:rsidR="002B1876">
              <w:rPr>
                <w:noProof/>
                <w:webHidden/>
              </w:rPr>
            </w:r>
            <w:r w:rsidR="002B1876">
              <w:rPr>
                <w:noProof/>
                <w:webHidden/>
              </w:rPr>
              <w:fldChar w:fldCharType="separate"/>
            </w:r>
            <w:r w:rsidR="00A94823">
              <w:rPr>
                <w:noProof/>
                <w:webHidden/>
              </w:rPr>
              <w:t>43</w:t>
            </w:r>
            <w:r w:rsidR="002B1876">
              <w:rPr>
                <w:noProof/>
                <w:webHidden/>
              </w:rPr>
              <w:fldChar w:fldCharType="end"/>
            </w:r>
          </w:hyperlink>
        </w:p>
        <w:p w14:paraId="0F00E54D"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713" w:history="1">
            <w:r w:rsidR="002B1876" w:rsidRPr="00E579DA">
              <w:rPr>
                <w:rStyle w:val="Hyperlink"/>
                <w:noProof/>
              </w:rPr>
              <w:t>5.2</w:t>
            </w:r>
            <w:r w:rsidR="002B1876">
              <w:rPr>
                <w:rFonts w:asciiTheme="minorHAnsi" w:hAnsiTheme="minorHAnsi"/>
                <w:iCs w:val="0"/>
                <w:noProof/>
                <w:sz w:val="22"/>
                <w:szCs w:val="22"/>
                <w:lang w:val="en-AU" w:eastAsia="en-AU" w:bidi="ar-SA"/>
              </w:rPr>
              <w:tab/>
            </w:r>
            <w:r w:rsidR="002B1876" w:rsidRPr="00E579DA">
              <w:rPr>
                <w:rStyle w:val="Hyperlink"/>
                <w:noProof/>
              </w:rPr>
              <w:t>Burdekin Region</w:t>
            </w:r>
            <w:r w:rsidR="002B1876">
              <w:rPr>
                <w:noProof/>
                <w:webHidden/>
              </w:rPr>
              <w:tab/>
            </w:r>
            <w:r w:rsidR="002B1876">
              <w:rPr>
                <w:noProof/>
                <w:webHidden/>
              </w:rPr>
              <w:fldChar w:fldCharType="begin"/>
            </w:r>
            <w:r w:rsidR="002B1876">
              <w:rPr>
                <w:noProof/>
                <w:webHidden/>
              </w:rPr>
              <w:instrText xml:space="preserve"> PAGEREF _Toc14435713 \h </w:instrText>
            </w:r>
            <w:r w:rsidR="002B1876">
              <w:rPr>
                <w:noProof/>
                <w:webHidden/>
              </w:rPr>
            </w:r>
            <w:r w:rsidR="002B1876">
              <w:rPr>
                <w:noProof/>
                <w:webHidden/>
              </w:rPr>
              <w:fldChar w:fldCharType="separate"/>
            </w:r>
            <w:r w:rsidR="00A94823">
              <w:rPr>
                <w:noProof/>
                <w:webHidden/>
              </w:rPr>
              <w:t>44</w:t>
            </w:r>
            <w:r w:rsidR="002B1876">
              <w:rPr>
                <w:noProof/>
                <w:webHidden/>
              </w:rPr>
              <w:fldChar w:fldCharType="end"/>
            </w:r>
          </w:hyperlink>
        </w:p>
        <w:p w14:paraId="30696B87"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14" w:history="1">
            <w:r w:rsidR="002B1876" w:rsidRPr="00E579DA">
              <w:rPr>
                <w:rStyle w:val="Hyperlink"/>
                <w:noProof/>
              </w:rPr>
              <w:t>5.2.1</w:t>
            </w:r>
            <w:r w:rsidR="002B1876">
              <w:rPr>
                <w:rFonts w:asciiTheme="minorHAnsi" w:hAnsiTheme="minorHAnsi"/>
                <w:noProof/>
                <w:sz w:val="22"/>
                <w:szCs w:val="22"/>
                <w:lang w:val="en-AU" w:eastAsia="en-AU" w:bidi="ar-SA"/>
              </w:rPr>
              <w:tab/>
            </w:r>
            <w:r w:rsidR="002B1876" w:rsidRPr="00E579DA">
              <w:rPr>
                <w:rStyle w:val="Hyperlink"/>
                <w:noProof/>
              </w:rPr>
              <w:t>Barratta Creek passive sampling</w:t>
            </w:r>
            <w:r w:rsidR="002B1876">
              <w:rPr>
                <w:noProof/>
                <w:webHidden/>
              </w:rPr>
              <w:tab/>
            </w:r>
            <w:r w:rsidR="002B1876">
              <w:rPr>
                <w:noProof/>
                <w:webHidden/>
              </w:rPr>
              <w:fldChar w:fldCharType="begin"/>
            </w:r>
            <w:r w:rsidR="002B1876">
              <w:rPr>
                <w:noProof/>
                <w:webHidden/>
              </w:rPr>
              <w:instrText xml:space="preserve"> PAGEREF _Toc14435714 \h </w:instrText>
            </w:r>
            <w:r w:rsidR="002B1876">
              <w:rPr>
                <w:noProof/>
                <w:webHidden/>
              </w:rPr>
            </w:r>
            <w:r w:rsidR="002B1876">
              <w:rPr>
                <w:noProof/>
                <w:webHidden/>
              </w:rPr>
              <w:fldChar w:fldCharType="separate"/>
            </w:r>
            <w:r w:rsidR="00A94823">
              <w:rPr>
                <w:noProof/>
                <w:webHidden/>
              </w:rPr>
              <w:t>44</w:t>
            </w:r>
            <w:r w:rsidR="002B1876">
              <w:rPr>
                <w:noProof/>
                <w:webHidden/>
              </w:rPr>
              <w:fldChar w:fldCharType="end"/>
            </w:r>
          </w:hyperlink>
        </w:p>
        <w:p w14:paraId="574EE87E"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15" w:history="1">
            <w:r w:rsidR="002B1876" w:rsidRPr="00E579DA">
              <w:rPr>
                <w:rStyle w:val="Hyperlink"/>
                <w:noProof/>
              </w:rPr>
              <w:t>5.2.2</w:t>
            </w:r>
            <w:r w:rsidR="002B1876">
              <w:rPr>
                <w:rFonts w:asciiTheme="minorHAnsi" w:hAnsiTheme="minorHAnsi"/>
                <w:noProof/>
                <w:sz w:val="22"/>
                <w:szCs w:val="22"/>
                <w:lang w:val="en-AU" w:eastAsia="en-AU" w:bidi="ar-SA"/>
              </w:rPr>
              <w:tab/>
            </w:r>
            <w:r w:rsidR="002B1876" w:rsidRPr="00E579DA">
              <w:rPr>
                <w:rStyle w:val="Hyperlink"/>
                <w:noProof/>
              </w:rPr>
              <w:t>Burdekin Focus Region flood plume sampling</w:t>
            </w:r>
            <w:r w:rsidR="002B1876">
              <w:rPr>
                <w:noProof/>
                <w:webHidden/>
              </w:rPr>
              <w:tab/>
            </w:r>
            <w:r w:rsidR="002B1876">
              <w:rPr>
                <w:noProof/>
                <w:webHidden/>
              </w:rPr>
              <w:fldChar w:fldCharType="begin"/>
            </w:r>
            <w:r w:rsidR="002B1876">
              <w:rPr>
                <w:noProof/>
                <w:webHidden/>
              </w:rPr>
              <w:instrText xml:space="preserve"> PAGEREF _Toc14435715 \h </w:instrText>
            </w:r>
            <w:r w:rsidR="002B1876">
              <w:rPr>
                <w:noProof/>
                <w:webHidden/>
              </w:rPr>
            </w:r>
            <w:r w:rsidR="002B1876">
              <w:rPr>
                <w:noProof/>
                <w:webHidden/>
              </w:rPr>
              <w:fldChar w:fldCharType="separate"/>
            </w:r>
            <w:r w:rsidR="00A94823">
              <w:rPr>
                <w:noProof/>
                <w:webHidden/>
              </w:rPr>
              <w:t>46</w:t>
            </w:r>
            <w:r w:rsidR="002B1876">
              <w:rPr>
                <w:noProof/>
                <w:webHidden/>
              </w:rPr>
              <w:fldChar w:fldCharType="end"/>
            </w:r>
          </w:hyperlink>
        </w:p>
        <w:p w14:paraId="093A0A6F"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716" w:history="1">
            <w:r w:rsidR="002B1876" w:rsidRPr="00E579DA">
              <w:rPr>
                <w:rStyle w:val="Hyperlink"/>
                <w:noProof/>
              </w:rPr>
              <w:t>5.3</w:t>
            </w:r>
            <w:r w:rsidR="002B1876">
              <w:rPr>
                <w:rFonts w:asciiTheme="minorHAnsi" w:hAnsiTheme="minorHAnsi"/>
                <w:iCs w:val="0"/>
                <w:noProof/>
                <w:sz w:val="22"/>
                <w:szCs w:val="22"/>
                <w:lang w:val="en-AU" w:eastAsia="en-AU" w:bidi="ar-SA"/>
              </w:rPr>
              <w:tab/>
            </w:r>
            <w:r w:rsidR="002B1876" w:rsidRPr="00E579DA">
              <w:rPr>
                <w:rStyle w:val="Hyperlink"/>
                <w:noProof/>
              </w:rPr>
              <w:t>Mackay Whitsunday Region</w:t>
            </w:r>
            <w:r w:rsidR="002B1876">
              <w:rPr>
                <w:noProof/>
                <w:webHidden/>
              </w:rPr>
              <w:tab/>
            </w:r>
            <w:r w:rsidR="002B1876">
              <w:rPr>
                <w:noProof/>
                <w:webHidden/>
              </w:rPr>
              <w:fldChar w:fldCharType="begin"/>
            </w:r>
            <w:r w:rsidR="002B1876">
              <w:rPr>
                <w:noProof/>
                <w:webHidden/>
              </w:rPr>
              <w:instrText xml:space="preserve"> PAGEREF _Toc14435716 \h </w:instrText>
            </w:r>
            <w:r w:rsidR="002B1876">
              <w:rPr>
                <w:noProof/>
                <w:webHidden/>
              </w:rPr>
            </w:r>
            <w:r w:rsidR="002B1876">
              <w:rPr>
                <w:noProof/>
                <w:webHidden/>
              </w:rPr>
              <w:fldChar w:fldCharType="separate"/>
            </w:r>
            <w:r w:rsidR="00A94823">
              <w:rPr>
                <w:noProof/>
                <w:webHidden/>
              </w:rPr>
              <w:t>46</w:t>
            </w:r>
            <w:r w:rsidR="002B1876">
              <w:rPr>
                <w:noProof/>
                <w:webHidden/>
              </w:rPr>
              <w:fldChar w:fldCharType="end"/>
            </w:r>
          </w:hyperlink>
        </w:p>
        <w:p w14:paraId="12AF03F1"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17" w:history="1">
            <w:r w:rsidR="002B1876" w:rsidRPr="00E579DA">
              <w:rPr>
                <w:rStyle w:val="Hyperlink"/>
                <w:noProof/>
              </w:rPr>
              <w:t>5.3.1</w:t>
            </w:r>
            <w:r w:rsidR="002B1876">
              <w:rPr>
                <w:rFonts w:asciiTheme="minorHAnsi" w:hAnsiTheme="minorHAnsi"/>
                <w:noProof/>
                <w:sz w:val="22"/>
                <w:szCs w:val="22"/>
                <w:lang w:val="en-AU" w:eastAsia="en-AU" w:bidi="ar-SA"/>
              </w:rPr>
              <w:tab/>
            </w:r>
            <w:r w:rsidR="002B1876" w:rsidRPr="00E579DA">
              <w:rPr>
                <w:rStyle w:val="Hyperlink"/>
                <w:noProof/>
              </w:rPr>
              <w:t>Repulse Bay</w:t>
            </w:r>
            <w:r w:rsidR="002B1876">
              <w:rPr>
                <w:noProof/>
                <w:webHidden/>
              </w:rPr>
              <w:tab/>
            </w:r>
            <w:r w:rsidR="002B1876">
              <w:rPr>
                <w:noProof/>
                <w:webHidden/>
              </w:rPr>
              <w:fldChar w:fldCharType="begin"/>
            </w:r>
            <w:r w:rsidR="002B1876">
              <w:rPr>
                <w:noProof/>
                <w:webHidden/>
              </w:rPr>
              <w:instrText xml:space="preserve"> PAGEREF _Toc14435717 \h </w:instrText>
            </w:r>
            <w:r w:rsidR="002B1876">
              <w:rPr>
                <w:noProof/>
                <w:webHidden/>
              </w:rPr>
            </w:r>
            <w:r w:rsidR="002B1876">
              <w:rPr>
                <w:noProof/>
                <w:webHidden/>
              </w:rPr>
              <w:fldChar w:fldCharType="separate"/>
            </w:r>
            <w:r w:rsidR="00A94823">
              <w:rPr>
                <w:noProof/>
                <w:webHidden/>
              </w:rPr>
              <w:t>46</w:t>
            </w:r>
            <w:r w:rsidR="002B1876">
              <w:rPr>
                <w:noProof/>
                <w:webHidden/>
              </w:rPr>
              <w:fldChar w:fldCharType="end"/>
            </w:r>
          </w:hyperlink>
        </w:p>
        <w:p w14:paraId="5F36F031"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18" w:history="1">
            <w:r w:rsidR="002B1876" w:rsidRPr="00E579DA">
              <w:rPr>
                <w:rStyle w:val="Hyperlink"/>
                <w:noProof/>
              </w:rPr>
              <w:t>5.3.2</w:t>
            </w:r>
            <w:r w:rsidR="002B1876">
              <w:rPr>
                <w:rFonts w:asciiTheme="minorHAnsi" w:hAnsiTheme="minorHAnsi"/>
                <w:noProof/>
                <w:sz w:val="22"/>
                <w:szCs w:val="22"/>
                <w:lang w:val="en-AU" w:eastAsia="en-AU" w:bidi="ar-SA"/>
              </w:rPr>
              <w:tab/>
            </w:r>
            <w:r w:rsidR="002B1876" w:rsidRPr="00E579DA">
              <w:rPr>
                <w:rStyle w:val="Hyperlink"/>
                <w:noProof/>
              </w:rPr>
              <w:t>Round Top Island</w:t>
            </w:r>
            <w:r w:rsidR="002B1876">
              <w:rPr>
                <w:noProof/>
                <w:webHidden/>
              </w:rPr>
              <w:tab/>
            </w:r>
            <w:r w:rsidR="002B1876">
              <w:rPr>
                <w:noProof/>
                <w:webHidden/>
              </w:rPr>
              <w:fldChar w:fldCharType="begin"/>
            </w:r>
            <w:r w:rsidR="002B1876">
              <w:rPr>
                <w:noProof/>
                <w:webHidden/>
              </w:rPr>
              <w:instrText xml:space="preserve"> PAGEREF _Toc14435718 \h </w:instrText>
            </w:r>
            <w:r w:rsidR="002B1876">
              <w:rPr>
                <w:noProof/>
                <w:webHidden/>
              </w:rPr>
            </w:r>
            <w:r w:rsidR="002B1876">
              <w:rPr>
                <w:noProof/>
                <w:webHidden/>
              </w:rPr>
              <w:fldChar w:fldCharType="separate"/>
            </w:r>
            <w:r w:rsidR="00A94823">
              <w:rPr>
                <w:noProof/>
                <w:webHidden/>
              </w:rPr>
              <w:t>47</w:t>
            </w:r>
            <w:r w:rsidR="002B1876">
              <w:rPr>
                <w:noProof/>
                <w:webHidden/>
              </w:rPr>
              <w:fldChar w:fldCharType="end"/>
            </w:r>
          </w:hyperlink>
        </w:p>
        <w:p w14:paraId="59A9781E"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19" w:history="1">
            <w:r w:rsidR="002B1876" w:rsidRPr="00E579DA">
              <w:rPr>
                <w:rStyle w:val="Hyperlink"/>
                <w:noProof/>
              </w:rPr>
              <w:t>5.3.3</w:t>
            </w:r>
            <w:r w:rsidR="002B1876">
              <w:rPr>
                <w:rFonts w:asciiTheme="minorHAnsi" w:hAnsiTheme="minorHAnsi"/>
                <w:noProof/>
                <w:sz w:val="22"/>
                <w:szCs w:val="22"/>
                <w:lang w:val="en-AU" w:eastAsia="en-AU" w:bidi="ar-SA"/>
              </w:rPr>
              <w:tab/>
            </w:r>
            <w:r w:rsidR="002B1876" w:rsidRPr="00E579DA">
              <w:rPr>
                <w:rStyle w:val="Hyperlink"/>
                <w:noProof/>
              </w:rPr>
              <w:t>Sandy Creek</w:t>
            </w:r>
            <w:r w:rsidR="002B1876">
              <w:rPr>
                <w:noProof/>
                <w:webHidden/>
              </w:rPr>
              <w:tab/>
            </w:r>
            <w:r w:rsidR="002B1876">
              <w:rPr>
                <w:noProof/>
                <w:webHidden/>
              </w:rPr>
              <w:fldChar w:fldCharType="begin"/>
            </w:r>
            <w:r w:rsidR="002B1876">
              <w:rPr>
                <w:noProof/>
                <w:webHidden/>
              </w:rPr>
              <w:instrText xml:space="preserve"> PAGEREF _Toc14435719 \h </w:instrText>
            </w:r>
            <w:r w:rsidR="002B1876">
              <w:rPr>
                <w:noProof/>
                <w:webHidden/>
              </w:rPr>
            </w:r>
            <w:r w:rsidR="002B1876">
              <w:rPr>
                <w:noProof/>
                <w:webHidden/>
              </w:rPr>
              <w:fldChar w:fldCharType="separate"/>
            </w:r>
            <w:r w:rsidR="00A94823">
              <w:rPr>
                <w:noProof/>
                <w:webHidden/>
              </w:rPr>
              <w:t>48</w:t>
            </w:r>
            <w:r w:rsidR="002B1876">
              <w:rPr>
                <w:noProof/>
                <w:webHidden/>
              </w:rPr>
              <w:fldChar w:fldCharType="end"/>
            </w:r>
          </w:hyperlink>
        </w:p>
        <w:p w14:paraId="5571FB74"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20" w:history="1">
            <w:r w:rsidR="002B1876" w:rsidRPr="00E579DA">
              <w:rPr>
                <w:rStyle w:val="Hyperlink"/>
                <w:noProof/>
              </w:rPr>
              <w:t>5.3.4</w:t>
            </w:r>
            <w:r w:rsidR="002B1876">
              <w:rPr>
                <w:rFonts w:asciiTheme="minorHAnsi" w:hAnsiTheme="minorHAnsi"/>
                <w:noProof/>
                <w:sz w:val="22"/>
                <w:szCs w:val="22"/>
                <w:lang w:val="en-AU" w:eastAsia="en-AU" w:bidi="ar-SA"/>
              </w:rPr>
              <w:tab/>
            </w:r>
            <w:r w:rsidR="002B1876" w:rsidRPr="00E579DA">
              <w:rPr>
                <w:rStyle w:val="Hyperlink"/>
                <w:noProof/>
              </w:rPr>
              <w:t>Sarina Inlet</w:t>
            </w:r>
            <w:r w:rsidR="002B1876">
              <w:rPr>
                <w:noProof/>
                <w:webHidden/>
              </w:rPr>
              <w:tab/>
            </w:r>
            <w:r w:rsidR="002B1876">
              <w:rPr>
                <w:noProof/>
                <w:webHidden/>
              </w:rPr>
              <w:fldChar w:fldCharType="begin"/>
            </w:r>
            <w:r w:rsidR="002B1876">
              <w:rPr>
                <w:noProof/>
                <w:webHidden/>
              </w:rPr>
              <w:instrText xml:space="preserve"> PAGEREF _Toc14435720 \h </w:instrText>
            </w:r>
            <w:r w:rsidR="002B1876">
              <w:rPr>
                <w:noProof/>
                <w:webHidden/>
              </w:rPr>
            </w:r>
            <w:r w:rsidR="002B1876">
              <w:rPr>
                <w:noProof/>
                <w:webHidden/>
              </w:rPr>
              <w:fldChar w:fldCharType="separate"/>
            </w:r>
            <w:r w:rsidR="00A94823">
              <w:rPr>
                <w:noProof/>
                <w:webHidden/>
              </w:rPr>
              <w:t>49</w:t>
            </w:r>
            <w:r w:rsidR="002B1876">
              <w:rPr>
                <w:noProof/>
                <w:webHidden/>
              </w:rPr>
              <w:fldChar w:fldCharType="end"/>
            </w:r>
          </w:hyperlink>
        </w:p>
        <w:p w14:paraId="10C861D7"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21" w:history="1">
            <w:r w:rsidR="002B1876" w:rsidRPr="00E579DA">
              <w:rPr>
                <w:rStyle w:val="Hyperlink"/>
                <w:noProof/>
              </w:rPr>
              <w:t>5.3.5</w:t>
            </w:r>
            <w:r w:rsidR="002B1876">
              <w:rPr>
                <w:rFonts w:asciiTheme="minorHAnsi" w:hAnsiTheme="minorHAnsi"/>
                <w:noProof/>
                <w:sz w:val="22"/>
                <w:szCs w:val="22"/>
                <w:lang w:val="en-AU" w:eastAsia="en-AU" w:bidi="ar-SA"/>
              </w:rPr>
              <w:tab/>
            </w:r>
            <w:r w:rsidR="002B1876" w:rsidRPr="00E579DA">
              <w:rPr>
                <w:rStyle w:val="Hyperlink"/>
                <w:noProof/>
              </w:rPr>
              <w:t>Factors influencing the pesticide concentrations in the Whitsunday region</w:t>
            </w:r>
            <w:r w:rsidR="002B1876">
              <w:rPr>
                <w:noProof/>
                <w:webHidden/>
              </w:rPr>
              <w:tab/>
            </w:r>
            <w:r w:rsidR="002B1876">
              <w:rPr>
                <w:noProof/>
                <w:webHidden/>
              </w:rPr>
              <w:fldChar w:fldCharType="begin"/>
            </w:r>
            <w:r w:rsidR="002B1876">
              <w:rPr>
                <w:noProof/>
                <w:webHidden/>
              </w:rPr>
              <w:instrText xml:space="preserve"> PAGEREF _Toc14435721 \h </w:instrText>
            </w:r>
            <w:r w:rsidR="002B1876">
              <w:rPr>
                <w:noProof/>
                <w:webHidden/>
              </w:rPr>
            </w:r>
            <w:r w:rsidR="002B1876">
              <w:rPr>
                <w:noProof/>
                <w:webHidden/>
              </w:rPr>
              <w:fldChar w:fldCharType="separate"/>
            </w:r>
            <w:r w:rsidR="00A94823">
              <w:rPr>
                <w:noProof/>
                <w:webHidden/>
              </w:rPr>
              <w:t>50</w:t>
            </w:r>
            <w:r w:rsidR="002B1876">
              <w:rPr>
                <w:noProof/>
                <w:webHidden/>
              </w:rPr>
              <w:fldChar w:fldCharType="end"/>
            </w:r>
          </w:hyperlink>
        </w:p>
        <w:p w14:paraId="725E40A1" w14:textId="77777777" w:rsidR="002B1876" w:rsidRDefault="00F41081">
          <w:pPr>
            <w:pStyle w:val="TOC2"/>
            <w:tabs>
              <w:tab w:val="left" w:pos="880"/>
              <w:tab w:val="right" w:leader="dot" w:pos="9016"/>
            </w:tabs>
            <w:rPr>
              <w:rFonts w:asciiTheme="minorHAnsi" w:hAnsiTheme="minorHAnsi"/>
              <w:iCs w:val="0"/>
              <w:noProof/>
              <w:sz w:val="22"/>
              <w:szCs w:val="22"/>
              <w:lang w:val="en-AU" w:eastAsia="en-AU" w:bidi="ar-SA"/>
            </w:rPr>
          </w:pPr>
          <w:hyperlink w:anchor="_Toc14435722" w:history="1">
            <w:r w:rsidR="002B1876" w:rsidRPr="00E579DA">
              <w:rPr>
                <w:rStyle w:val="Hyperlink"/>
                <w:noProof/>
              </w:rPr>
              <w:t>5.4</w:t>
            </w:r>
            <w:r w:rsidR="002B1876">
              <w:rPr>
                <w:rFonts w:asciiTheme="minorHAnsi" w:hAnsiTheme="minorHAnsi"/>
                <w:iCs w:val="0"/>
                <w:noProof/>
                <w:sz w:val="22"/>
                <w:szCs w:val="22"/>
                <w:lang w:val="en-AU" w:eastAsia="en-AU" w:bidi="ar-SA"/>
              </w:rPr>
              <w:tab/>
            </w:r>
            <w:r w:rsidR="002B1876" w:rsidRPr="00E579DA">
              <w:rPr>
                <w:rStyle w:val="Hyperlink"/>
                <w:noProof/>
              </w:rPr>
              <w:t>Fitzroy Region</w:t>
            </w:r>
            <w:r w:rsidR="002B1876">
              <w:rPr>
                <w:noProof/>
                <w:webHidden/>
              </w:rPr>
              <w:tab/>
            </w:r>
            <w:r w:rsidR="002B1876">
              <w:rPr>
                <w:noProof/>
                <w:webHidden/>
              </w:rPr>
              <w:fldChar w:fldCharType="begin"/>
            </w:r>
            <w:r w:rsidR="002B1876">
              <w:rPr>
                <w:noProof/>
                <w:webHidden/>
              </w:rPr>
              <w:instrText xml:space="preserve"> PAGEREF _Toc14435722 \h </w:instrText>
            </w:r>
            <w:r w:rsidR="002B1876">
              <w:rPr>
                <w:noProof/>
                <w:webHidden/>
              </w:rPr>
            </w:r>
            <w:r w:rsidR="002B1876">
              <w:rPr>
                <w:noProof/>
                <w:webHidden/>
              </w:rPr>
              <w:fldChar w:fldCharType="separate"/>
            </w:r>
            <w:r w:rsidR="00A94823">
              <w:rPr>
                <w:noProof/>
                <w:webHidden/>
              </w:rPr>
              <w:t>51</w:t>
            </w:r>
            <w:r w:rsidR="002B1876">
              <w:rPr>
                <w:noProof/>
                <w:webHidden/>
              </w:rPr>
              <w:fldChar w:fldCharType="end"/>
            </w:r>
          </w:hyperlink>
        </w:p>
        <w:p w14:paraId="24E2644A"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23" w:history="1">
            <w:r w:rsidR="002B1876" w:rsidRPr="00E579DA">
              <w:rPr>
                <w:rStyle w:val="Hyperlink"/>
                <w:noProof/>
              </w:rPr>
              <w:t>5.4.1</w:t>
            </w:r>
            <w:r w:rsidR="002B1876">
              <w:rPr>
                <w:rFonts w:asciiTheme="minorHAnsi" w:hAnsiTheme="minorHAnsi"/>
                <w:noProof/>
                <w:sz w:val="22"/>
                <w:szCs w:val="22"/>
                <w:lang w:val="en-AU" w:eastAsia="en-AU" w:bidi="ar-SA"/>
              </w:rPr>
              <w:tab/>
            </w:r>
            <w:r w:rsidR="002B1876" w:rsidRPr="00E579DA">
              <w:rPr>
                <w:rStyle w:val="Hyperlink"/>
                <w:noProof/>
              </w:rPr>
              <w:t>North Keppel Island</w:t>
            </w:r>
            <w:r w:rsidR="002B1876">
              <w:rPr>
                <w:noProof/>
                <w:webHidden/>
              </w:rPr>
              <w:tab/>
            </w:r>
            <w:r w:rsidR="002B1876">
              <w:rPr>
                <w:noProof/>
                <w:webHidden/>
              </w:rPr>
              <w:fldChar w:fldCharType="begin"/>
            </w:r>
            <w:r w:rsidR="002B1876">
              <w:rPr>
                <w:noProof/>
                <w:webHidden/>
              </w:rPr>
              <w:instrText xml:space="preserve"> PAGEREF _Toc14435723 \h </w:instrText>
            </w:r>
            <w:r w:rsidR="002B1876">
              <w:rPr>
                <w:noProof/>
                <w:webHidden/>
              </w:rPr>
            </w:r>
            <w:r w:rsidR="002B1876">
              <w:rPr>
                <w:noProof/>
                <w:webHidden/>
              </w:rPr>
              <w:fldChar w:fldCharType="separate"/>
            </w:r>
            <w:r w:rsidR="00A94823">
              <w:rPr>
                <w:noProof/>
                <w:webHidden/>
              </w:rPr>
              <w:t>51</w:t>
            </w:r>
            <w:r w:rsidR="002B1876">
              <w:rPr>
                <w:noProof/>
                <w:webHidden/>
              </w:rPr>
              <w:fldChar w:fldCharType="end"/>
            </w:r>
          </w:hyperlink>
        </w:p>
        <w:p w14:paraId="1C2E31D8" w14:textId="77777777" w:rsidR="002B1876" w:rsidRDefault="00F41081">
          <w:pPr>
            <w:pStyle w:val="TOC3"/>
            <w:tabs>
              <w:tab w:val="left" w:pos="1100"/>
              <w:tab w:val="right" w:leader="dot" w:pos="9016"/>
            </w:tabs>
            <w:rPr>
              <w:rFonts w:asciiTheme="minorHAnsi" w:hAnsiTheme="minorHAnsi"/>
              <w:noProof/>
              <w:sz w:val="22"/>
              <w:szCs w:val="22"/>
              <w:lang w:val="en-AU" w:eastAsia="en-AU" w:bidi="ar-SA"/>
            </w:rPr>
          </w:pPr>
          <w:hyperlink w:anchor="_Toc14435724" w:history="1">
            <w:r w:rsidR="002B1876" w:rsidRPr="00E579DA">
              <w:rPr>
                <w:rStyle w:val="Hyperlink"/>
                <w:noProof/>
              </w:rPr>
              <w:t>5.4.2</w:t>
            </w:r>
            <w:r w:rsidR="002B1876">
              <w:rPr>
                <w:rFonts w:asciiTheme="minorHAnsi" w:hAnsiTheme="minorHAnsi"/>
                <w:noProof/>
                <w:sz w:val="22"/>
                <w:szCs w:val="22"/>
                <w:lang w:val="en-AU" w:eastAsia="en-AU" w:bidi="ar-SA"/>
              </w:rPr>
              <w:tab/>
            </w:r>
            <w:r w:rsidR="002B1876" w:rsidRPr="00E579DA">
              <w:rPr>
                <w:rStyle w:val="Hyperlink"/>
                <w:noProof/>
              </w:rPr>
              <w:t>Factors influencing the pesticide concentrations in the Fitzroy region</w:t>
            </w:r>
            <w:r w:rsidR="002B1876">
              <w:rPr>
                <w:noProof/>
                <w:webHidden/>
              </w:rPr>
              <w:tab/>
            </w:r>
            <w:r w:rsidR="002B1876">
              <w:rPr>
                <w:noProof/>
                <w:webHidden/>
              </w:rPr>
              <w:fldChar w:fldCharType="begin"/>
            </w:r>
            <w:r w:rsidR="002B1876">
              <w:rPr>
                <w:noProof/>
                <w:webHidden/>
              </w:rPr>
              <w:instrText xml:space="preserve"> PAGEREF _Toc14435724 \h </w:instrText>
            </w:r>
            <w:r w:rsidR="002B1876">
              <w:rPr>
                <w:noProof/>
                <w:webHidden/>
              </w:rPr>
            </w:r>
            <w:r w:rsidR="002B1876">
              <w:rPr>
                <w:noProof/>
                <w:webHidden/>
              </w:rPr>
              <w:fldChar w:fldCharType="separate"/>
            </w:r>
            <w:r w:rsidR="00A94823">
              <w:rPr>
                <w:noProof/>
                <w:webHidden/>
              </w:rPr>
              <w:t>52</w:t>
            </w:r>
            <w:r w:rsidR="002B1876">
              <w:rPr>
                <w:noProof/>
                <w:webHidden/>
              </w:rPr>
              <w:fldChar w:fldCharType="end"/>
            </w:r>
          </w:hyperlink>
        </w:p>
        <w:p w14:paraId="333ADF78" w14:textId="77777777" w:rsidR="002B1876" w:rsidRDefault="00F41081">
          <w:pPr>
            <w:pStyle w:val="TOC1"/>
            <w:tabs>
              <w:tab w:val="left" w:pos="440"/>
              <w:tab w:val="right" w:leader="dot" w:pos="9016"/>
            </w:tabs>
            <w:rPr>
              <w:rFonts w:asciiTheme="minorHAnsi" w:hAnsiTheme="minorHAnsi"/>
              <w:b w:val="0"/>
              <w:bCs w:val="0"/>
              <w:noProof/>
              <w:szCs w:val="22"/>
              <w:lang w:val="en-AU" w:eastAsia="en-AU" w:bidi="ar-SA"/>
            </w:rPr>
          </w:pPr>
          <w:hyperlink w:anchor="_Toc14435725" w:history="1">
            <w:r w:rsidR="002B1876" w:rsidRPr="00E579DA">
              <w:rPr>
                <w:rStyle w:val="Hyperlink"/>
                <w:noProof/>
              </w:rPr>
              <w:t>6.</w:t>
            </w:r>
            <w:r w:rsidR="002B1876">
              <w:rPr>
                <w:rFonts w:asciiTheme="minorHAnsi" w:hAnsiTheme="minorHAnsi"/>
                <w:b w:val="0"/>
                <w:bCs w:val="0"/>
                <w:noProof/>
                <w:szCs w:val="22"/>
                <w:lang w:val="en-AU" w:eastAsia="en-AU" w:bidi="ar-SA"/>
              </w:rPr>
              <w:tab/>
            </w:r>
            <w:r w:rsidR="002B1876" w:rsidRPr="00E579DA">
              <w:rPr>
                <w:rStyle w:val="Hyperlink"/>
                <w:noProof/>
              </w:rPr>
              <w:t>Discussion</w:t>
            </w:r>
            <w:r w:rsidR="002B1876">
              <w:rPr>
                <w:noProof/>
                <w:webHidden/>
              </w:rPr>
              <w:tab/>
            </w:r>
            <w:r w:rsidR="002B1876">
              <w:rPr>
                <w:noProof/>
                <w:webHidden/>
              </w:rPr>
              <w:fldChar w:fldCharType="begin"/>
            </w:r>
            <w:r w:rsidR="002B1876">
              <w:rPr>
                <w:noProof/>
                <w:webHidden/>
              </w:rPr>
              <w:instrText xml:space="preserve"> PAGEREF _Toc14435725 \h </w:instrText>
            </w:r>
            <w:r w:rsidR="002B1876">
              <w:rPr>
                <w:noProof/>
                <w:webHidden/>
              </w:rPr>
            </w:r>
            <w:r w:rsidR="002B1876">
              <w:rPr>
                <w:noProof/>
                <w:webHidden/>
              </w:rPr>
              <w:fldChar w:fldCharType="separate"/>
            </w:r>
            <w:r w:rsidR="00A94823">
              <w:rPr>
                <w:noProof/>
                <w:webHidden/>
              </w:rPr>
              <w:t>53</w:t>
            </w:r>
            <w:r w:rsidR="002B1876">
              <w:rPr>
                <w:noProof/>
                <w:webHidden/>
              </w:rPr>
              <w:fldChar w:fldCharType="end"/>
            </w:r>
          </w:hyperlink>
        </w:p>
        <w:p w14:paraId="749BDAAE" w14:textId="77777777" w:rsidR="002B1876" w:rsidRDefault="00F41081">
          <w:pPr>
            <w:pStyle w:val="TOC1"/>
            <w:tabs>
              <w:tab w:val="left" w:pos="440"/>
              <w:tab w:val="right" w:leader="dot" w:pos="9016"/>
            </w:tabs>
            <w:rPr>
              <w:rFonts w:asciiTheme="minorHAnsi" w:hAnsiTheme="minorHAnsi"/>
              <w:b w:val="0"/>
              <w:bCs w:val="0"/>
              <w:noProof/>
              <w:szCs w:val="22"/>
              <w:lang w:val="en-AU" w:eastAsia="en-AU" w:bidi="ar-SA"/>
            </w:rPr>
          </w:pPr>
          <w:hyperlink w:anchor="_Toc14435726" w:history="1">
            <w:r w:rsidR="002B1876" w:rsidRPr="00E579DA">
              <w:rPr>
                <w:rStyle w:val="Hyperlink"/>
                <w:noProof/>
              </w:rPr>
              <w:t>7.</w:t>
            </w:r>
            <w:r w:rsidR="002B1876">
              <w:rPr>
                <w:rFonts w:asciiTheme="minorHAnsi" w:hAnsiTheme="minorHAnsi"/>
                <w:b w:val="0"/>
                <w:bCs w:val="0"/>
                <w:noProof/>
                <w:szCs w:val="22"/>
                <w:lang w:val="en-AU" w:eastAsia="en-AU" w:bidi="ar-SA"/>
              </w:rPr>
              <w:tab/>
            </w:r>
            <w:r w:rsidR="002B1876" w:rsidRPr="00E579DA">
              <w:rPr>
                <w:rStyle w:val="Hyperlink"/>
                <w:noProof/>
              </w:rPr>
              <w:t>References</w:t>
            </w:r>
            <w:r w:rsidR="002B1876">
              <w:rPr>
                <w:noProof/>
                <w:webHidden/>
              </w:rPr>
              <w:tab/>
            </w:r>
            <w:r w:rsidR="002B1876">
              <w:rPr>
                <w:noProof/>
                <w:webHidden/>
              </w:rPr>
              <w:fldChar w:fldCharType="begin"/>
            </w:r>
            <w:r w:rsidR="002B1876">
              <w:rPr>
                <w:noProof/>
                <w:webHidden/>
              </w:rPr>
              <w:instrText xml:space="preserve"> PAGEREF _Toc14435726 \h </w:instrText>
            </w:r>
            <w:r w:rsidR="002B1876">
              <w:rPr>
                <w:noProof/>
                <w:webHidden/>
              </w:rPr>
            </w:r>
            <w:r w:rsidR="002B1876">
              <w:rPr>
                <w:noProof/>
                <w:webHidden/>
              </w:rPr>
              <w:fldChar w:fldCharType="separate"/>
            </w:r>
            <w:r w:rsidR="00A94823">
              <w:rPr>
                <w:noProof/>
                <w:webHidden/>
              </w:rPr>
              <w:t>59</w:t>
            </w:r>
            <w:r w:rsidR="002B1876">
              <w:rPr>
                <w:noProof/>
                <w:webHidden/>
              </w:rPr>
              <w:fldChar w:fldCharType="end"/>
            </w:r>
          </w:hyperlink>
        </w:p>
        <w:p w14:paraId="0B9B81EA" w14:textId="39F2B22D" w:rsidR="00C34E72" w:rsidRPr="002439C8" w:rsidRDefault="002B1876" w:rsidP="002B1876">
          <w:pPr>
            <w:pStyle w:val="TOC1"/>
            <w:tabs>
              <w:tab w:val="right" w:leader="dot" w:pos="9016"/>
            </w:tabs>
            <w:rPr>
              <w:rFonts w:cs="Arial"/>
            </w:rPr>
          </w:pPr>
          <w:r>
            <w:rPr>
              <w:rFonts w:cs="Arial"/>
              <w:b w:val="0"/>
            </w:rPr>
            <w:fldChar w:fldCharType="end"/>
          </w:r>
        </w:p>
      </w:sdtContent>
    </w:sdt>
    <w:p w14:paraId="67D3A348" w14:textId="77777777" w:rsidR="002B1A9C" w:rsidRPr="002439C8" w:rsidRDefault="002B1A9C" w:rsidP="002439C8">
      <w:pPr>
        <w:tabs>
          <w:tab w:val="left" w:pos="4993"/>
        </w:tabs>
        <w:spacing w:line="276" w:lineRule="auto"/>
        <w:jc w:val="left"/>
        <w:outlineLvl w:val="0"/>
        <w:rPr>
          <w:rFonts w:cs="Arial"/>
          <w:lang w:val="en-AU"/>
        </w:rPr>
      </w:pPr>
    </w:p>
    <w:p w14:paraId="3D2BE09E" w14:textId="77777777" w:rsidR="00C34E72" w:rsidRPr="002439C8" w:rsidRDefault="0059608E" w:rsidP="002439C8">
      <w:pPr>
        <w:tabs>
          <w:tab w:val="left" w:pos="4993"/>
        </w:tabs>
        <w:spacing w:line="276" w:lineRule="auto"/>
        <w:jc w:val="left"/>
        <w:outlineLvl w:val="0"/>
        <w:rPr>
          <w:rFonts w:cs="Arial"/>
          <w:lang w:val="en-AU"/>
        </w:rPr>
      </w:pPr>
      <w:r w:rsidRPr="002439C8">
        <w:rPr>
          <w:rFonts w:cs="Arial"/>
          <w:lang w:val="en-AU"/>
        </w:rPr>
        <w:br w:type="page"/>
      </w:r>
    </w:p>
    <w:p w14:paraId="5754D09C" w14:textId="467DBBB7" w:rsidR="004C0824" w:rsidRPr="00EB2F5C" w:rsidRDefault="004C0824" w:rsidP="002439C8">
      <w:pPr>
        <w:spacing w:after="360"/>
        <w:jc w:val="left"/>
        <w:rPr>
          <w:rFonts w:eastAsia="Times New Roman" w:cs="Arial"/>
          <w:b/>
          <w:sz w:val="36"/>
          <w:szCs w:val="36"/>
          <w:lang w:val="en-GB" w:bidi="ar-SA"/>
        </w:rPr>
      </w:pPr>
      <w:bookmarkStart w:id="2" w:name="_Toc437424397"/>
      <w:bookmarkStart w:id="3" w:name="_Toc437424521"/>
      <w:bookmarkStart w:id="4" w:name="_Ref437429116"/>
      <w:bookmarkStart w:id="5" w:name="_Toc437432451"/>
      <w:bookmarkStart w:id="6" w:name="_Toc437432524"/>
      <w:r w:rsidRPr="00EB2F5C">
        <w:rPr>
          <w:rFonts w:eastAsia="Times New Roman" w:cs="Arial"/>
          <w:b/>
          <w:sz w:val="36"/>
          <w:szCs w:val="36"/>
          <w:lang w:val="en-GB" w:bidi="ar-SA"/>
        </w:rPr>
        <w:lastRenderedPageBreak/>
        <w:t xml:space="preserve">List of </w:t>
      </w:r>
      <w:r w:rsidR="002439C8" w:rsidRPr="00EB2F5C">
        <w:rPr>
          <w:rFonts w:eastAsia="Times New Roman" w:cs="Arial"/>
          <w:b/>
          <w:sz w:val="36"/>
          <w:szCs w:val="36"/>
          <w:lang w:val="en-GB" w:bidi="ar-SA"/>
        </w:rPr>
        <w:t>f</w:t>
      </w:r>
      <w:r w:rsidRPr="00EB2F5C">
        <w:rPr>
          <w:rFonts w:eastAsia="Times New Roman" w:cs="Arial"/>
          <w:b/>
          <w:sz w:val="36"/>
          <w:szCs w:val="36"/>
          <w:lang w:val="en-GB" w:bidi="ar-SA"/>
        </w:rPr>
        <w:t xml:space="preserve">igures and </w:t>
      </w:r>
      <w:r w:rsidR="002439C8" w:rsidRPr="00EB2F5C">
        <w:rPr>
          <w:rFonts w:eastAsia="Times New Roman" w:cs="Arial"/>
          <w:b/>
          <w:sz w:val="36"/>
          <w:szCs w:val="36"/>
          <w:lang w:val="en-GB" w:bidi="ar-SA"/>
        </w:rPr>
        <w:t>t</w:t>
      </w:r>
      <w:r w:rsidRPr="00EB2F5C">
        <w:rPr>
          <w:rFonts w:eastAsia="Times New Roman" w:cs="Arial"/>
          <w:b/>
          <w:sz w:val="36"/>
          <w:szCs w:val="36"/>
          <w:lang w:val="en-GB" w:bidi="ar-SA"/>
        </w:rPr>
        <w:t>ables</w:t>
      </w:r>
      <w:bookmarkEnd w:id="2"/>
      <w:bookmarkEnd w:id="3"/>
      <w:bookmarkEnd w:id="4"/>
      <w:bookmarkEnd w:id="5"/>
      <w:bookmarkEnd w:id="6"/>
    </w:p>
    <w:p w14:paraId="457DE540" w14:textId="77777777" w:rsidR="0021390C" w:rsidRDefault="00B032E6">
      <w:pPr>
        <w:pStyle w:val="TableofFigures"/>
        <w:tabs>
          <w:tab w:val="right" w:leader="dot" w:pos="9016"/>
        </w:tabs>
        <w:rPr>
          <w:rFonts w:asciiTheme="minorHAnsi" w:hAnsiTheme="minorHAnsi"/>
          <w:iCs w:val="0"/>
          <w:noProof/>
          <w:sz w:val="22"/>
          <w:szCs w:val="22"/>
          <w:lang w:val="en-AU" w:eastAsia="en-AU" w:bidi="ar-SA"/>
        </w:rPr>
      </w:pPr>
      <w:r>
        <w:rPr>
          <w:iCs w:val="0"/>
          <w:lang w:val="en-AU"/>
        </w:rPr>
        <w:fldChar w:fldCharType="begin"/>
      </w:r>
      <w:r>
        <w:rPr>
          <w:iCs w:val="0"/>
          <w:lang w:val="en-AU"/>
        </w:rPr>
        <w:instrText xml:space="preserve"> TOC \h \z \c "Figure" </w:instrText>
      </w:r>
      <w:r>
        <w:rPr>
          <w:iCs w:val="0"/>
          <w:lang w:val="en-AU"/>
        </w:rPr>
        <w:fldChar w:fldCharType="separate"/>
      </w:r>
      <w:hyperlink w:anchor="_Toc15042893" w:history="1">
        <w:r w:rsidR="0021390C" w:rsidRPr="006A1D67">
          <w:rPr>
            <w:rStyle w:val="Hyperlink"/>
            <w:noProof/>
          </w:rPr>
          <w:t>Figure 1: DPSIR framework used to guide the structure of the report</w:t>
        </w:r>
        <w:r w:rsidR="0021390C">
          <w:rPr>
            <w:noProof/>
            <w:webHidden/>
          </w:rPr>
          <w:tab/>
        </w:r>
        <w:r w:rsidR="0021390C">
          <w:rPr>
            <w:noProof/>
            <w:webHidden/>
          </w:rPr>
          <w:fldChar w:fldCharType="begin"/>
        </w:r>
        <w:r w:rsidR="0021390C">
          <w:rPr>
            <w:noProof/>
            <w:webHidden/>
          </w:rPr>
          <w:instrText xml:space="preserve"> PAGEREF _Toc15042893 \h </w:instrText>
        </w:r>
        <w:r w:rsidR="0021390C">
          <w:rPr>
            <w:noProof/>
            <w:webHidden/>
          </w:rPr>
        </w:r>
        <w:r w:rsidR="0021390C">
          <w:rPr>
            <w:noProof/>
            <w:webHidden/>
          </w:rPr>
          <w:fldChar w:fldCharType="separate"/>
        </w:r>
        <w:r w:rsidR="00A94823">
          <w:rPr>
            <w:noProof/>
            <w:webHidden/>
          </w:rPr>
          <w:t>13</w:t>
        </w:r>
        <w:r w:rsidR="0021390C">
          <w:rPr>
            <w:noProof/>
            <w:webHidden/>
          </w:rPr>
          <w:fldChar w:fldCharType="end"/>
        </w:r>
      </w:hyperlink>
    </w:p>
    <w:p w14:paraId="09D093EE"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894" w:history="1">
        <w:r w:rsidR="0021390C" w:rsidRPr="006A1D67">
          <w:rPr>
            <w:rStyle w:val="Hyperlink"/>
            <w:noProof/>
          </w:rPr>
          <w:t>Figure 2: Locations of fixed monitoring sites where time-integrated passive sampling of pesticides occurred in 2017-18</w:t>
        </w:r>
        <w:r w:rsidR="0021390C">
          <w:rPr>
            <w:noProof/>
            <w:webHidden/>
          </w:rPr>
          <w:tab/>
        </w:r>
        <w:r w:rsidR="0021390C">
          <w:rPr>
            <w:noProof/>
            <w:webHidden/>
          </w:rPr>
          <w:fldChar w:fldCharType="begin"/>
        </w:r>
        <w:r w:rsidR="0021390C">
          <w:rPr>
            <w:noProof/>
            <w:webHidden/>
          </w:rPr>
          <w:instrText xml:space="preserve"> PAGEREF _Toc15042894 \h </w:instrText>
        </w:r>
        <w:r w:rsidR="0021390C">
          <w:rPr>
            <w:noProof/>
            <w:webHidden/>
          </w:rPr>
        </w:r>
        <w:r w:rsidR="0021390C">
          <w:rPr>
            <w:noProof/>
            <w:webHidden/>
          </w:rPr>
          <w:fldChar w:fldCharType="separate"/>
        </w:r>
        <w:r w:rsidR="00A94823">
          <w:rPr>
            <w:noProof/>
            <w:webHidden/>
          </w:rPr>
          <w:t>15</w:t>
        </w:r>
        <w:r w:rsidR="0021390C">
          <w:rPr>
            <w:noProof/>
            <w:webHidden/>
          </w:rPr>
          <w:fldChar w:fldCharType="end"/>
        </w:r>
      </w:hyperlink>
    </w:p>
    <w:p w14:paraId="21C7D679"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895" w:history="1">
        <w:r w:rsidR="0021390C" w:rsidRPr="006A1D67">
          <w:rPr>
            <w:rStyle w:val="Hyperlink"/>
            <w:noProof/>
          </w:rPr>
          <w:t>Figure 3: Locations of grab (flood plume monitoring) and passive samplers (fixed monitoring) collected on the Russell-Mulgrave River transect, and Tully River transect</w:t>
        </w:r>
        <w:r w:rsidR="0021390C">
          <w:rPr>
            <w:noProof/>
            <w:webHidden/>
          </w:rPr>
          <w:tab/>
        </w:r>
        <w:r w:rsidR="0021390C">
          <w:rPr>
            <w:noProof/>
            <w:webHidden/>
          </w:rPr>
          <w:fldChar w:fldCharType="begin"/>
        </w:r>
        <w:r w:rsidR="0021390C">
          <w:rPr>
            <w:noProof/>
            <w:webHidden/>
          </w:rPr>
          <w:instrText xml:space="preserve"> PAGEREF _Toc15042895 \h </w:instrText>
        </w:r>
        <w:r w:rsidR="0021390C">
          <w:rPr>
            <w:noProof/>
            <w:webHidden/>
          </w:rPr>
        </w:r>
        <w:r w:rsidR="0021390C">
          <w:rPr>
            <w:noProof/>
            <w:webHidden/>
          </w:rPr>
          <w:fldChar w:fldCharType="separate"/>
        </w:r>
        <w:r w:rsidR="00A94823">
          <w:rPr>
            <w:noProof/>
            <w:webHidden/>
          </w:rPr>
          <w:t>17</w:t>
        </w:r>
        <w:r w:rsidR="0021390C">
          <w:rPr>
            <w:noProof/>
            <w:webHidden/>
          </w:rPr>
          <w:fldChar w:fldCharType="end"/>
        </w:r>
      </w:hyperlink>
    </w:p>
    <w:p w14:paraId="0A7B9E9A"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896" w:history="1">
        <w:r w:rsidR="0021390C" w:rsidRPr="006A1D67">
          <w:rPr>
            <w:rStyle w:val="Hyperlink"/>
            <w:noProof/>
          </w:rPr>
          <w:t>Figure 4: Land use in the Reef basins. Sourced from GBRMPA (2014a)</w:t>
        </w:r>
        <w:r w:rsidR="0021390C">
          <w:rPr>
            <w:noProof/>
            <w:webHidden/>
          </w:rPr>
          <w:tab/>
        </w:r>
        <w:r w:rsidR="0021390C">
          <w:rPr>
            <w:noProof/>
            <w:webHidden/>
          </w:rPr>
          <w:fldChar w:fldCharType="begin"/>
        </w:r>
        <w:r w:rsidR="0021390C">
          <w:rPr>
            <w:noProof/>
            <w:webHidden/>
          </w:rPr>
          <w:instrText xml:space="preserve"> PAGEREF _Toc15042896 \h </w:instrText>
        </w:r>
        <w:r w:rsidR="0021390C">
          <w:rPr>
            <w:noProof/>
            <w:webHidden/>
          </w:rPr>
        </w:r>
        <w:r w:rsidR="0021390C">
          <w:rPr>
            <w:noProof/>
            <w:webHidden/>
          </w:rPr>
          <w:fldChar w:fldCharType="separate"/>
        </w:r>
        <w:r w:rsidR="00A94823">
          <w:rPr>
            <w:noProof/>
            <w:webHidden/>
          </w:rPr>
          <w:t>23</w:t>
        </w:r>
        <w:r w:rsidR="0021390C">
          <w:rPr>
            <w:noProof/>
            <w:webHidden/>
          </w:rPr>
          <w:fldChar w:fldCharType="end"/>
        </w:r>
      </w:hyperlink>
    </w:p>
    <w:p w14:paraId="438027BA"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897" w:history="1">
        <w:r w:rsidR="0021390C" w:rsidRPr="006A1D67">
          <w:rPr>
            <w:rStyle w:val="Hyperlink"/>
            <w:noProof/>
          </w:rPr>
          <w:t>Figure 5:  Annual average wet season rainfall (December 2017 - April 2018), as compared to the long-term wet season rainfall average (1961 – 1990).</w:t>
        </w:r>
        <w:r w:rsidR="0021390C">
          <w:rPr>
            <w:noProof/>
            <w:webHidden/>
          </w:rPr>
          <w:tab/>
        </w:r>
        <w:r w:rsidR="0021390C">
          <w:rPr>
            <w:noProof/>
            <w:webHidden/>
          </w:rPr>
          <w:fldChar w:fldCharType="begin"/>
        </w:r>
        <w:r w:rsidR="0021390C">
          <w:rPr>
            <w:noProof/>
            <w:webHidden/>
          </w:rPr>
          <w:instrText xml:space="preserve"> PAGEREF _Toc15042897 \h </w:instrText>
        </w:r>
        <w:r w:rsidR="0021390C">
          <w:rPr>
            <w:noProof/>
            <w:webHidden/>
          </w:rPr>
        </w:r>
        <w:r w:rsidR="0021390C">
          <w:rPr>
            <w:noProof/>
            <w:webHidden/>
          </w:rPr>
          <w:fldChar w:fldCharType="separate"/>
        </w:r>
        <w:r w:rsidR="00A94823">
          <w:rPr>
            <w:noProof/>
            <w:webHidden/>
          </w:rPr>
          <w:t>25</w:t>
        </w:r>
        <w:r w:rsidR="0021390C">
          <w:rPr>
            <w:noProof/>
            <w:webHidden/>
          </w:rPr>
          <w:fldChar w:fldCharType="end"/>
        </w:r>
      </w:hyperlink>
    </w:p>
    <w:p w14:paraId="2680E3BD"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898" w:history="1">
        <w:r w:rsidR="0021390C" w:rsidRPr="006A1D67">
          <w:rPr>
            <w:rStyle w:val="Hyperlink"/>
            <w:noProof/>
          </w:rPr>
          <w:t>Figure 6: Long-term total annual discharge (ML) (hydrological year: 1 October to 30 September) for the 35 main Reef river basins.</w:t>
        </w:r>
        <w:r w:rsidR="0021390C">
          <w:rPr>
            <w:noProof/>
            <w:webHidden/>
          </w:rPr>
          <w:tab/>
        </w:r>
        <w:r w:rsidR="0021390C">
          <w:rPr>
            <w:noProof/>
            <w:webHidden/>
          </w:rPr>
          <w:fldChar w:fldCharType="begin"/>
        </w:r>
        <w:r w:rsidR="0021390C">
          <w:rPr>
            <w:noProof/>
            <w:webHidden/>
          </w:rPr>
          <w:instrText xml:space="preserve"> PAGEREF _Toc15042898 \h </w:instrText>
        </w:r>
        <w:r w:rsidR="0021390C">
          <w:rPr>
            <w:noProof/>
            <w:webHidden/>
          </w:rPr>
        </w:r>
        <w:r w:rsidR="0021390C">
          <w:rPr>
            <w:noProof/>
            <w:webHidden/>
          </w:rPr>
          <w:fldChar w:fldCharType="separate"/>
        </w:r>
        <w:r w:rsidR="00A94823">
          <w:rPr>
            <w:noProof/>
            <w:webHidden/>
          </w:rPr>
          <w:t>27</w:t>
        </w:r>
        <w:r w:rsidR="0021390C">
          <w:rPr>
            <w:noProof/>
            <w:webHidden/>
          </w:rPr>
          <w:fldChar w:fldCharType="end"/>
        </w:r>
      </w:hyperlink>
    </w:p>
    <w:p w14:paraId="39AD82FB"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899" w:history="1">
        <w:r w:rsidR="0021390C" w:rsidRPr="006A1D67">
          <w:rPr>
            <w:rStyle w:val="Hyperlink"/>
            <w:noProof/>
          </w:rPr>
          <w:t>Figure 7: Corrected annual hydrological/water year (1 October to 30 September) discharge from each NRM region</w:t>
        </w:r>
        <w:r w:rsidR="0021390C">
          <w:rPr>
            <w:noProof/>
            <w:webHidden/>
          </w:rPr>
          <w:tab/>
        </w:r>
        <w:r w:rsidR="0021390C">
          <w:rPr>
            <w:noProof/>
            <w:webHidden/>
          </w:rPr>
          <w:fldChar w:fldCharType="begin"/>
        </w:r>
        <w:r w:rsidR="0021390C">
          <w:rPr>
            <w:noProof/>
            <w:webHidden/>
          </w:rPr>
          <w:instrText xml:space="preserve"> PAGEREF _Toc15042899 \h </w:instrText>
        </w:r>
        <w:r w:rsidR="0021390C">
          <w:rPr>
            <w:noProof/>
            <w:webHidden/>
          </w:rPr>
        </w:r>
        <w:r w:rsidR="0021390C">
          <w:rPr>
            <w:noProof/>
            <w:webHidden/>
          </w:rPr>
          <w:fldChar w:fldCharType="separate"/>
        </w:r>
        <w:r w:rsidR="00A94823">
          <w:rPr>
            <w:noProof/>
            <w:webHidden/>
          </w:rPr>
          <w:t>28</w:t>
        </w:r>
        <w:r w:rsidR="0021390C">
          <w:rPr>
            <w:noProof/>
            <w:webHidden/>
          </w:rPr>
          <w:fldChar w:fldCharType="end"/>
        </w:r>
      </w:hyperlink>
    </w:p>
    <w:p w14:paraId="5086AF4C"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00" w:history="1">
        <w:r w:rsidR="0021390C" w:rsidRPr="006A1D67">
          <w:rPr>
            <w:rStyle w:val="Hyperlink"/>
            <w:noProof/>
          </w:rPr>
          <w:t>Figure 8: Percentage of ED and PDMS samplers that had measurable pesticide levels</w:t>
        </w:r>
        <w:r w:rsidR="0021390C">
          <w:rPr>
            <w:noProof/>
            <w:webHidden/>
          </w:rPr>
          <w:tab/>
        </w:r>
        <w:r w:rsidR="0021390C">
          <w:rPr>
            <w:noProof/>
            <w:webHidden/>
          </w:rPr>
          <w:fldChar w:fldCharType="begin"/>
        </w:r>
        <w:r w:rsidR="0021390C">
          <w:rPr>
            <w:noProof/>
            <w:webHidden/>
          </w:rPr>
          <w:instrText xml:space="preserve"> PAGEREF _Toc15042900 \h </w:instrText>
        </w:r>
        <w:r w:rsidR="0021390C">
          <w:rPr>
            <w:noProof/>
            <w:webHidden/>
          </w:rPr>
        </w:r>
        <w:r w:rsidR="0021390C">
          <w:rPr>
            <w:noProof/>
            <w:webHidden/>
          </w:rPr>
          <w:fldChar w:fldCharType="separate"/>
        </w:r>
        <w:r w:rsidR="00A94823">
          <w:rPr>
            <w:noProof/>
            <w:webHidden/>
          </w:rPr>
          <w:t>30</w:t>
        </w:r>
        <w:r w:rsidR="0021390C">
          <w:rPr>
            <w:noProof/>
            <w:webHidden/>
          </w:rPr>
          <w:fldChar w:fldCharType="end"/>
        </w:r>
      </w:hyperlink>
    </w:p>
    <w:p w14:paraId="59FFE7D3"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01" w:history="1">
        <w:r w:rsidR="0021390C" w:rsidRPr="006A1D67">
          <w:rPr>
            <w:rStyle w:val="Hyperlink"/>
            <w:noProof/>
          </w:rPr>
          <w:t>Figure 9: Maximum concentrations of individual pesticides at all sites monitored in 2017–18 compared to previous years (2009–10 onwards)</w:t>
        </w:r>
        <w:r w:rsidR="0021390C">
          <w:rPr>
            <w:noProof/>
            <w:webHidden/>
          </w:rPr>
          <w:tab/>
        </w:r>
        <w:r w:rsidR="0021390C">
          <w:rPr>
            <w:noProof/>
            <w:webHidden/>
          </w:rPr>
          <w:fldChar w:fldCharType="begin"/>
        </w:r>
        <w:r w:rsidR="0021390C">
          <w:rPr>
            <w:noProof/>
            <w:webHidden/>
          </w:rPr>
          <w:instrText xml:space="preserve"> PAGEREF _Toc15042901 \h </w:instrText>
        </w:r>
        <w:r w:rsidR="0021390C">
          <w:rPr>
            <w:noProof/>
            <w:webHidden/>
          </w:rPr>
        </w:r>
        <w:r w:rsidR="0021390C">
          <w:rPr>
            <w:noProof/>
            <w:webHidden/>
          </w:rPr>
          <w:fldChar w:fldCharType="separate"/>
        </w:r>
        <w:r w:rsidR="00A94823">
          <w:rPr>
            <w:noProof/>
            <w:webHidden/>
          </w:rPr>
          <w:t>34</w:t>
        </w:r>
        <w:r w:rsidR="0021390C">
          <w:rPr>
            <w:noProof/>
            <w:webHidden/>
          </w:rPr>
          <w:fldChar w:fldCharType="end"/>
        </w:r>
      </w:hyperlink>
    </w:p>
    <w:p w14:paraId="496D7519"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02" w:history="1">
        <w:r w:rsidR="0021390C" w:rsidRPr="006A1D67">
          <w:rPr>
            <w:rStyle w:val="Hyperlink"/>
            <w:noProof/>
          </w:rPr>
          <w:t>Figure 10: (A) Maximum % of species affected calculated using the ms</w:t>
        </w:r>
        <w:r w:rsidR="0021390C" w:rsidRPr="006A1D67">
          <w:rPr>
            <w:rStyle w:val="Hyperlink"/>
            <w:noProof/>
          </w:rPr>
          <w:noBreakHyphen/>
          <w:t>PAF method for all Wet Tropic sites and (B) Maximum % of species affected calculated using the ms</w:t>
        </w:r>
        <w:r w:rsidR="0021390C" w:rsidRPr="006A1D67">
          <w:rPr>
            <w:rStyle w:val="Hyperlink"/>
            <w:noProof/>
          </w:rPr>
          <w:noBreakHyphen/>
          <w:t>PAF method for all other sites</w:t>
        </w:r>
        <w:r w:rsidR="0021390C">
          <w:rPr>
            <w:noProof/>
            <w:webHidden/>
          </w:rPr>
          <w:tab/>
        </w:r>
        <w:r w:rsidR="0021390C">
          <w:rPr>
            <w:noProof/>
            <w:webHidden/>
          </w:rPr>
          <w:fldChar w:fldCharType="begin"/>
        </w:r>
        <w:r w:rsidR="0021390C">
          <w:rPr>
            <w:noProof/>
            <w:webHidden/>
          </w:rPr>
          <w:instrText xml:space="preserve"> PAGEREF _Toc15042902 \h </w:instrText>
        </w:r>
        <w:r w:rsidR="0021390C">
          <w:rPr>
            <w:noProof/>
            <w:webHidden/>
          </w:rPr>
        </w:r>
        <w:r w:rsidR="0021390C">
          <w:rPr>
            <w:noProof/>
            <w:webHidden/>
          </w:rPr>
          <w:fldChar w:fldCharType="separate"/>
        </w:r>
        <w:r w:rsidR="00A94823">
          <w:rPr>
            <w:noProof/>
            <w:webHidden/>
          </w:rPr>
          <w:t>35</w:t>
        </w:r>
        <w:r w:rsidR="0021390C">
          <w:rPr>
            <w:noProof/>
            <w:webHidden/>
          </w:rPr>
          <w:fldChar w:fldCharType="end"/>
        </w:r>
      </w:hyperlink>
    </w:p>
    <w:p w14:paraId="07322C0F"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03" w:history="1">
        <w:r w:rsidR="0021390C" w:rsidRPr="006A1D67">
          <w:rPr>
            <w:rStyle w:val="Hyperlink"/>
            <w:noProof/>
          </w:rPr>
          <w:t>Figure 11: Maximum PSII herbicide equivalent concentrations at all sites compared to previous years</w:t>
        </w:r>
        <w:r w:rsidR="0021390C">
          <w:rPr>
            <w:noProof/>
            <w:webHidden/>
          </w:rPr>
          <w:tab/>
        </w:r>
        <w:r w:rsidR="0021390C">
          <w:rPr>
            <w:noProof/>
            <w:webHidden/>
          </w:rPr>
          <w:fldChar w:fldCharType="begin"/>
        </w:r>
        <w:r w:rsidR="0021390C">
          <w:rPr>
            <w:noProof/>
            <w:webHidden/>
          </w:rPr>
          <w:instrText xml:space="preserve"> PAGEREF _Toc15042903 \h </w:instrText>
        </w:r>
        <w:r w:rsidR="0021390C">
          <w:rPr>
            <w:noProof/>
            <w:webHidden/>
          </w:rPr>
        </w:r>
        <w:r w:rsidR="0021390C">
          <w:rPr>
            <w:noProof/>
            <w:webHidden/>
          </w:rPr>
          <w:fldChar w:fldCharType="separate"/>
        </w:r>
        <w:r w:rsidR="00A94823">
          <w:rPr>
            <w:noProof/>
            <w:webHidden/>
          </w:rPr>
          <w:t>36</w:t>
        </w:r>
        <w:r w:rsidR="0021390C">
          <w:rPr>
            <w:noProof/>
            <w:webHidden/>
          </w:rPr>
          <w:fldChar w:fldCharType="end"/>
        </w:r>
      </w:hyperlink>
    </w:p>
    <w:p w14:paraId="2AD0E51C"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04" w:history="1">
        <w:r w:rsidR="0021390C" w:rsidRPr="006A1D67">
          <w:rPr>
            <w:rStyle w:val="Hyperlink"/>
            <w:noProof/>
          </w:rPr>
          <w:t>Figure 12: Temporal trends in % of species affected by pesticides (indicated by the black bars) in Low Isles in 2017-18, together with the flow rate of Mossman river.</w:t>
        </w:r>
        <w:r w:rsidR="0021390C">
          <w:rPr>
            <w:noProof/>
            <w:webHidden/>
          </w:rPr>
          <w:tab/>
        </w:r>
        <w:r w:rsidR="0021390C">
          <w:rPr>
            <w:noProof/>
            <w:webHidden/>
          </w:rPr>
          <w:fldChar w:fldCharType="begin"/>
        </w:r>
        <w:r w:rsidR="0021390C">
          <w:rPr>
            <w:noProof/>
            <w:webHidden/>
          </w:rPr>
          <w:instrText xml:space="preserve"> PAGEREF _Toc15042904 \h </w:instrText>
        </w:r>
        <w:r w:rsidR="0021390C">
          <w:rPr>
            <w:noProof/>
            <w:webHidden/>
          </w:rPr>
        </w:r>
        <w:r w:rsidR="0021390C">
          <w:rPr>
            <w:noProof/>
            <w:webHidden/>
          </w:rPr>
          <w:fldChar w:fldCharType="separate"/>
        </w:r>
        <w:r w:rsidR="00A94823">
          <w:rPr>
            <w:noProof/>
            <w:webHidden/>
          </w:rPr>
          <w:t>37</w:t>
        </w:r>
        <w:r w:rsidR="0021390C">
          <w:rPr>
            <w:noProof/>
            <w:webHidden/>
          </w:rPr>
          <w:fldChar w:fldCharType="end"/>
        </w:r>
      </w:hyperlink>
    </w:p>
    <w:p w14:paraId="2AF23CB6"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05" w:history="1">
        <w:r w:rsidR="0021390C" w:rsidRPr="006A1D67">
          <w:rPr>
            <w:rStyle w:val="Hyperlink"/>
            <w:noProof/>
          </w:rPr>
          <w:t>Figure 13: Temporal trends in % of species affected by pesticides by passive (indicated by the black bars) and grab samples (indicated by the spots) in High Island in 2017-18, together with the flow rate of Mulgrave and Russell rivers.</w:t>
        </w:r>
        <w:r w:rsidR="0021390C">
          <w:rPr>
            <w:noProof/>
            <w:webHidden/>
          </w:rPr>
          <w:tab/>
        </w:r>
        <w:r w:rsidR="0021390C">
          <w:rPr>
            <w:noProof/>
            <w:webHidden/>
          </w:rPr>
          <w:fldChar w:fldCharType="begin"/>
        </w:r>
        <w:r w:rsidR="0021390C">
          <w:rPr>
            <w:noProof/>
            <w:webHidden/>
          </w:rPr>
          <w:instrText xml:space="preserve"> PAGEREF _Toc15042905 \h </w:instrText>
        </w:r>
        <w:r w:rsidR="0021390C">
          <w:rPr>
            <w:noProof/>
            <w:webHidden/>
          </w:rPr>
        </w:r>
        <w:r w:rsidR="0021390C">
          <w:rPr>
            <w:noProof/>
            <w:webHidden/>
          </w:rPr>
          <w:fldChar w:fldCharType="separate"/>
        </w:r>
        <w:r w:rsidR="00A94823">
          <w:rPr>
            <w:noProof/>
            <w:webHidden/>
          </w:rPr>
          <w:t>38</w:t>
        </w:r>
        <w:r w:rsidR="0021390C">
          <w:rPr>
            <w:noProof/>
            <w:webHidden/>
          </w:rPr>
          <w:fldChar w:fldCharType="end"/>
        </w:r>
      </w:hyperlink>
    </w:p>
    <w:p w14:paraId="2A0FEE48"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06" w:history="1">
        <w:r w:rsidR="0021390C" w:rsidRPr="006A1D67">
          <w:rPr>
            <w:rStyle w:val="Hyperlink"/>
            <w:noProof/>
          </w:rPr>
          <w:t>Figure 14: Temporal trends in % of species affected by pesticides (indicated by the black bars) in Normanby Island in 2017-18, together with the flow rate of Mulgrave and Russell rivers.</w:t>
        </w:r>
        <w:r w:rsidR="0021390C">
          <w:rPr>
            <w:noProof/>
            <w:webHidden/>
          </w:rPr>
          <w:tab/>
        </w:r>
        <w:r w:rsidR="0021390C">
          <w:rPr>
            <w:noProof/>
            <w:webHidden/>
          </w:rPr>
          <w:fldChar w:fldCharType="begin"/>
        </w:r>
        <w:r w:rsidR="0021390C">
          <w:rPr>
            <w:noProof/>
            <w:webHidden/>
          </w:rPr>
          <w:instrText xml:space="preserve"> PAGEREF _Toc15042906 \h </w:instrText>
        </w:r>
        <w:r w:rsidR="0021390C">
          <w:rPr>
            <w:noProof/>
            <w:webHidden/>
          </w:rPr>
        </w:r>
        <w:r w:rsidR="0021390C">
          <w:rPr>
            <w:noProof/>
            <w:webHidden/>
          </w:rPr>
          <w:fldChar w:fldCharType="separate"/>
        </w:r>
        <w:r w:rsidR="00A94823">
          <w:rPr>
            <w:noProof/>
            <w:webHidden/>
          </w:rPr>
          <w:t>40</w:t>
        </w:r>
        <w:r w:rsidR="0021390C">
          <w:rPr>
            <w:noProof/>
            <w:webHidden/>
          </w:rPr>
          <w:fldChar w:fldCharType="end"/>
        </w:r>
      </w:hyperlink>
    </w:p>
    <w:p w14:paraId="403503AB"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07" w:history="1">
        <w:r w:rsidR="0021390C" w:rsidRPr="006A1D67">
          <w:rPr>
            <w:rStyle w:val="Hyperlink"/>
            <w:noProof/>
          </w:rPr>
          <w:t>Figure 15: Temporal trends in % of species affected by pesticides (indicated by the black bars) in Dunk Island in 2017–18, together with the flow rate of Tully river.</w:t>
        </w:r>
        <w:r w:rsidR="0021390C">
          <w:rPr>
            <w:noProof/>
            <w:webHidden/>
          </w:rPr>
          <w:tab/>
        </w:r>
        <w:r w:rsidR="0021390C">
          <w:rPr>
            <w:noProof/>
            <w:webHidden/>
          </w:rPr>
          <w:fldChar w:fldCharType="begin"/>
        </w:r>
        <w:r w:rsidR="0021390C">
          <w:rPr>
            <w:noProof/>
            <w:webHidden/>
          </w:rPr>
          <w:instrText xml:space="preserve"> PAGEREF _Toc15042907 \h </w:instrText>
        </w:r>
        <w:r w:rsidR="0021390C">
          <w:rPr>
            <w:noProof/>
            <w:webHidden/>
          </w:rPr>
        </w:r>
        <w:r w:rsidR="0021390C">
          <w:rPr>
            <w:noProof/>
            <w:webHidden/>
          </w:rPr>
          <w:fldChar w:fldCharType="separate"/>
        </w:r>
        <w:r w:rsidR="00A94823">
          <w:rPr>
            <w:noProof/>
            <w:webHidden/>
          </w:rPr>
          <w:t>41</w:t>
        </w:r>
        <w:r w:rsidR="0021390C">
          <w:rPr>
            <w:noProof/>
            <w:webHidden/>
          </w:rPr>
          <w:fldChar w:fldCharType="end"/>
        </w:r>
      </w:hyperlink>
    </w:p>
    <w:p w14:paraId="4CDA83D9"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08" w:history="1">
        <w:r w:rsidR="0021390C" w:rsidRPr="006A1D67">
          <w:rPr>
            <w:rStyle w:val="Hyperlink"/>
            <w:noProof/>
          </w:rPr>
          <w:t>Figure 16: Temporal trends in % of species affected by pesticides (indicated by the black bars) in Lucinda in 2017-18, together with the flow rate of Herbert River.</w:t>
        </w:r>
        <w:r w:rsidR="0021390C">
          <w:rPr>
            <w:noProof/>
            <w:webHidden/>
          </w:rPr>
          <w:tab/>
        </w:r>
        <w:r w:rsidR="0021390C">
          <w:rPr>
            <w:noProof/>
            <w:webHidden/>
          </w:rPr>
          <w:fldChar w:fldCharType="begin"/>
        </w:r>
        <w:r w:rsidR="0021390C">
          <w:rPr>
            <w:noProof/>
            <w:webHidden/>
          </w:rPr>
          <w:instrText xml:space="preserve"> PAGEREF _Toc15042908 \h </w:instrText>
        </w:r>
        <w:r w:rsidR="0021390C">
          <w:rPr>
            <w:noProof/>
            <w:webHidden/>
          </w:rPr>
        </w:r>
        <w:r w:rsidR="0021390C">
          <w:rPr>
            <w:noProof/>
            <w:webHidden/>
          </w:rPr>
          <w:fldChar w:fldCharType="separate"/>
        </w:r>
        <w:r w:rsidR="00A94823">
          <w:rPr>
            <w:noProof/>
            <w:webHidden/>
          </w:rPr>
          <w:t>43</w:t>
        </w:r>
        <w:r w:rsidR="0021390C">
          <w:rPr>
            <w:noProof/>
            <w:webHidden/>
          </w:rPr>
          <w:fldChar w:fldCharType="end"/>
        </w:r>
      </w:hyperlink>
    </w:p>
    <w:p w14:paraId="7600F5AB"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09" w:history="1">
        <w:r w:rsidR="0021390C" w:rsidRPr="006A1D67">
          <w:rPr>
            <w:rStyle w:val="Hyperlink"/>
            <w:noProof/>
          </w:rPr>
          <w:t>Figure 17: Temporal trends in ms</w:t>
        </w:r>
        <w:r w:rsidR="0021390C" w:rsidRPr="006A1D67">
          <w:rPr>
            <w:rStyle w:val="Hyperlink"/>
            <w:noProof/>
          </w:rPr>
          <w:noBreakHyphen/>
          <w:t>PAF values at Barratta Creek mouth fixed passive sampling (black bar) and grab samples (blue triangles) relative to the flow rate of the rivers influencing the sampling sites.</w:t>
        </w:r>
        <w:r w:rsidR="0021390C">
          <w:rPr>
            <w:noProof/>
            <w:webHidden/>
          </w:rPr>
          <w:tab/>
        </w:r>
        <w:r w:rsidR="0021390C">
          <w:rPr>
            <w:noProof/>
            <w:webHidden/>
          </w:rPr>
          <w:fldChar w:fldCharType="begin"/>
        </w:r>
        <w:r w:rsidR="0021390C">
          <w:rPr>
            <w:noProof/>
            <w:webHidden/>
          </w:rPr>
          <w:instrText xml:space="preserve"> PAGEREF _Toc15042909 \h </w:instrText>
        </w:r>
        <w:r w:rsidR="0021390C">
          <w:rPr>
            <w:noProof/>
            <w:webHidden/>
          </w:rPr>
        </w:r>
        <w:r w:rsidR="0021390C">
          <w:rPr>
            <w:noProof/>
            <w:webHidden/>
          </w:rPr>
          <w:fldChar w:fldCharType="separate"/>
        </w:r>
        <w:r w:rsidR="00A94823">
          <w:rPr>
            <w:noProof/>
            <w:webHidden/>
          </w:rPr>
          <w:t>45</w:t>
        </w:r>
        <w:r w:rsidR="0021390C">
          <w:rPr>
            <w:noProof/>
            <w:webHidden/>
          </w:rPr>
          <w:fldChar w:fldCharType="end"/>
        </w:r>
      </w:hyperlink>
    </w:p>
    <w:p w14:paraId="1DDD9929"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10" w:history="1">
        <w:r w:rsidR="0021390C" w:rsidRPr="006A1D67">
          <w:rPr>
            <w:rStyle w:val="Hyperlink"/>
            <w:noProof/>
          </w:rPr>
          <w:t>Figure 18: Temporal trends in % of species affected by pesticides (indicated by the black bars) in Repulse Bay in 2017-18, together with the flow rates of adjacent rivers.</w:t>
        </w:r>
        <w:r w:rsidR="0021390C">
          <w:rPr>
            <w:noProof/>
            <w:webHidden/>
          </w:rPr>
          <w:tab/>
        </w:r>
        <w:r w:rsidR="0021390C">
          <w:rPr>
            <w:noProof/>
            <w:webHidden/>
          </w:rPr>
          <w:fldChar w:fldCharType="begin"/>
        </w:r>
        <w:r w:rsidR="0021390C">
          <w:rPr>
            <w:noProof/>
            <w:webHidden/>
          </w:rPr>
          <w:instrText xml:space="preserve"> PAGEREF _Toc15042910 \h </w:instrText>
        </w:r>
        <w:r w:rsidR="0021390C">
          <w:rPr>
            <w:noProof/>
            <w:webHidden/>
          </w:rPr>
        </w:r>
        <w:r w:rsidR="0021390C">
          <w:rPr>
            <w:noProof/>
            <w:webHidden/>
          </w:rPr>
          <w:fldChar w:fldCharType="separate"/>
        </w:r>
        <w:r w:rsidR="00A94823">
          <w:rPr>
            <w:noProof/>
            <w:webHidden/>
          </w:rPr>
          <w:t>47</w:t>
        </w:r>
        <w:r w:rsidR="0021390C">
          <w:rPr>
            <w:noProof/>
            <w:webHidden/>
          </w:rPr>
          <w:fldChar w:fldCharType="end"/>
        </w:r>
      </w:hyperlink>
    </w:p>
    <w:p w14:paraId="59496D12"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11" w:history="1">
        <w:r w:rsidR="0021390C" w:rsidRPr="006A1D67">
          <w:rPr>
            <w:rStyle w:val="Hyperlink"/>
            <w:noProof/>
          </w:rPr>
          <w:t>Figure 19: Temporal trends in % of species affected by pesticides (indicated by the black bars) in Round Top Island in 2017-18, together with the flow rates of adjacent rivers.</w:t>
        </w:r>
        <w:r w:rsidR="0021390C">
          <w:rPr>
            <w:noProof/>
            <w:webHidden/>
          </w:rPr>
          <w:tab/>
        </w:r>
        <w:r w:rsidR="0021390C">
          <w:rPr>
            <w:noProof/>
            <w:webHidden/>
          </w:rPr>
          <w:fldChar w:fldCharType="begin"/>
        </w:r>
        <w:r w:rsidR="0021390C">
          <w:rPr>
            <w:noProof/>
            <w:webHidden/>
          </w:rPr>
          <w:instrText xml:space="preserve"> PAGEREF _Toc15042911 \h </w:instrText>
        </w:r>
        <w:r w:rsidR="0021390C">
          <w:rPr>
            <w:noProof/>
            <w:webHidden/>
          </w:rPr>
        </w:r>
        <w:r w:rsidR="0021390C">
          <w:rPr>
            <w:noProof/>
            <w:webHidden/>
          </w:rPr>
          <w:fldChar w:fldCharType="separate"/>
        </w:r>
        <w:r w:rsidR="00A94823">
          <w:rPr>
            <w:noProof/>
            <w:webHidden/>
          </w:rPr>
          <w:t>48</w:t>
        </w:r>
        <w:r w:rsidR="0021390C">
          <w:rPr>
            <w:noProof/>
            <w:webHidden/>
          </w:rPr>
          <w:fldChar w:fldCharType="end"/>
        </w:r>
      </w:hyperlink>
    </w:p>
    <w:p w14:paraId="70EA27B3"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12" w:history="1">
        <w:r w:rsidR="0021390C" w:rsidRPr="006A1D67">
          <w:rPr>
            <w:rStyle w:val="Hyperlink"/>
            <w:noProof/>
          </w:rPr>
          <w:t>Figure 20: Temporal trends in % of species affected by pesticides (indicated by the black bars) in Sandy Creek in 2017–18, together with the flow rates of adjacent rivers.</w:t>
        </w:r>
        <w:r w:rsidR="0021390C">
          <w:rPr>
            <w:noProof/>
            <w:webHidden/>
          </w:rPr>
          <w:tab/>
        </w:r>
        <w:r w:rsidR="0021390C">
          <w:rPr>
            <w:noProof/>
            <w:webHidden/>
          </w:rPr>
          <w:fldChar w:fldCharType="begin"/>
        </w:r>
        <w:r w:rsidR="0021390C">
          <w:rPr>
            <w:noProof/>
            <w:webHidden/>
          </w:rPr>
          <w:instrText xml:space="preserve"> PAGEREF _Toc15042912 \h </w:instrText>
        </w:r>
        <w:r w:rsidR="0021390C">
          <w:rPr>
            <w:noProof/>
            <w:webHidden/>
          </w:rPr>
        </w:r>
        <w:r w:rsidR="0021390C">
          <w:rPr>
            <w:noProof/>
            <w:webHidden/>
          </w:rPr>
          <w:fldChar w:fldCharType="separate"/>
        </w:r>
        <w:r w:rsidR="00A94823">
          <w:rPr>
            <w:noProof/>
            <w:webHidden/>
          </w:rPr>
          <w:t>49</w:t>
        </w:r>
        <w:r w:rsidR="0021390C">
          <w:rPr>
            <w:noProof/>
            <w:webHidden/>
          </w:rPr>
          <w:fldChar w:fldCharType="end"/>
        </w:r>
      </w:hyperlink>
    </w:p>
    <w:p w14:paraId="6201E7E6"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13" w:history="1">
        <w:r w:rsidR="0021390C" w:rsidRPr="006A1D67">
          <w:rPr>
            <w:rStyle w:val="Hyperlink"/>
            <w:noProof/>
          </w:rPr>
          <w:t>Figure 21: Temporal trends in % of species affected by PSII pesticides (as indicated by the black bars) in Sarina Inlet in 2017–18, together with the flow rates of adjacent rivers.</w:t>
        </w:r>
        <w:r w:rsidR="0021390C">
          <w:rPr>
            <w:noProof/>
            <w:webHidden/>
          </w:rPr>
          <w:tab/>
        </w:r>
        <w:r w:rsidR="0021390C">
          <w:rPr>
            <w:noProof/>
            <w:webHidden/>
          </w:rPr>
          <w:fldChar w:fldCharType="begin"/>
        </w:r>
        <w:r w:rsidR="0021390C">
          <w:rPr>
            <w:noProof/>
            <w:webHidden/>
          </w:rPr>
          <w:instrText xml:space="preserve"> PAGEREF _Toc15042913 \h </w:instrText>
        </w:r>
        <w:r w:rsidR="0021390C">
          <w:rPr>
            <w:noProof/>
            <w:webHidden/>
          </w:rPr>
        </w:r>
        <w:r w:rsidR="0021390C">
          <w:rPr>
            <w:noProof/>
            <w:webHidden/>
          </w:rPr>
          <w:fldChar w:fldCharType="separate"/>
        </w:r>
        <w:r w:rsidR="00A94823">
          <w:rPr>
            <w:noProof/>
            <w:webHidden/>
          </w:rPr>
          <w:t>50</w:t>
        </w:r>
        <w:r w:rsidR="0021390C">
          <w:rPr>
            <w:noProof/>
            <w:webHidden/>
          </w:rPr>
          <w:fldChar w:fldCharType="end"/>
        </w:r>
      </w:hyperlink>
    </w:p>
    <w:p w14:paraId="7E2A55B7"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914" w:history="1">
        <w:r w:rsidR="0021390C" w:rsidRPr="006A1D67">
          <w:rPr>
            <w:rStyle w:val="Hyperlink"/>
            <w:noProof/>
          </w:rPr>
          <w:t>Figure 22. Temporal trends in ms</w:t>
        </w:r>
        <w:r w:rsidR="0021390C" w:rsidRPr="006A1D67">
          <w:rPr>
            <w:rStyle w:val="Hyperlink"/>
            <w:noProof/>
          </w:rPr>
          <w:noBreakHyphen/>
          <w:t>PAF values in 2017-18, relative to the flow rate of the Fitzroy River influencing North Keppel Island’s fixed passive sampler site.</w:t>
        </w:r>
        <w:r w:rsidR="0021390C">
          <w:rPr>
            <w:noProof/>
            <w:webHidden/>
          </w:rPr>
          <w:tab/>
        </w:r>
        <w:r w:rsidR="0021390C">
          <w:rPr>
            <w:noProof/>
            <w:webHidden/>
          </w:rPr>
          <w:fldChar w:fldCharType="begin"/>
        </w:r>
        <w:r w:rsidR="0021390C">
          <w:rPr>
            <w:noProof/>
            <w:webHidden/>
          </w:rPr>
          <w:instrText xml:space="preserve"> PAGEREF _Toc15042914 \h </w:instrText>
        </w:r>
        <w:r w:rsidR="0021390C">
          <w:rPr>
            <w:noProof/>
            <w:webHidden/>
          </w:rPr>
        </w:r>
        <w:r w:rsidR="0021390C">
          <w:rPr>
            <w:noProof/>
            <w:webHidden/>
          </w:rPr>
          <w:fldChar w:fldCharType="separate"/>
        </w:r>
        <w:r w:rsidR="00A94823">
          <w:rPr>
            <w:noProof/>
            <w:webHidden/>
          </w:rPr>
          <w:t>52</w:t>
        </w:r>
        <w:r w:rsidR="0021390C">
          <w:rPr>
            <w:noProof/>
            <w:webHidden/>
          </w:rPr>
          <w:fldChar w:fldCharType="end"/>
        </w:r>
      </w:hyperlink>
    </w:p>
    <w:p w14:paraId="0DCBFAC4" w14:textId="26D54355" w:rsidR="0059608E" w:rsidRDefault="00B032E6" w:rsidP="00B032E6">
      <w:pPr>
        <w:pStyle w:val="TableofFigures"/>
        <w:tabs>
          <w:tab w:val="right" w:leader="dot" w:pos="9016"/>
        </w:tabs>
        <w:rPr>
          <w:lang w:val="en-AU"/>
        </w:rPr>
      </w:pPr>
      <w:r>
        <w:rPr>
          <w:iCs w:val="0"/>
          <w:lang w:val="en-AU"/>
        </w:rPr>
        <w:fldChar w:fldCharType="end"/>
      </w:r>
    </w:p>
    <w:p w14:paraId="00222559" w14:textId="77777777" w:rsidR="004C6C7A" w:rsidRDefault="00C91BF5">
      <w:pPr>
        <w:pStyle w:val="TableofFigures"/>
        <w:tabs>
          <w:tab w:val="right" w:leader="dot" w:pos="9016"/>
        </w:tabs>
        <w:rPr>
          <w:rFonts w:asciiTheme="minorHAnsi" w:hAnsiTheme="minorHAnsi"/>
          <w:iCs w:val="0"/>
          <w:noProof/>
          <w:sz w:val="22"/>
          <w:szCs w:val="22"/>
          <w:lang w:val="en-AU" w:eastAsia="en-AU" w:bidi="ar-SA"/>
        </w:rPr>
      </w:pPr>
      <w:r w:rsidRPr="007E6E4A">
        <w:rPr>
          <w:sz w:val="22"/>
          <w:szCs w:val="22"/>
          <w:lang w:val="en-AU"/>
        </w:rPr>
        <w:fldChar w:fldCharType="begin"/>
      </w:r>
      <w:r w:rsidR="00AD6279" w:rsidRPr="007E6E4A">
        <w:rPr>
          <w:sz w:val="22"/>
          <w:szCs w:val="22"/>
          <w:lang w:val="en-AU"/>
        </w:rPr>
        <w:instrText xml:space="preserve"> TOC \h \z \t "authors1" \c "Table" </w:instrText>
      </w:r>
      <w:r w:rsidRPr="007E6E4A">
        <w:rPr>
          <w:sz w:val="22"/>
          <w:szCs w:val="22"/>
          <w:lang w:val="en-AU"/>
        </w:rPr>
        <w:fldChar w:fldCharType="separate"/>
      </w:r>
      <w:hyperlink w:anchor="_Toc14435322" w:history="1">
        <w:r w:rsidR="004C6C7A" w:rsidRPr="00813602">
          <w:rPr>
            <w:rStyle w:val="Hyperlink"/>
            <w:noProof/>
          </w:rPr>
          <w:t>Table 1: Location of fixed passive sampling sites, closest influencing river and date that sampling first commenced</w:t>
        </w:r>
        <w:r w:rsidR="004C6C7A">
          <w:rPr>
            <w:noProof/>
            <w:webHidden/>
          </w:rPr>
          <w:tab/>
        </w:r>
        <w:r w:rsidR="004C6C7A">
          <w:rPr>
            <w:noProof/>
            <w:webHidden/>
          </w:rPr>
          <w:fldChar w:fldCharType="begin"/>
        </w:r>
        <w:r w:rsidR="004C6C7A">
          <w:rPr>
            <w:noProof/>
            <w:webHidden/>
          </w:rPr>
          <w:instrText xml:space="preserve"> PAGEREF _Toc14435322 \h </w:instrText>
        </w:r>
        <w:r w:rsidR="004C6C7A">
          <w:rPr>
            <w:noProof/>
            <w:webHidden/>
          </w:rPr>
        </w:r>
        <w:r w:rsidR="004C6C7A">
          <w:rPr>
            <w:noProof/>
            <w:webHidden/>
          </w:rPr>
          <w:fldChar w:fldCharType="separate"/>
        </w:r>
        <w:r w:rsidR="00A94823">
          <w:rPr>
            <w:noProof/>
            <w:webHidden/>
          </w:rPr>
          <w:t>16</w:t>
        </w:r>
        <w:r w:rsidR="004C6C7A">
          <w:rPr>
            <w:noProof/>
            <w:webHidden/>
          </w:rPr>
          <w:fldChar w:fldCharType="end"/>
        </w:r>
      </w:hyperlink>
    </w:p>
    <w:p w14:paraId="38FF6D52" w14:textId="77777777" w:rsidR="004C6C7A" w:rsidRDefault="00F41081">
      <w:pPr>
        <w:pStyle w:val="TableofFigures"/>
        <w:tabs>
          <w:tab w:val="right" w:leader="dot" w:pos="9016"/>
        </w:tabs>
        <w:rPr>
          <w:rFonts w:asciiTheme="minorHAnsi" w:hAnsiTheme="minorHAnsi"/>
          <w:iCs w:val="0"/>
          <w:noProof/>
          <w:sz w:val="22"/>
          <w:szCs w:val="22"/>
          <w:lang w:val="en-AU" w:eastAsia="en-AU" w:bidi="ar-SA"/>
        </w:rPr>
      </w:pPr>
      <w:hyperlink w:anchor="_Toc14435323" w:history="1">
        <w:r w:rsidR="004C6C7A" w:rsidRPr="00813602">
          <w:rPr>
            <w:rStyle w:val="Hyperlink"/>
            <w:noProof/>
          </w:rPr>
          <w:t>Table 2: The types of passive samplers deployed at each fixed monitoring site in 2017-18.</w:t>
        </w:r>
        <w:r w:rsidR="004C6C7A">
          <w:rPr>
            <w:noProof/>
            <w:webHidden/>
          </w:rPr>
          <w:tab/>
        </w:r>
        <w:r w:rsidR="004C6C7A">
          <w:rPr>
            <w:noProof/>
            <w:webHidden/>
          </w:rPr>
          <w:fldChar w:fldCharType="begin"/>
        </w:r>
        <w:r w:rsidR="004C6C7A">
          <w:rPr>
            <w:noProof/>
            <w:webHidden/>
          </w:rPr>
          <w:instrText xml:space="preserve"> PAGEREF _Toc14435323 \h </w:instrText>
        </w:r>
        <w:r w:rsidR="004C6C7A">
          <w:rPr>
            <w:noProof/>
            <w:webHidden/>
          </w:rPr>
        </w:r>
        <w:r w:rsidR="004C6C7A">
          <w:rPr>
            <w:noProof/>
            <w:webHidden/>
          </w:rPr>
          <w:fldChar w:fldCharType="separate"/>
        </w:r>
        <w:r w:rsidR="00A94823">
          <w:rPr>
            <w:noProof/>
            <w:webHidden/>
          </w:rPr>
          <w:t>18</w:t>
        </w:r>
        <w:r w:rsidR="004C6C7A">
          <w:rPr>
            <w:noProof/>
            <w:webHidden/>
          </w:rPr>
          <w:fldChar w:fldCharType="end"/>
        </w:r>
      </w:hyperlink>
    </w:p>
    <w:p w14:paraId="3A11C027" w14:textId="77777777" w:rsidR="004C6C7A" w:rsidRDefault="00F41081">
      <w:pPr>
        <w:pStyle w:val="TableofFigures"/>
        <w:tabs>
          <w:tab w:val="left" w:pos="1100"/>
          <w:tab w:val="right" w:leader="dot" w:pos="9016"/>
        </w:tabs>
        <w:rPr>
          <w:rFonts w:asciiTheme="minorHAnsi" w:hAnsiTheme="minorHAnsi"/>
          <w:iCs w:val="0"/>
          <w:noProof/>
          <w:sz w:val="22"/>
          <w:szCs w:val="22"/>
          <w:lang w:val="en-AU" w:eastAsia="en-AU" w:bidi="ar-SA"/>
        </w:rPr>
      </w:pPr>
      <w:hyperlink w:anchor="_Toc14435324" w:history="1">
        <w:r w:rsidR="004C6C7A" w:rsidRPr="00813602">
          <w:rPr>
            <w:rStyle w:val="Hyperlink"/>
            <w:noProof/>
          </w:rPr>
          <w:t xml:space="preserve">Table 3: </w:t>
        </w:r>
        <w:r w:rsidR="004C6C7A">
          <w:rPr>
            <w:rFonts w:asciiTheme="minorHAnsi" w:hAnsiTheme="minorHAnsi"/>
            <w:iCs w:val="0"/>
            <w:noProof/>
            <w:sz w:val="22"/>
            <w:szCs w:val="22"/>
            <w:lang w:val="en-AU" w:eastAsia="en-AU" w:bidi="ar-SA"/>
          </w:rPr>
          <w:tab/>
        </w:r>
        <w:r w:rsidR="004C6C7A" w:rsidRPr="00813602">
          <w:rPr>
            <w:rStyle w:val="Hyperlink"/>
            <w:noProof/>
          </w:rPr>
          <w:t>Weekly mean basin rainfall (mm) in basins adjacent to fixed passive sampler sites during the 2017-18 wet season</w:t>
        </w:r>
        <w:r w:rsidR="004C6C7A">
          <w:rPr>
            <w:noProof/>
            <w:webHidden/>
          </w:rPr>
          <w:tab/>
        </w:r>
        <w:r w:rsidR="004C6C7A">
          <w:rPr>
            <w:noProof/>
            <w:webHidden/>
          </w:rPr>
          <w:fldChar w:fldCharType="begin"/>
        </w:r>
        <w:r w:rsidR="004C6C7A">
          <w:rPr>
            <w:noProof/>
            <w:webHidden/>
          </w:rPr>
          <w:instrText xml:space="preserve"> PAGEREF _Toc14435324 \h </w:instrText>
        </w:r>
        <w:r w:rsidR="004C6C7A">
          <w:rPr>
            <w:noProof/>
            <w:webHidden/>
          </w:rPr>
        </w:r>
        <w:r w:rsidR="004C6C7A">
          <w:rPr>
            <w:noProof/>
            <w:webHidden/>
          </w:rPr>
          <w:fldChar w:fldCharType="separate"/>
        </w:r>
        <w:r w:rsidR="00A94823">
          <w:rPr>
            <w:noProof/>
            <w:webHidden/>
          </w:rPr>
          <w:t>26</w:t>
        </w:r>
        <w:r w:rsidR="004C6C7A">
          <w:rPr>
            <w:noProof/>
            <w:webHidden/>
          </w:rPr>
          <w:fldChar w:fldCharType="end"/>
        </w:r>
      </w:hyperlink>
    </w:p>
    <w:p w14:paraId="56056678" w14:textId="77777777" w:rsidR="004C6C7A" w:rsidRDefault="00F41081">
      <w:pPr>
        <w:pStyle w:val="TableofFigures"/>
        <w:tabs>
          <w:tab w:val="right" w:leader="dot" w:pos="9016"/>
        </w:tabs>
        <w:rPr>
          <w:rFonts w:asciiTheme="minorHAnsi" w:hAnsiTheme="minorHAnsi"/>
          <w:iCs w:val="0"/>
          <w:noProof/>
          <w:sz w:val="22"/>
          <w:szCs w:val="22"/>
          <w:lang w:val="en-AU" w:eastAsia="en-AU" w:bidi="ar-SA"/>
        </w:rPr>
      </w:pPr>
      <w:hyperlink w:anchor="_Toc14435325" w:history="1">
        <w:r w:rsidR="004C6C7A" w:rsidRPr="00813602">
          <w:rPr>
            <w:rStyle w:val="Hyperlink"/>
            <w:noProof/>
          </w:rPr>
          <w:t>Table 4: 2017-18 annual discharge (ML) of the major Reef basin rivers adjacent to passive sampling sites</w:t>
        </w:r>
        <w:r w:rsidR="004C6C7A">
          <w:rPr>
            <w:noProof/>
            <w:webHidden/>
          </w:rPr>
          <w:tab/>
        </w:r>
        <w:r w:rsidR="004C6C7A">
          <w:rPr>
            <w:noProof/>
            <w:webHidden/>
          </w:rPr>
          <w:fldChar w:fldCharType="begin"/>
        </w:r>
        <w:r w:rsidR="004C6C7A">
          <w:rPr>
            <w:noProof/>
            <w:webHidden/>
          </w:rPr>
          <w:instrText xml:space="preserve"> PAGEREF _Toc14435325 \h </w:instrText>
        </w:r>
        <w:r w:rsidR="004C6C7A">
          <w:rPr>
            <w:noProof/>
            <w:webHidden/>
          </w:rPr>
        </w:r>
        <w:r w:rsidR="004C6C7A">
          <w:rPr>
            <w:noProof/>
            <w:webHidden/>
          </w:rPr>
          <w:fldChar w:fldCharType="separate"/>
        </w:r>
        <w:r w:rsidR="00A94823">
          <w:rPr>
            <w:noProof/>
            <w:webHidden/>
          </w:rPr>
          <w:t>28</w:t>
        </w:r>
        <w:r w:rsidR="004C6C7A">
          <w:rPr>
            <w:noProof/>
            <w:webHidden/>
          </w:rPr>
          <w:fldChar w:fldCharType="end"/>
        </w:r>
      </w:hyperlink>
    </w:p>
    <w:p w14:paraId="2838DC51" w14:textId="77777777" w:rsidR="004C6C7A" w:rsidRDefault="00F41081">
      <w:pPr>
        <w:pStyle w:val="TableofFigures"/>
        <w:tabs>
          <w:tab w:val="right" w:leader="dot" w:pos="9016"/>
        </w:tabs>
        <w:rPr>
          <w:rFonts w:asciiTheme="minorHAnsi" w:hAnsiTheme="minorHAnsi"/>
          <w:iCs w:val="0"/>
          <w:noProof/>
          <w:sz w:val="22"/>
          <w:szCs w:val="22"/>
          <w:lang w:val="en-AU" w:eastAsia="en-AU" w:bidi="ar-SA"/>
        </w:rPr>
      </w:pPr>
      <w:hyperlink w:anchor="_Toc14435326" w:history="1">
        <w:r w:rsidR="004C6C7A" w:rsidRPr="00813602">
          <w:rPr>
            <w:rStyle w:val="Hyperlink"/>
            <w:noProof/>
          </w:rPr>
          <w:t>Table 5: Maximum detected time integrated (or chronic) pesticide concentrations at each fixed passive sampling site</w:t>
        </w:r>
        <w:r w:rsidR="004C6C7A">
          <w:rPr>
            <w:noProof/>
            <w:webHidden/>
          </w:rPr>
          <w:tab/>
        </w:r>
        <w:r w:rsidR="004C6C7A">
          <w:rPr>
            <w:noProof/>
            <w:webHidden/>
          </w:rPr>
          <w:fldChar w:fldCharType="begin"/>
        </w:r>
        <w:r w:rsidR="004C6C7A">
          <w:rPr>
            <w:noProof/>
            <w:webHidden/>
          </w:rPr>
          <w:instrText xml:space="preserve"> PAGEREF _Toc14435326 \h </w:instrText>
        </w:r>
        <w:r w:rsidR="004C6C7A">
          <w:rPr>
            <w:noProof/>
            <w:webHidden/>
          </w:rPr>
        </w:r>
        <w:r w:rsidR="004C6C7A">
          <w:rPr>
            <w:noProof/>
            <w:webHidden/>
          </w:rPr>
          <w:fldChar w:fldCharType="separate"/>
        </w:r>
        <w:r w:rsidR="00A94823">
          <w:rPr>
            <w:noProof/>
            <w:webHidden/>
          </w:rPr>
          <w:t>33</w:t>
        </w:r>
        <w:r w:rsidR="004C6C7A">
          <w:rPr>
            <w:noProof/>
            <w:webHidden/>
          </w:rPr>
          <w:fldChar w:fldCharType="end"/>
        </w:r>
      </w:hyperlink>
    </w:p>
    <w:p w14:paraId="2868D749" w14:textId="77777777" w:rsidR="004C6C7A" w:rsidRDefault="00F41081">
      <w:pPr>
        <w:pStyle w:val="TableofFigures"/>
        <w:tabs>
          <w:tab w:val="right" w:leader="dot" w:pos="9016"/>
        </w:tabs>
        <w:rPr>
          <w:rFonts w:asciiTheme="minorHAnsi" w:hAnsiTheme="minorHAnsi"/>
          <w:iCs w:val="0"/>
          <w:noProof/>
          <w:sz w:val="22"/>
          <w:szCs w:val="22"/>
          <w:lang w:val="en-AU" w:eastAsia="en-AU" w:bidi="ar-SA"/>
        </w:rPr>
      </w:pPr>
      <w:hyperlink w:anchor="_Toc14435327" w:history="1">
        <w:r w:rsidR="004C6C7A" w:rsidRPr="00813602">
          <w:rPr>
            <w:rStyle w:val="Hyperlink"/>
            <w:noProof/>
          </w:rPr>
          <w:t>Table 6: Pesticides detected in passive sampler devices that were assessed using the ms</w:t>
        </w:r>
        <w:r w:rsidR="004C6C7A" w:rsidRPr="00813602">
          <w:rPr>
            <w:rStyle w:val="Hyperlink"/>
            <w:noProof/>
          </w:rPr>
          <w:noBreakHyphen/>
          <w:t>PAF method for multiple pesticides.</w:t>
        </w:r>
        <w:r w:rsidR="004C6C7A">
          <w:rPr>
            <w:noProof/>
            <w:webHidden/>
          </w:rPr>
          <w:tab/>
        </w:r>
        <w:r w:rsidR="004C6C7A">
          <w:rPr>
            <w:noProof/>
            <w:webHidden/>
          </w:rPr>
          <w:fldChar w:fldCharType="begin"/>
        </w:r>
        <w:r w:rsidR="004C6C7A">
          <w:rPr>
            <w:noProof/>
            <w:webHidden/>
          </w:rPr>
          <w:instrText xml:space="preserve"> PAGEREF _Toc14435327 \h </w:instrText>
        </w:r>
        <w:r w:rsidR="004C6C7A">
          <w:rPr>
            <w:noProof/>
            <w:webHidden/>
          </w:rPr>
        </w:r>
        <w:r w:rsidR="004C6C7A">
          <w:rPr>
            <w:noProof/>
            <w:webHidden/>
          </w:rPr>
          <w:fldChar w:fldCharType="separate"/>
        </w:r>
        <w:r w:rsidR="00A94823">
          <w:rPr>
            <w:noProof/>
            <w:webHidden/>
          </w:rPr>
          <w:t>76</w:t>
        </w:r>
        <w:r w:rsidR="004C6C7A">
          <w:rPr>
            <w:noProof/>
            <w:webHidden/>
          </w:rPr>
          <w:fldChar w:fldCharType="end"/>
        </w:r>
      </w:hyperlink>
    </w:p>
    <w:p w14:paraId="5917C669" w14:textId="77777777" w:rsidR="004C6C7A" w:rsidRDefault="00F41081">
      <w:pPr>
        <w:pStyle w:val="TableofFigures"/>
        <w:tabs>
          <w:tab w:val="right" w:leader="dot" w:pos="9016"/>
        </w:tabs>
        <w:rPr>
          <w:rFonts w:asciiTheme="minorHAnsi" w:hAnsiTheme="minorHAnsi"/>
          <w:iCs w:val="0"/>
          <w:noProof/>
          <w:sz w:val="22"/>
          <w:szCs w:val="22"/>
          <w:lang w:val="en-AU" w:eastAsia="en-AU" w:bidi="ar-SA"/>
        </w:rPr>
      </w:pPr>
      <w:hyperlink w:anchor="_Toc14435328" w:history="1">
        <w:r w:rsidR="004C6C7A" w:rsidRPr="00813602">
          <w:rPr>
            <w:rStyle w:val="Hyperlink"/>
            <w:noProof/>
          </w:rPr>
          <w:t>Table 7: Grading description for the pesticides indicator in the freshwater basin assessments.</w:t>
        </w:r>
        <w:r w:rsidR="004C6C7A">
          <w:rPr>
            <w:noProof/>
            <w:webHidden/>
          </w:rPr>
          <w:tab/>
        </w:r>
        <w:r w:rsidR="004C6C7A">
          <w:rPr>
            <w:noProof/>
            <w:webHidden/>
          </w:rPr>
          <w:fldChar w:fldCharType="begin"/>
        </w:r>
        <w:r w:rsidR="004C6C7A">
          <w:rPr>
            <w:noProof/>
            <w:webHidden/>
          </w:rPr>
          <w:instrText xml:space="preserve"> PAGEREF _Toc14435328 \h </w:instrText>
        </w:r>
        <w:r w:rsidR="004C6C7A">
          <w:rPr>
            <w:noProof/>
            <w:webHidden/>
          </w:rPr>
        </w:r>
        <w:r w:rsidR="004C6C7A">
          <w:rPr>
            <w:noProof/>
            <w:webHidden/>
          </w:rPr>
          <w:fldChar w:fldCharType="separate"/>
        </w:r>
        <w:r w:rsidR="00A94823">
          <w:rPr>
            <w:noProof/>
            <w:webHidden/>
          </w:rPr>
          <w:t>77</w:t>
        </w:r>
        <w:r w:rsidR="004C6C7A">
          <w:rPr>
            <w:noProof/>
            <w:webHidden/>
          </w:rPr>
          <w:fldChar w:fldCharType="end"/>
        </w:r>
      </w:hyperlink>
    </w:p>
    <w:p w14:paraId="38CDFF00" w14:textId="2E941A8E" w:rsidR="00737592" w:rsidRPr="00EB2F5C" w:rsidRDefault="00C91BF5" w:rsidP="0021390C">
      <w:pPr>
        <w:spacing w:before="120" w:after="120"/>
        <w:ind w:left="709" w:hanging="709"/>
        <w:jc w:val="left"/>
        <w:rPr>
          <w:rFonts w:eastAsia="Times New Roman" w:cs="Arial"/>
          <w:b/>
          <w:sz w:val="36"/>
          <w:szCs w:val="36"/>
          <w:lang w:val="en-GB" w:bidi="ar-SA"/>
        </w:rPr>
      </w:pPr>
      <w:r w:rsidRPr="007E6E4A">
        <w:rPr>
          <w:lang w:val="en-AU"/>
        </w:rPr>
        <w:fldChar w:fldCharType="end"/>
      </w:r>
      <w:r w:rsidR="00AD6279" w:rsidRPr="00EB2F5C">
        <w:rPr>
          <w:rFonts w:eastAsia="Times New Roman" w:cs="Arial"/>
          <w:b/>
          <w:sz w:val="36"/>
          <w:szCs w:val="36"/>
          <w:lang w:val="en-GB" w:bidi="ar-SA"/>
        </w:rPr>
        <w:t xml:space="preserve">Appendices: List of </w:t>
      </w:r>
      <w:r w:rsidR="002439C8" w:rsidRPr="00EB2F5C">
        <w:rPr>
          <w:rFonts w:eastAsia="Times New Roman" w:cs="Arial"/>
          <w:b/>
          <w:sz w:val="36"/>
          <w:szCs w:val="36"/>
          <w:lang w:val="en-GB" w:bidi="ar-SA"/>
        </w:rPr>
        <w:t>f</w:t>
      </w:r>
      <w:r w:rsidR="00AD6279" w:rsidRPr="00EB2F5C">
        <w:rPr>
          <w:rFonts w:eastAsia="Times New Roman" w:cs="Arial"/>
          <w:b/>
          <w:sz w:val="36"/>
          <w:szCs w:val="36"/>
          <w:lang w:val="en-GB" w:bidi="ar-SA"/>
        </w:rPr>
        <w:t xml:space="preserve">igures and </w:t>
      </w:r>
      <w:r w:rsidR="002439C8" w:rsidRPr="00EB2F5C">
        <w:rPr>
          <w:rFonts w:eastAsia="Times New Roman" w:cs="Arial"/>
          <w:b/>
          <w:sz w:val="36"/>
          <w:szCs w:val="36"/>
          <w:lang w:val="en-GB" w:bidi="ar-SA"/>
        </w:rPr>
        <w:t>t</w:t>
      </w:r>
      <w:r w:rsidR="00AD6279" w:rsidRPr="00EB2F5C">
        <w:rPr>
          <w:rFonts w:eastAsia="Times New Roman" w:cs="Arial"/>
          <w:b/>
          <w:sz w:val="36"/>
          <w:szCs w:val="36"/>
          <w:lang w:val="en-GB" w:bidi="ar-SA"/>
        </w:rPr>
        <w:t>ables</w:t>
      </w:r>
    </w:p>
    <w:p w14:paraId="6BD89140" w14:textId="77777777" w:rsidR="0021390C" w:rsidRDefault="00C91BF5">
      <w:pPr>
        <w:pStyle w:val="TableofFigures"/>
        <w:tabs>
          <w:tab w:val="right" w:leader="dot" w:pos="9016"/>
        </w:tabs>
        <w:rPr>
          <w:rFonts w:asciiTheme="minorHAnsi" w:hAnsiTheme="minorHAnsi"/>
          <w:iCs w:val="0"/>
          <w:noProof/>
          <w:sz w:val="22"/>
          <w:szCs w:val="22"/>
          <w:lang w:val="en-AU" w:eastAsia="en-AU" w:bidi="ar-SA"/>
        </w:rPr>
      </w:pPr>
      <w:r>
        <w:rPr>
          <w:lang w:val="en-AU"/>
        </w:rPr>
        <w:fldChar w:fldCharType="begin"/>
      </w:r>
      <w:r w:rsidR="008C60F9">
        <w:rPr>
          <w:lang w:val="en-AU"/>
        </w:rPr>
        <w:instrText xml:space="preserve"> TOC \h \z \c "Figure_Apx" </w:instrText>
      </w:r>
      <w:r>
        <w:rPr>
          <w:lang w:val="en-AU"/>
        </w:rPr>
        <w:fldChar w:fldCharType="separate"/>
      </w:r>
      <w:hyperlink w:anchor="_Toc15042776" w:history="1">
        <w:r w:rsidR="0021390C" w:rsidRPr="002E5844">
          <w:rPr>
            <w:rStyle w:val="Hyperlink"/>
            <w:noProof/>
          </w:rPr>
          <w:t>Figure D</w:t>
        </w:r>
        <w:r w:rsidR="0021390C" w:rsidRPr="002E5844">
          <w:rPr>
            <w:rStyle w:val="Hyperlink"/>
            <w:noProof/>
          </w:rPr>
          <w:noBreakHyphen/>
          <w:t>1: Land Use map of the Reef basin (2009) from (DSITIA, 2012c).</w:t>
        </w:r>
        <w:r w:rsidR="0021390C">
          <w:rPr>
            <w:noProof/>
            <w:webHidden/>
          </w:rPr>
          <w:tab/>
        </w:r>
        <w:r w:rsidR="0021390C">
          <w:rPr>
            <w:noProof/>
            <w:webHidden/>
          </w:rPr>
          <w:fldChar w:fldCharType="begin"/>
        </w:r>
        <w:r w:rsidR="0021390C">
          <w:rPr>
            <w:noProof/>
            <w:webHidden/>
          </w:rPr>
          <w:instrText xml:space="preserve"> PAGEREF _Toc15042776 \h </w:instrText>
        </w:r>
        <w:r w:rsidR="0021390C">
          <w:rPr>
            <w:noProof/>
            <w:webHidden/>
          </w:rPr>
        </w:r>
        <w:r w:rsidR="0021390C">
          <w:rPr>
            <w:noProof/>
            <w:webHidden/>
          </w:rPr>
          <w:fldChar w:fldCharType="separate"/>
        </w:r>
        <w:r w:rsidR="00A94823">
          <w:rPr>
            <w:noProof/>
            <w:webHidden/>
          </w:rPr>
          <w:t>82</w:t>
        </w:r>
        <w:r w:rsidR="0021390C">
          <w:rPr>
            <w:noProof/>
            <w:webHidden/>
          </w:rPr>
          <w:fldChar w:fldCharType="end"/>
        </w:r>
      </w:hyperlink>
    </w:p>
    <w:p w14:paraId="6E492C2C"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77" w:history="1">
        <w:r w:rsidR="0021390C" w:rsidRPr="002E5844">
          <w:rPr>
            <w:rStyle w:val="Hyperlink"/>
            <w:noProof/>
          </w:rPr>
          <w:t>Figure E</w:t>
        </w:r>
        <w:r w:rsidR="0021390C" w:rsidRPr="002E5844">
          <w:rPr>
            <w:rStyle w:val="Hyperlink"/>
            <w:noProof/>
          </w:rPr>
          <w:noBreakHyphen/>
          <w:t>1: Total monthly rainfall for the wet 2017–18  season across Queensland</w:t>
        </w:r>
        <w:r w:rsidR="0021390C">
          <w:rPr>
            <w:noProof/>
            <w:webHidden/>
          </w:rPr>
          <w:tab/>
        </w:r>
        <w:r w:rsidR="0021390C">
          <w:rPr>
            <w:noProof/>
            <w:webHidden/>
          </w:rPr>
          <w:fldChar w:fldCharType="begin"/>
        </w:r>
        <w:r w:rsidR="0021390C">
          <w:rPr>
            <w:noProof/>
            <w:webHidden/>
          </w:rPr>
          <w:instrText xml:space="preserve"> PAGEREF _Toc15042777 \h </w:instrText>
        </w:r>
        <w:r w:rsidR="0021390C">
          <w:rPr>
            <w:noProof/>
            <w:webHidden/>
          </w:rPr>
        </w:r>
        <w:r w:rsidR="0021390C">
          <w:rPr>
            <w:noProof/>
            <w:webHidden/>
          </w:rPr>
          <w:fldChar w:fldCharType="separate"/>
        </w:r>
        <w:r w:rsidR="00A94823">
          <w:rPr>
            <w:noProof/>
            <w:webHidden/>
          </w:rPr>
          <w:t>88</w:t>
        </w:r>
        <w:r w:rsidR="0021390C">
          <w:rPr>
            <w:noProof/>
            <w:webHidden/>
          </w:rPr>
          <w:fldChar w:fldCharType="end"/>
        </w:r>
      </w:hyperlink>
    </w:p>
    <w:p w14:paraId="083091CB"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78" w:history="1">
        <w:r w:rsidR="0021390C" w:rsidRPr="002E5844">
          <w:rPr>
            <w:rStyle w:val="Hyperlink"/>
            <w:noProof/>
          </w:rPr>
          <w:t>Figure E</w:t>
        </w:r>
        <w:r w:rsidR="0021390C" w:rsidRPr="002E5844">
          <w:rPr>
            <w:rStyle w:val="Hyperlink"/>
            <w:noProof/>
          </w:rPr>
          <w:noBreakHyphen/>
          <w:t>2: Rainfall decile ranges</w:t>
        </w:r>
        <w:r w:rsidR="0021390C">
          <w:rPr>
            <w:noProof/>
            <w:webHidden/>
          </w:rPr>
          <w:tab/>
        </w:r>
        <w:r w:rsidR="0021390C">
          <w:rPr>
            <w:noProof/>
            <w:webHidden/>
          </w:rPr>
          <w:fldChar w:fldCharType="begin"/>
        </w:r>
        <w:r w:rsidR="0021390C">
          <w:rPr>
            <w:noProof/>
            <w:webHidden/>
          </w:rPr>
          <w:instrText xml:space="preserve"> PAGEREF _Toc15042778 \h </w:instrText>
        </w:r>
        <w:r w:rsidR="0021390C">
          <w:rPr>
            <w:noProof/>
            <w:webHidden/>
          </w:rPr>
        </w:r>
        <w:r w:rsidR="0021390C">
          <w:rPr>
            <w:noProof/>
            <w:webHidden/>
          </w:rPr>
          <w:fldChar w:fldCharType="separate"/>
        </w:r>
        <w:r w:rsidR="00A94823">
          <w:rPr>
            <w:noProof/>
            <w:webHidden/>
          </w:rPr>
          <w:t>89</w:t>
        </w:r>
        <w:r w:rsidR="0021390C">
          <w:rPr>
            <w:noProof/>
            <w:webHidden/>
          </w:rPr>
          <w:fldChar w:fldCharType="end"/>
        </w:r>
      </w:hyperlink>
    </w:p>
    <w:p w14:paraId="4A55CB53"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79" w:history="1">
        <w:r w:rsidR="0021390C" w:rsidRPr="002E5844">
          <w:rPr>
            <w:rStyle w:val="Hyperlink"/>
            <w:noProof/>
          </w:rPr>
          <w:t>Figure E</w:t>
        </w:r>
        <w:r w:rsidR="0021390C" w:rsidRPr="002E5844">
          <w:rPr>
            <w:rStyle w:val="Hyperlink"/>
            <w:noProof/>
          </w:rPr>
          <w:noBreakHyphen/>
          <w:t>3: A) Inter-annual rainfall difference between the previous monitoring year (2016-17) and the current monitoring year (2017-18).</w:t>
        </w:r>
        <w:r w:rsidR="0021390C">
          <w:rPr>
            <w:noProof/>
            <w:webHidden/>
          </w:rPr>
          <w:tab/>
        </w:r>
        <w:r w:rsidR="0021390C">
          <w:rPr>
            <w:noProof/>
            <w:webHidden/>
          </w:rPr>
          <w:fldChar w:fldCharType="begin"/>
        </w:r>
        <w:r w:rsidR="0021390C">
          <w:rPr>
            <w:noProof/>
            <w:webHidden/>
          </w:rPr>
          <w:instrText xml:space="preserve"> PAGEREF _Toc15042779 \h </w:instrText>
        </w:r>
        <w:r w:rsidR="0021390C">
          <w:rPr>
            <w:noProof/>
            <w:webHidden/>
          </w:rPr>
        </w:r>
        <w:r w:rsidR="0021390C">
          <w:rPr>
            <w:noProof/>
            <w:webHidden/>
          </w:rPr>
          <w:fldChar w:fldCharType="separate"/>
        </w:r>
        <w:r w:rsidR="00A94823">
          <w:rPr>
            <w:noProof/>
            <w:webHidden/>
          </w:rPr>
          <w:t>90</w:t>
        </w:r>
        <w:r w:rsidR="0021390C">
          <w:rPr>
            <w:noProof/>
            <w:webHidden/>
          </w:rPr>
          <w:fldChar w:fldCharType="end"/>
        </w:r>
      </w:hyperlink>
    </w:p>
    <w:p w14:paraId="5865F9EE"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80" w:history="1">
        <w:r w:rsidR="0021390C" w:rsidRPr="002E5844">
          <w:rPr>
            <w:rStyle w:val="Hyperlink"/>
            <w:noProof/>
          </w:rPr>
          <w:t>Figure H</w:t>
        </w:r>
        <w:r w:rsidR="0021390C" w:rsidRPr="002E5844">
          <w:rPr>
            <w:rStyle w:val="Hyperlink"/>
            <w:noProof/>
          </w:rPr>
          <w:noBreakHyphen/>
          <w:t>1: Temporal concentration profiles of individual herbicides at Low Isles in the Wet Tropics region</w:t>
        </w:r>
        <w:r w:rsidR="0021390C">
          <w:rPr>
            <w:noProof/>
            <w:webHidden/>
          </w:rPr>
          <w:tab/>
        </w:r>
        <w:r w:rsidR="0021390C">
          <w:rPr>
            <w:noProof/>
            <w:webHidden/>
          </w:rPr>
          <w:fldChar w:fldCharType="begin"/>
        </w:r>
        <w:r w:rsidR="0021390C">
          <w:rPr>
            <w:noProof/>
            <w:webHidden/>
          </w:rPr>
          <w:instrText xml:space="preserve"> PAGEREF _Toc15042780 \h </w:instrText>
        </w:r>
        <w:r w:rsidR="0021390C">
          <w:rPr>
            <w:noProof/>
            <w:webHidden/>
          </w:rPr>
        </w:r>
        <w:r w:rsidR="0021390C">
          <w:rPr>
            <w:noProof/>
            <w:webHidden/>
          </w:rPr>
          <w:fldChar w:fldCharType="separate"/>
        </w:r>
        <w:r w:rsidR="00A94823">
          <w:rPr>
            <w:noProof/>
            <w:webHidden/>
          </w:rPr>
          <w:t>107</w:t>
        </w:r>
        <w:r w:rsidR="0021390C">
          <w:rPr>
            <w:noProof/>
            <w:webHidden/>
          </w:rPr>
          <w:fldChar w:fldCharType="end"/>
        </w:r>
      </w:hyperlink>
    </w:p>
    <w:p w14:paraId="5B3203F0"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81" w:history="1">
        <w:r w:rsidR="0021390C" w:rsidRPr="002E5844">
          <w:rPr>
            <w:rStyle w:val="Hyperlink"/>
            <w:noProof/>
          </w:rPr>
          <w:t>Figure H</w:t>
        </w:r>
        <w:r w:rsidR="0021390C" w:rsidRPr="002E5844">
          <w:rPr>
            <w:rStyle w:val="Hyperlink"/>
            <w:noProof/>
          </w:rPr>
          <w:noBreakHyphen/>
          <w:t>2: Temporal concentration profiles of individual herbicides at High Island in the Wet Tropics region</w:t>
        </w:r>
        <w:r w:rsidR="0021390C">
          <w:rPr>
            <w:noProof/>
            <w:webHidden/>
          </w:rPr>
          <w:tab/>
        </w:r>
        <w:r w:rsidR="0021390C">
          <w:rPr>
            <w:noProof/>
            <w:webHidden/>
          </w:rPr>
          <w:fldChar w:fldCharType="begin"/>
        </w:r>
        <w:r w:rsidR="0021390C">
          <w:rPr>
            <w:noProof/>
            <w:webHidden/>
          </w:rPr>
          <w:instrText xml:space="preserve"> PAGEREF _Toc15042781 \h </w:instrText>
        </w:r>
        <w:r w:rsidR="0021390C">
          <w:rPr>
            <w:noProof/>
            <w:webHidden/>
          </w:rPr>
        </w:r>
        <w:r w:rsidR="0021390C">
          <w:rPr>
            <w:noProof/>
            <w:webHidden/>
          </w:rPr>
          <w:fldChar w:fldCharType="separate"/>
        </w:r>
        <w:r w:rsidR="00A94823">
          <w:rPr>
            <w:noProof/>
            <w:webHidden/>
          </w:rPr>
          <w:t>108</w:t>
        </w:r>
        <w:r w:rsidR="0021390C">
          <w:rPr>
            <w:noProof/>
            <w:webHidden/>
          </w:rPr>
          <w:fldChar w:fldCharType="end"/>
        </w:r>
      </w:hyperlink>
    </w:p>
    <w:p w14:paraId="28CDFE48"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82" w:history="1">
        <w:r w:rsidR="0021390C" w:rsidRPr="002E5844">
          <w:rPr>
            <w:rStyle w:val="Hyperlink"/>
            <w:noProof/>
          </w:rPr>
          <w:t>Figure H</w:t>
        </w:r>
        <w:r w:rsidR="0021390C" w:rsidRPr="002E5844">
          <w:rPr>
            <w:rStyle w:val="Hyperlink"/>
            <w:noProof/>
          </w:rPr>
          <w:noBreakHyphen/>
          <w:t>3: Temporal concentration profiles of individual herbicides at Dunk Island in the Wet Tropics region</w:t>
        </w:r>
        <w:r w:rsidR="0021390C">
          <w:rPr>
            <w:noProof/>
            <w:webHidden/>
          </w:rPr>
          <w:tab/>
        </w:r>
        <w:r w:rsidR="0021390C">
          <w:rPr>
            <w:noProof/>
            <w:webHidden/>
          </w:rPr>
          <w:fldChar w:fldCharType="begin"/>
        </w:r>
        <w:r w:rsidR="0021390C">
          <w:rPr>
            <w:noProof/>
            <w:webHidden/>
          </w:rPr>
          <w:instrText xml:space="preserve"> PAGEREF _Toc15042782 \h </w:instrText>
        </w:r>
        <w:r w:rsidR="0021390C">
          <w:rPr>
            <w:noProof/>
            <w:webHidden/>
          </w:rPr>
        </w:r>
        <w:r w:rsidR="0021390C">
          <w:rPr>
            <w:noProof/>
            <w:webHidden/>
          </w:rPr>
          <w:fldChar w:fldCharType="separate"/>
        </w:r>
        <w:r w:rsidR="00A94823">
          <w:rPr>
            <w:noProof/>
            <w:webHidden/>
          </w:rPr>
          <w:t>109</w:t>
        </w:r>
        <w:r w:rsidR="0021390C">
          <w:rPr>
            <w:noProof/>
            <w:webHidden/>
          </w:rPr>
          <w:fldChar w:fldCharType="end"/>
        </w:r>
      </w:hyperlink>
    </w:p>
    <w:p w14:paraId="01A0DFCF"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83" w:history="1">
        <w:r w:rsidR="0021390C" w:rsidRPr="002E5844">
          <w:rPr>
            <w:rStyle w:val="Hyperlink"/>
            <w:noProof/>
          </w:rPr>
          <w:t>Figure H</w:t>
        </w:r>
        <w:r w:rsidR="0021390C" w:rsidRPr="002E5844">
          <w:rPr>
            <w:rStyle w:val="Hyperlink"/>
            <w:noProof/>
          </w:rPr>
          <w:noBreakHyphen/>
          <w:t>4: Temporal concentration profiles of individual herbicides at Normanby Island in the Wet Tropics region</w:t>
        </w:r>
        <w:r w:rsidR="0021390C">
          <w:rPr>
            <w:noProof/>
            <w:webHidden/>
          </w:rPr>
          <w:tab/>
        </w:r>
        <w:r w:rsidR="0021390C">
          <w:rPr>
            <w:noProof/>
            <w:webHidden/>
          </w:rPr>
          <w:fldChar w:fldCharType="begin"/>
        </w:r>
        <w:r w:rsidR="0021390C">
          <w:rPr>
            <w:noProof/>
            <w:webHidden/>
          </w:rPr>
          <w:instrText xml:space="preserve"> PAGEREF _Toc15042783 \h </w:instrText>
        </w:r>
        <w:r w:rsidR="0021390C">
          <w:rPr>
            <w:noProof/>
            <w:webHidden/>
          </w:rPr>
        </w:r>
        <w:r w:rsidR="0021390C">
          <w:rPr>
            <w:noProof/>
            <w:webHidden/>
          </w:rPr>
          <w:fldChar w:fldCharType="separate"/>
        </w:r>
        <w:r w:rsidR="00A94823">
          <w:rPr>
            <w:noProof/>
            <w:webHidden/>
          </w:rPr>
          <w:t>110</w:t>
        </w:r>
        <w:r w:rsidR="0021390C">
          <w:rPr>
            <w:noProof/>
            <w:webHidden/>
          </w:rPr>
          <w:fldChar w:fldCharType="end"/>
        </w:r>
      </w:hyperlink>
    </w:p>
    <w:p w14:paraId="13B6BEE6"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84" w:history="1">
        <w:r w:rsidR="0021390C" w:rsidRPr="002E5844">
          <w:rPr>
            <w:rStyle w:val="Hyperlink"/>
            <w:noProof/>
          </w:rPr>
          <w:t>Figure H</w:t>
        </w:r>
        <w:r w:rsidR="0021390C" w:rsidRPr="002E5844">
          <w:rPr>
            <w:rStyle w:val="Hyperlink"/>
            <w:noProof/>
          </w:rPr>
          <w:noBreakHyphen/>
          <w:t>5: Temporal concentration profiles of individual herbicides at Lucinda in the Wet Tropics region</w:t>
        </w:r>
        <w:r w:rsidR="0021390C">
          <w:rPr>
            <w:noProof/>
            <w:webHidden/>
          </w:rPr>
          <w:tab/>
        </w:r>
        <w:r w:rsidR="0021390C">
          <w:rPr>
            <w:noProof/>
            <w:webHidden/>
          </w:rPr>
          <w:fldChar w:fldCharType="begin"/>
        </w:r>
        <w:r w:rsidR="0021390C">
          <w:rPr>
            <w:noProof/>
            <w:webHidden/>
          </w:rPr>
          <w:instrText xml:space="preserve"> PAGEREF _Toc15042784 \h </w:instrText>
        </w:r>
        <w:r w:rsidR="0021390C">
          <w:rPr>
            <w:noProof/>
            <w:webHidden/>
          </w:rPr>
        </w:r>
        <w:r w:rsidR="0021390C">
          <w:rPr>
            <w:noProof/>
            <w:webHidden/>
          </w:rPr>
          <w:fldChar w:fldCharType="separate"/>
        </w:r>
        <w:r w:rsidR="00A94823">
          <w:rPr>
            <w:noProof/>
            <w:webHidden/>
          </w:rPr>
          <w:t>111</w:t>
        </w:r>
        <w:r w:rsidR="0021390C">
          <w:rPr>
            <w:noProof/>
            <w:webHidden/>
          </w:rPr>
          <w:fldChar w:fldCharType="end"/>
        </w:r>
      </w:hyperlink>
    </w:p>
    <w:p w14:paraId="64C647F5"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85" w:history="1">
        <w:r w:rsidR="0021390C" w:rsidRPr="002E5844">
          <w:rPr>
            <w:rStyle w:val="Hyperlink"/>
            <w:noProof/>
          </w:rPr>
          <w:t>Figure H</w:t>
        </w:r>
        <w:r w:rsidR="0021390C" w:rsidRPr="002E5844">
          <w:rPr>
            <w:rStyle w:val="Hyperlink"/>
            <w:noProof/>
          </w:rPr>
          <w:noBreakHyphen/>
          <w:t>6: Temporal concentration profiles of individual herbicides at Barratta Creek mouth in the Burdekin region</w:t>
        </w:r>
        <w:r w:rsidR="0021390C">
          <w:rPr>
            <w:noProof/>
            <w:webHidden/>
          </w:rPr>
          <w:tab/>
        </w:r>
        <w:r w:rsidR="0021390C">
          <w:rPr>
            <w:noProof/>
            <w:webHidden/>
          </w:rPr>
          <w:fldChar w:fldCharType="begin"/>
        </w:r>
        <w:r w:rsidR="0021390C">
          <w:rPr>
            <w:noProof/>
            <w:webHidden/>
          </w:rPr>
          <w:instrText xml:space="preserve"> PAGEREF _Toc15042785 \h </w:instrText>
        </w:r>
        <w:r w:rsidR="0021390C">
          <w:rPr>
            <w:noProof/>
            <w:webHidden/>
          </w:rPr>
        </w:r>
        <w:r w:rsidR="0021390C">
          <w:rPr>
            <w:noProof/>
            <w:webHidden/>
          </w:rPr>
          <w:fldChar w:fldCharType="separate"/>
        </w:r>
        <w:r w:rsidR="00A94823">
          <w:rPr>
            <w:noProof/>
            <w:webHidden/>
          </w:rPr>
          <w:t>112</w:t>
        </w:r>
        <w:r w:rsidR="0021390C">
          <w:rPr>
            <w:noProof/>
            <w:webHidden/>
          </w:rPr>
          <w:fldChar w:fldCharType="end"/>
        </w:r>
      </w:hyperlink>
    </w:p>
    <w:p w14:paraId="25C37582"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86" w:history="1">
        <w:r w:rsidR="0021390C" w:rsidRPr="002E5844">
          <w:rPr>
            <w:rStyle w:val="Hyperlink"/>
            <w:noProof/>
          </w:rPr>
          <w:t>Figure H</w:t>
        </w:r>
        <w:r w:rsidR="0021390C" w:rsidRPr="002E5844">
          <w:rPr>
            <w:rStyle w:val="Hyperlink"/>
            <w:noProof/>
          </w:rPr>
          <w:noBreakHyphen/>
          <w:t>7: Temporal concentration profiles of individual herbicides at Repulse Bay in the Mackay Whitsunday region</w:t>
        </w:r>
        <w:r w:rsidR="0021390C">
          <w:rPr>
            <w:noProof/>
            <w:webHidden/>
          </w:rPr>
          <w:tab/>
        </w:r>
        <w:r w:rsidR="0021390C">
          <w:rPr>
            <w:noProof/>
            <w:webHidden/>
          </w:rPr>
          <w:fldChar w:fldCharType="begin"/>
        </w:r>
        <w:r w:rsidR="0021390C">
          <w:rPr>
            <w:noProof/>
            <w:webHidden/>
          </w:rPr>
          <w:instrText xml:space="preserve"> PAGEREF _Toc15042786 \h </w:instrText>
        </w:r>
        <w:r w:rsidR="0021390C">
          <w:rPr>
            <w:noProof/>
            <w:webHidden/>
          </w:rPr>
        </w:r>
        <w:r w:rsidR="0021390C">
          <w:rPr>
            <w:noProof/>
            <w:webHidden/>
          </w:rPr>
          <w:fldChar w:fldCharType="separate"/>
        </w:r>
        <w:r w:rsidR="00A94823">
          <w:rPr>
            <w:noProof/>
            <w:webHidden/>
          </w:rPr>
          <w:t>113</w:t>
        </w:r>
        <w:r w:rsidR="0021390C">
          <w:rPr>
            <w:noProof/>
            <w:webHidden/>
          </w:rPr>
          <w:fldChar w:fldCharType="end"/>
        </w:r>
      </w:hyperlink>
    </w:p>
    <w:p w14:paraId="567FC2CF"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87" w:history="1">
        <w:r w:rsidR="0021390C" w:rsidRPr="002E5844">
          <w:rPr>
            <w:rStyle w:val="Hyperlink"/>
            <w:noProof/>
          </w:rPr>
          <w:t>Figure H</w:t>
        </w:r>
        <w:r w:rsidR="0021390C" w:rsidRPr="002E5844">
          <w:rPr>
            <w:rStyle w:val="Hyperlink"/>
            <w:noProof/>
          </w:rPr>
          <w:noBreakHyphen/>
          <w:t>8: Temporal concentration profiles of individual herbicides at Round Top Island in the Mackay Whitsunday region</w:t>
        </w:r>
        <w:r w:rsidR="0021390C">
          <w:rPr>
            <w:noProof/>
            <w:webHidden/>
          </w:rPr>
          <w:tab/>
        </w:r>
        <w:r w:rsidR="0021390C">
          <w:rPr>
            <w:noProof/>
            <w:webHidden/>
          </w:rPr>
          <w:fldChar w:fldCharType="begin"/>
        </w:r>
        <w:r w:rsidR="0021390C">
          <w:rPr>
            <w:noProof/>
            <w:webHidden/>
          </w:rPr>
          <w:instrText xml:space="preserve"> PAGEREF _Toc15042787 \h </w:instrText>
        </w:r>
        <w:r w:rsidR="0021390C">
          <w:rPr>
            <w:noProof/>
            <w:webHidden/>
          </w:rPr>
        </w:r>
        <w:r w:rsidR="0021390C">
          <w:rPr>
            <w:noProof/>
            <w:webHidden/>
          </w:rPr>
          <w:fldChar w:fldCharType="separate"/>
        </w:r>
        <w:r w:rsidR="00A94823">
          <w:rPr>
            <w:noProof/>
            <w:webHidden/>
          </w:rPr>
          <w:t>114</w:t>
        </w:r>
        <w:r w:rsidR="0021390C">
          <w:rPr>
            <w:noProof/>
            <w:webHidden/>
          </w:rPr>
          <w:fldChar w:fldCharType="end"/>
        </w:r>
      </w:hyperlink>
    </w:p>
    <w:p w14:paraId="7E615D15"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88" w:history="1">
        <w:r w:rsidR="0021390C" w:rsidRPr="002E5844">
          <w:rPr>
            <w:rStyle w:val="Hyperlink"/>
            <w:noProof/>
          </w:rPr>
          <w:t>Figure H</w:t>
        </w:r>
        <w:r w:rsidR="0021390C" w:rsidRPr="002E5844">
          <w:rPr>
            <w:rStyle w:val="Hyperlink"/>
            <w:noProof/>
          </w:rPr>
          <w:noBreakHyphen/>
          <w:t>9: Temporal concentration profiles of individual herbicides at Sandy Creek in the Mackay Whitsunday region</w:t>
        </w:r>
        <w:r w:rsidR="0021390C">
          <w:rPr>
            <w:noProof/>
            <w:webHidden/>
          </w:rPr>
          <w:tab/>
        </w:r>
        <w:r w:rsidR="0021390C">
          <w:rPr>
            <w:noProof/>
            <w:webHidden/>
          </w:rPr>
          <w:fldChar w:fldCharType="begin"/>
        </w:r>
        <w:r w:rsidR="0021390C">
          <w:rPr>
            <w:noProof/>
            <w:webHidden/>
          </w:rPr>
          <w:instrText xml:space="preserve"> PAGEREF _Toc15042788 \h </w:instrText>
        </w:r>
        <w:r w:rsidR="0021390C">
          <w:rPr>
            <w:noProof/>
            <w:webHidden/>
          </w:rPr>
        </w:r>
        <w:r w:rsidR="0021390C">
          <w:rPr>
            <w:noProof/>
            <w:webHidden/>
          </w:rPr>
          <w:fldChar w:fldCharType="separate"/>
        </w:r>
        <w:r w:rsidR="00A94823">
          <w:rPr>
            <w:noProof/>
            <w:webHidden/>
          </w:rPr>
          <w:t>115</w:t>
        </w:r>
        <w:r w:rsidR="0021390C">
          <w:rPr>
            <w:noProof/>
            <w:webHidden/>
          </w:rPr>
          <w:fldChar w:fldCharType="end"/>
        </w:r>
      </w:hyperlink>
    </w:p>
    <w:p w14:paraId="783CDF51"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89" w:history="1">
        <w:r w:rsidR="0021390C" w:rsidRPr="002E5844">
          <w:rPr>
            <w:rStyle w:val="Hyperlink"/>
            <w:noProof/>
          </w:rPr>
          <w:t>Figure H</w:t>
        </w:r>
        <w:r w:rsidR="0021390C" w:rsidRPr="002E5844">
          <w:rPr>
            <w:rStyle w:val="Hyperlink"/>
            <w:noProof/>
          </w:rPr>
          <w:noBreakHyphen/>
          <w:t>10: Temporal concentration profiles of individual herbicides at Sarina Inlet in the Mackay Whitsunday region</w:t>
        </w:r>
        <w:r w:rsidR="0021390C">
          <w:rPr>
            <w:noProof/>
            <w:webHidden/>
          </w:rPr>
          <w:tab/>
        </w:r>
        <w:r w:rsidR="0021390C">
          <w:rPr>
            <w:noProof/>
            <w:webHidden/>
          </w:rPr>
          <w:fldChar w:fldCharType="begin"/>
        </w:r>
        <w:r w:rsidR="0021390C">
          <w:rPr>
            <w:noProof/>
            <w:webHidden/>
          </w:rPr>
          <w:instrText xml:space="preserve"> PAGEREF _Toc15042789 \h </w:instrText>
        </w:r>
        <w:r w:rsidR="0021390C">
          <w:rPr>
            <w:noProof/>
            <w:webHidden/>
          </w:rPr>
        </w:r>
        <w:r w:rsidR="0021390C">
          <w:rPr>
            <w:noProof/>
            <w:webHidden/>
          </w:rPr>
          <w:fldChar w:fldCharType="separate"/>
        </w:r>
        <w:r w:rsidR="00A94823">
          <w:rPr>
            <w:noProof/>
            <w:webHidden/>
          </w:rPr>
          <w:t>116</w:t>
        </w:r>
        <w:r w:rsidR="0021390C">
          <w:rPr>
            <w:noProof/>
            <w:webHidden/>
          </w:rPr>
          <w:fldChar w:fldCharType="end"/>
        </w:r>
      </w:hyperlink>
    </w:p>
    <w:p w14:paraId="52502DD2" w14:textId="77777777" w:rsidR="0021390C" w:rsidRDefault="00F41081">
      <w:pPr>
        <w:pStyle w:val="TableofFigures"/>
        <w:tabs>
          <w:tab w:val="right" w:leader="dot" w:pos="9016"/>
        </w:tabs>
        <w:rPr>
          <w:rFonts w:asciiTheme="minorHAnsi" w:hAnsiTheme="minorHAnsi"/>
          <w:iCs w:val="0"/>
          <w:noProof/>
          <w:sz w:val="22"/>
          <w:szCs w:val="22"/>
          <w:lang w:val="en-AU" w:eastAsia="en-AU" w:bidi="ar-SA"/>
        </w:rPr>
      </w:pPr>
      <w:hyperlink w:anchor="_Toc15042790" w:history="1">
        <w:r w:rsidR="0021390C" w:rsidRPr="002E5844">
          <w:rPr>
            <w:rStyle w:val="Hyperlink"/>
            <w:noProof/>
          </w:rPr>
          <w:t>Figure H</w:t>
        </w:r>
        <w:r w:rsidR="0021390C" w:rsidRPr="002E5844">
          <w:rPr>
            <w:rStyle w:val="Hyperlink"/>
            <w:noProof/>
          </w:rPr>
          <w:noBreakHyphen/>
          <w:t>11: Temporal concentration profiles of individual herbicides at North Keppel Island in the Fitzroy region</w:t>
        </w:r>
        <w:r w:rsidR="0021390C">
          <w:rPr>
            <w:noProof/>
            <w:webHidden/>
          </w:rPr>
          <w:tab/>
        </w:r>
        <w:r w:rsidR="0021390C">
          <w:rPr>
            <w:noProof/>
            <w:webHidden/>
          </w:rPr>
          <w:fldChar w:fldCharType="begin"/>
        </w:r>
        <w:r w:rsidR="0021390C">
          <w:rPr>
            <w:noProof/>
            <w:webHidden/>
          </w:rPr>
          <w:instrText xml:space="preserve"> PAGEREF _Toc15042790 \h </w:instrText>
        </w:r>
        <w:r w:rsidR="0021390C">
          <w:rPr>
            <w:noProof/>
            <w:webHidden/>
          </w:rPr>
        </w:r>
        <w:r w:rsidR="0021390C">
          <w:rPr>
            <w:noProof/>
            <w:webHidden/>
          </w:rPr>
          <w:fldChar w:fldCharType="separate"/>
        </w:r>
        <w:r w:rsidR="00A94823">
          <w:rPr>
            <w:noProof/>
            <w:webHidden/>
          </w:rPr>
          <w:t>117</w:t>
        </w:r>
        <w:r w:rsidR="0021390C">
          <w:rPr>
            <w:noProof/>
            <w:webHidden/>
          </w:rPr>
          <w:fldChar w:fldCharType="end"/>
        </w:r>
      </w:hyperlink>
    </w:p>
    <w:p w14:paraId="6327AB38" w14:textId="77777777" w:rsidR="008C60F9" w:rsidRDefault="00C91BF5" w:rsidP="002439C8">
      <w:pPr>
        <w:pStyle w:val="Caption"/>
        <w:ind w:left="851" w:hanging="851"/>
        <w:rPr>
          <w:lang w:val="en-AU"/>
        </w:rPr>
      </w:pPr>
      <w:r>
        <w:rPr>
          <w:lang w:val="en-AU"/>
        </w:rPr>
        <w:fldChar w:fldCharType="end"/>
      </w:r>
    </w:p>
    <w:p w14:paraId="03E06A73" w14:textId="77777777" w:rsidR="00704C93" w:rsidRPr="00704C93" w:rsidRDefault="00704C93" w:rsidP="002439C8">
      <w:pPr>
        <w:ind w:left="851" w:hanging="851"/>
        <w:jc w:val="left"/>
        <w:rPr>
          <w:lang w:val="en-AU"/>
        </w:rPr>
      </w:pPr>
    </w:p>
    <w:p w14:paraId="183A3A6E" w14:textId="77777777" w:rsidR="004E75D5" w:rsidRDefault="00C91BF5">
      <w:pPr>
        <w:pStyle w:val="TableofFigures"/>
        <w:tabs>
          <w:tab w:val="right" w:leader="dot" w:pos="9016"/>
        </w:tabs>
        <w:rPr>
          <w:rFonts w:asciiTheme="minorHAnsi" w:hAnsiTheme="minorHAnsi"/>
          <w:iCs w:val="0"/>
          <w:noProof/>
          <w:sz w:val="22"/>
          <w:szCs w:val="22"/>
          <w:lang w:val="en-AU" w:eastAsia="en-AU" w:bidi="ar-SA"/>
        </w:rPr>
      </w:pPr>
      <w:r>
        <w:rPr>
          <w:lang w:val="en-AU"/>
        </w:rPr>
        <w:fldChar w:fldCharType="begin"/>
      </w:r>
      <w:r w:rsidR="00A206DB">
        <w:rPr>
          <w:lang w:val="en-AU"/>
        </w:rPr>
        <w:instrText xml:space="preserve"> TOC \h \z \c "Table_Apx" </w:instrText>
      </w:r>
      <w:r>
        <w:rPr>
          <w:lang w:val="en-AU"/>
        </w:rPr>
        <w:fldChar w:fldCharType="separate"/>
      </w:r>
      <w:hyperlink w:anchor="_Toc15283224" w:history="1">
        <w:r w:rsidR="004E75D5" w:rsidRPr="00091734">
          <w:rPr>
            <w:rStyle w:val="Hyperlink"/>
            <w:noProof/>
          </w:rPr>
          <w:t>Table A</w:t>
        </w:r>
        <w:r w:rsidR="004E75D5" w:rsidRPr="00091734">
          <w:rPr>
            <w:rStyle w:val="Hyperlink"/>
            <w:noProof/>
          </w:rPr>
          <w:noBreakHyphen/>
          <w:t>1: Summary of variability (% coefficient of variation, % CV) of replicate ED and grab sample analysis</w:t>
        </w:r>
        <w:r w:rsidR="004E75D5">
          <w:rPr>
            <w:noProof/>
            <w:webHidden/>
          </w:rPr>
          <w:tab/>
        </w:r>
        <w:r w:rsidR="004E75D5">
          <w:rPr>
            <w:noProof/>
            <w:webHidden/>
          </w:rPr>
          <w:fldChar w:fldCharType="begin"/>
        </w:r>
        <w:r w:rsidR="004E75D5">
          <w:rPr>
            <w:noProof/>
            <w:webHidden/>
          </w:rPr>
          <w:instrText xml:space="preserve"> PAGEREF _Toc15283224 \h </w:instrText>
        </w:r>
        <w:r w:rsidR="004E75D5">
          <w:rPr>
            <w:noProof/>
            <w:webHidden/>
          </w:rPr>
        </w:r>
        <w:r w:rsidR="004E75D5">
          <w:rPr>
            <w:noProof/>
            <w:webHidden/>
          </w:rPr>
          <w:fldChar w:fldCharType="separate"/>
        </w:r>
        <w:r w:rsidR="004E75D5">
          <w:rPr>
            <w:noProof/>
            <w:webHidden/>
          </w:rPr>
          <w:t>67</w:t>
        </w:r>
        <w:r w:rsidR="004E75D5">
          <w:rPr>
            <w:noProof/>
            <w:webHidden/>
          </w:rPr>
          <w:fldChar w:fldCharType="end"/>
        </w:r>
      </w:hyperlink>
    </w:p>
    <w:p w14:paraId="0CE047BC"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25" w:history="1">
        <w:r w:rsidR="004E75D5" w:rsidRPr="00091734">
          <w:rPr>
            <w:rStyle w:val="Hyperlink"/>
            <w:noProof/>
          </w:rPr>
          <w:t>Table A</w:t>
        </w:r>
        <w:r w:rsidR="004E75D5" w:rsidRPr="00091734">
          <w:rPr>
            <w:rStyle w:val="Hyperlink"/>
            <w:noProof/>
          </w:rPr>
          <w:noBreakHyphen/>
          <w:t>2: QAEHS LC-MS/MS analyte list for positive and negative mode analysis</w:t>
        </w:r>
        <w:r w:rsidR="004E75D5">
          <w:rPr>
            <w:noProof/>
            <w:webHidden/>
          </w:rPr>
          <w:tab/>
        </w:r>
        <w:r w:rsidR="004E75D5">
          <w:rPr>
            <w:noProof/>
            <w:webHidden/>
          </w:rPr>
          <w:fldChar w:fldCharType="begin"/>
        </w:r>
        <w:r w:rsidR="004E75D5">
          <w:rPr>
            <w:noProof/>
            <w:webHidden/>
          </w:rPr>
          <w:instrText xml:space="preserve"> PAGEREF _Toc15283225 \h </w:instrText>
        </w:r>
        <w:r w:rsidR="004E75D5">
          <w:rPr>
            <w:noProof/>
            <w:webHidden/>
          </w:rPr>
        </w:r>
        <w:r w:rsidR="004E75D5">
          <w:rPr>
            <w:noProof/>
            <w:webHidden/>
          </w:rPr>
          <w:fldChar w:fldCharType="separate"/>
        </w:r>
        <w:r w:rsidR="004E75D5">
          <w:rPr>
            <w:noProof/>
            <w:webHidden/>
          </w:rPr>
          <w:t>68</w:t>
        </w:r>
        <w:r w:rsidR="004E75D5">
          <w:rPr>
            <w:noProof/>
            <w:webHidden/>
          </w:rPr>
          <w:fldChar w:fldCharType="end"/>
        </w:r>
      </w:hyperlink>
    </w:p>
    <w:p w14:paraId="132CB800"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26" w:history="1">
        <w:r w:rsidR="004E75D5" w:rsidRPr="00091734">
          <w:rPr>
            <w:rStyle w:val="Hyperlink"/>
            <w:noProof/>
          </w:rPr>
          <w:t>Table A</w:t>
        </w:r>
        <w:r w:rsidR="004E75D5" w:rsidRPr="00091734">
          <w:rPr>
            <w:rStyle w:val="Hyperlink"/>
            <w:noProof/>
          </w:rPr>
          <w:noBreakHyphen/>
          <w:t>3: QAEHS GC-MS analyte list for PDMS extracts</w:t>
        </w:r>
        <w:r w:rsidR="004E75D5">
          <w:rPr>
            <w:noProof/>
            <w:webHidden/>
          </w:rPr>
          <w:tab/>
        </w:r>
        <w:r w:rsidR="004E75D5">
          <w:rPr>
            <w:noProof/>
            <w:webHidden/>
          </w:rPr>
          <w:fldChar w:fldCharType="begin"/>
        </w:r>
        <w:r w:rsidR="004E75D5">
          <w:rPr>
            <w:noProof/>
            <w:webHidden/>
          </w:rPr>
          <w:instrText xml:space="preserve"> PAGEREF _Toc15283226 \h </w:instrText>
        </w:r>
        <w:r w:rsidR="004E75D5">
          <w:rPr>
            <w:noProof/>
            <w:webHidden/>
          </w:rPr>
        </w:r>
        <w:r w:rsidR="004E75D5">
          <w:rPr>
            <w:noProof/>
            <w:webHidden/>
          </w:rPr>
          <w:fldChar w:fldCharType="separate"/>
        </w:r>
        <w:r w:rsidR="004E75D5">
          <w:rPr>
            <w:noProof/>
            <w:webHidden/>
          </w:rPr>
          <w:t>69</w:t>
        </w:r>
        <w:r w:rsidR="004E75D5">
          <w:rPr>
            <w:noProof/>
            <w:webHidden/>
          </w:rPr>
          <w:fldChar w:fldCharType="end"/>
        </w:r>
      </w:hyperlink>
    </w:p>
    <w:p w14:paraId="359B98C7"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27" w:history="1">
        <w:r w:rsidR="004E75D5" w:rsidRPr="00091734">
          <w:rPr>
            <w:rStyle w:val="Hyperlink"/>
            <w:noProof/>
          </w:rPr>
          <w:t>Table A</w:t>
        </w:r>
        <w:r w:rsidR="004E75D5" w:rsidRPr="00091734">
          <w:rPr>
            <w:rStyle w:val="Hyperlink"/>
            <w:noProof/>
          </w:rPr>
          <w:noBreakHyphen/>
          <w:t>4: Proposed priority pesticides and herbicides specified under the MMP</w:t>
        </w:r>
        <w:r w:rsidR="004E75D5">
          <w:rPr>
            <w:noProof/>
            <w:webHidden/>
          </w:rPr>
          <w:tab/>
        </w:r>
        <w:r w:rsidR="004E75D5">
          <w:rPr>
            <w:noProof/>
            <w:webHidden/>
          </w:rPr>
          <w:fldChar w:fldCharType="begin"/>
        </w:r>
        <w:r w:rsidR="004E75D5">
          <w:rPr>
            <w:noProof/>
            <w:webHidden/>
          </w:rPr>
          <w:instrText xml:space="preserve"> PAGEREF _Toc15283227 \h </w:instrText>
        </w:r>
        <w:r w:rsidR="004E75D5">
          <w:rPr>
            <w:noProof/>
            <w:webHidden/>
          </w:rPr>
        </w:r>
        <w:r w:rsidR="004E75D5">
          <w:rPr>
            <w:noProof/>
            <w:webHidden/>
          </w:rPr>
          <w:fldChar w:fldCharType="separate"/>
        </w:r>
        <w:r w:rsidR="004E75D5">
          <w:rPr>
            <w:noProof/>
            <w:webHidden/>
          </w:rPr>
          <w:t>69</w:t>
        </w:r>
        <w:r w:rsidR="004E75D5">
          <w:rPr>
            <w:noProof/>
            <w:webHidden/>
          </w:rPr>
          <w:fldChar w:fldCharType="end"/>
        </w:r>
      </w:hyperlink>
    </w:p>
    <w:p w14:paraId="2D40D20A"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28" w:history="1">
        <w:r w:rsidR="004E75D5" w:rsidRPr="00091734">
          <w:rPr>
            <w:rStyle w:val="Hyperlink"/>
            <w:noProof/>
          </w:rPr>
          <w:t>Table B</w:t>
        </w:r>
        <w:r w:rsidR="004E75D5" w:rsidRPr="00091734">
          <w:rPr>
            <w:rStyle w:val="Hyperlink"/>
            <w:noProof/>
          </w:rPr>
          <w:noBreakHyphen/>
          <w:t>1: Water quality limits available for pesticides</w:t>
        </w:r>
        <w:r w:rsidR="004E75D5">
          <w:rPr>
            <w:noProof/>
            <w:webHidden/>
          </w:rPr>
          <w:tab/>
        </w:r>
        <w:r w:rsidR="004E75D5">
          <w:rPr>
            <w:noProof/>
            <w:webHidden/>
          </w:rPr>
          <w:fldChar w:fldCharType="begin"/>
        </w:r>
        <w:r w:rsidR="004E75D5">
          <w:rPr>
            <w:noProof/>
            <w:webHidden/>
          </w:rPr>
          <w:instrText xml:space="preserve"> PAGEREF _Toc15283228 \h </w:instrText>
        </w:r>
        <w:r w:rsidR="004E75D5">
          <w:rPr>
            <w:noProof/>
            <w:webHidden/>
          </w:rPr>
        </w:r>
        <w:r w:rsidR="004E75D5">
          <w:rPr>
            <w:noProof/>
            <w:webHidden/>
          </w:rPr>
          <w:fldChar w:fldCharType="separate"/>
        </w:r>
        <w:r w:rsidR="004E75D5">
          <w:rPr>
            <w:noProof/>
            <w:webHidden/>
          </w:rPr>
          <w:t>72</w:t>
        </w:r>
        <w:r w:rsidR="004E75D5">
          <w:rPr>
            <w:noProof/>
            <w:webHidden/>
          </w:rPr>
          <w:fldChar w:fldCharType="end"/>
        </w:r>
      </w:hyperlink>
    </w:p>
    <w:p w14:paraId="2AC68D38"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29" w:history="1">
        <w:r w:rsidR="004E75D5" w:rsidRPr="00091734">
          <w:rPr>
            <w:rStyle w:val="Hyperlink"/>
            <w:noProof/>
          </w:rPr>
          <w:t>Table C</w:t>
        </w:r>
        <w:r w:rsidR="004E75D5" w:rsidRPr="00091734">
          <w:rPr>
            <w:rStyle w:val="Hyperlink"/>
            <w:noProof/>
          </w:rPr>
          <w:noBreakHyphen/>
          <w:t>1: Scientific publications indicating the effect concentrations and the end-points for the reference PSII herbicide diuron used to define specific PSII</w:t>
        </w:r>
        <w:r w:rsidR="004E75D5" w:rsidRPr="00091734">
          <w:rPr>
            <w:rStyle w:val="Hyperlink"/>
            <w:noProof/>
          </w:rPr>
          <w:noBreakHyphen/>
          <w:t>HEq Index categories as an indicator for reporting purposes</w:t>
        </w:r>
        <w:r w:rsidR="004E75D5">
          <w:rPr>
            <w:noProof/>
            <w:webHidden/>
          </w:rPr>
          <w:tab/>
        </w:r>
        <w:r w:rsidR="004E75D5">
          <w:rPr>
            <w:noProof/>
            <w:webHidden/>
          </w:rPr>
          <w:fldChar w:fldCharType="begin"/>
        </w:r>
        <w:r w:rsidR="004E75D5">
          <w:rPr>
            <w:noProof/>
            <w:webHidden/>
          </w:rPr>
          <w:instrText xml:space="preserve"> PAGEREF _Toc15283229 \h </w:instrText>
        </w:r>
        <w:r w:rsidR="004E75D5">
          <w:rPr>
            <w:noProof/>
            <w:webHidden/>
          </w:rPr>
        </w:r>
        <w:r w:rsidR="004E75D5">
          <w:rPr>
            <w:noProof/>
            <w:webHidden/>
          </w:rPr>
          <w:fldChar w:fldCharType="separate"/>
        </w:r>
        <w:r w:rsidR="004E75D5">
          <w:rPr>
            <w:noProof/>
            <w:webHidden/>
          </w:rPr>
          <w:t>78</w:t>
        </w:r>
        <w:r w:rsidR="004E75D5">
          <w:rPr>
            <w:noProof/>
            <w:webHidden/>
          </w:rPr>
          <w:fldChar w:fldCharType="end"/>
        </w:r>
      </w:hyperlink>
    </w:p>
    <w:p w14:paraId="1E24710B"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30" w:history="1">
        <w:r w:rsidR="004E75D5" w:rsidRPr="00091734">
          <w:rPr>
            <w:rStyle w:val="Hyperlink"/>
            <w:noProof/>
          </w:rPr>
          <w:t>Table E</w:t>
        </w:r>
        <w:r w:rsidR="004E75D5" w:rsidRPr="00091734">
          <w:rPr>
            <w:rStyle w:val="Hyperlink"/>
            <w:noProof/>
          </w:rPr>
          <w:noBreakHyphen/>
          <w:t xml:space="preserve">1: </w:t>
        </w:r>
        <w:r w:rsidR="004E75D5" w:rsidRPr="00091734">
          <w:rPr>
            <w:rStyle w:val="Hyperlink"/>
            <w:rFonts w:eastAsia="SimSun"/>
            <w:noProof/>
            <w:lang w:val="en-GB"/>
          </w:rPr>
          <w:t>Wet season discharge (ML; million litres) of the main GBR rivers</w:t>
        </w:r>
        <w:r w:rsidR="004E75D5">
          <w:rPr>
            <w:noProof/>
            <w:webHidden/>
          </w:rPr>
          <w:tab/>
        </w:r>
        <w:r w:rsidR="004E75D5">
          <w:rPr>
            <w:noProof/>
            <w:webHidden/>
          </w:rPr>
          <w:fldChar w:fldCharType="begin"/>
        </w:r>
        <w:r w:rsidR="004E75D5">
          <w:rPr>
            <w:noProof/>
            <w:webHidden/>
          </w:rPr>
          <w:instrText xml:space="preserve"> PAGEREF _Toc15283230 \h </w:instrText>
        </w:r>
        <w:r w:rsidR="004E75D5">
          <w:rPr>
            <w:noProof/>
            <w:webHidden/>
          </w:rPr>
        </w:r>
        <w:r w:rsidR="004E75D5">
          <w:rPr>
            <w:noProof/>
            <w:webHidden/>
          </w:rPr>
          <w:fldChar w:fldCharType="separate"/>
        </w:r>
        <w:r w:rsidR="004E75D5">
          <w:rPr>
            <w:noProof/>
            <w:webHidden/>
          </w:rPr>
          <w:t>83</w:t>
        </w:r>
        <w:r w:rsidR="004E75D5">
          <w:rPr>
            <w:noProof/>
            <w:webHidden/>
          </w:rPr>
          <w:fldChar w:fldCharType="end"/>
        </w:r>
      </w:hyperlink>
    </w:p>
    <w:p w14:paraId="77116259"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31" w:history="1">
        <w:r w:rsidR="004E75D5" w:rsidRPr="00091734">
          <w:rPr>
            <w:rStyle w:val="Hyperlink"/>
            <w:noProof/>
          </w:rPr>
          <w:t>Table E</w:t>
        </w:r>
        <w:r w:rsidR="004E75D5" w:rsidRPr="00091734">
          <w:rPr>
            <w:rStyle w:val="Hyperlink"/>
            <w:noProof/>
          </w:rPr>
          <w:noBreakHyphen/>
          <w:t>2: Weekly water type colour class (1 – 6) for fixed site passive sampler and river transect locations</w:t>
        </w:r>
        <w:r w:rsidR="004E75D5">
          <w:rPr>
            <w:noProof/>
            <w:webHidden/>
          </w:rPr>
          <w:tab/>
        </w:r>
        <w:r w:rsidR="004E75D5">
          <w:rPr>
            <w:noProof/>
            <w:webHidden/>
          </w:rPr>
          <w:fldChar w:fldCharType="begin"/>
        </w:r>
        <w:r w:rsidR="004E75D5">
          <w:rPr>
            <w:noProof/>
            <w:webHidden/>
          </w:rPr>
          <w:instrText xml:space="preserve"> PAGEREF _Toc15283231 \h </w:instrText>
        </w:r>
        <w:r w:rsidR="004E75D5">
          <w:rPr>
            <w:noProof/>
            <w:webHidden/>
          </w:rPr>
        </w:r>
        <w:r w:rsidR="004E75D5">
          <w:rPr>
            <w:noProof/>
            <w:webHidden/>
          </w:rPr>
          <w:fldChar w:fldCharType="separate"/>
        </w:r>
        <w:r w:rsidR="004E75D5">
          <w:rPr>
            <w:noProof/>
            <w:webHidden/>
          </w:rPr>
          <w:t>87</w:t>
        </w:r>
        <w:r w:rsidR="004E75D5">
          <w:rPr>
            <w:noProof/>
            <w:webHidden/>
          </w:rPr>
          <w:fldChar w:fldCharType="end"/>
        </w:r>
      </w:hyperlink>
    </w:p>
    <w:p w14:paraId="70F6E8BD"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32" w:history="1">
        <w:r w:rsidR="004E75D5" w:rsidRPr="00091734">
          <w:rPr>
            <w:rStyle w:val="Hyperlink"/>
            <w:noProof/>
          </w:rPr>
          <w:t>Table F</w:t>
        </w:r>
        <w:r w:rsidR="004E75D5" w:rsidRPr="00091734">
          <w:rPr>
            <w:rStyle w:val="Hyperlink"/>
            <w:noProof/>
          </w:rPr>
          <w:noBreakHyphen/>
          <w:t>1: Passive sampling return record for the 2017–18 monitoring year.</w:t>
        </w:r>
        <w:r w:rsidR="004E75D5">
          <w:rPr>
            <w:noProof/>
            <w:webHidden/>
          </w:rPr>
          <w:tab/>
        </w:r>
        <w:r w:rsidR="004E75D5">
          <w:rPr>
            <w:noProof/>
            <w:webHidden/>
          </w:rPr>
          <w:fldChar w:fldCharType="begin"/>
        </w:r>
        <w:r w:rsidR="004E75D5">
          <w:rPr>
            <w:noProof/>
            <w:webHidden/>
          </w:rPr>
          <w:instrText xml:space="preserve"> PAGEREF _Toc15283232 \h </w:instrText>
        </w:r>
        <w:r w:rsidR="004E75D5">
          <w:rPr>
            <w:noProof/>
            <w:webHidden/>
          </w:rPr>
        </w:r>
        <w:r w:rsidR="004E75D5">
          <w:rPr>
            <w:noProof/>
            <w:webHidden/>
          </w:rPr>
          <w:fldChar w:fldCharType="separate"/>
        </w:r>
        <w:r w:rsidR="004E75D5">
          <w:rPr>
            <w:noProof/>
            <w:webHidden/>
          </w:rPr>
          <w:t>91</w:t>
        </w:r>
        <w:r w:rsidR="004E75D5">
          <w:rPr>
            <w:noProof/>
            <w:webHidden/>
          </w:rPr>
          <w:fldChar w:fldCharType="end"/>
        </w:r>
      </w:hyperlink>
    </w:p>
    <w:p w14:paraId="4B4B96F7"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33" w:history="1">
        <w:r w:rsidR="004E75D5" w:rsidRPr="00091734">
          <w:rPr>
            <w:rStyle w:val="Hyperlink"/>
            <w:noProof/>
          </w:rPr>
          <w:t>Table F</w:t>
        </w:r>
        <w:r w:rsidR="004E75D5" w:rsidRPr="00091734">
          <w:rPr>
            <w:rStyle w:val="Hyperlink"/>
            <w:noProof/>
          </w:rPr>
          <w:noBreakHyphen/>
          <w:t>2: Low Isles, Wet Tropics region – Time integrated estimated concentrations in water ( ng L</w:t>
        </w:r>
        <w:r w:rsidR="004E75D5" w:rsidRPr="00091734">
          <w:rPr>
            <w:rStyle w:val="Hyperlink"/>
            <w:noProof/>
            <w:vertAlign w:val="superscript"/>
          </w:rPr>
          <w:noBreakHyphen/>
          <w:t>1</w:t>
        </w:r>
        <w:r w:rsidR="004E75D5" w:rsidRPr="00091734">
          <w:rPr>
            <w:rStyle w:val="Hyperlink"/>
            <w:noProof/>
          </w:rPr>
          <w:t>)</w:t>
        </w:r>
        <w:r w:rsidR="004E75D5">
          <w:rPr>
            <w:noProof/>
            <w:webHidden/>
          </w:rPr>
          <w:tab/>
        </w:r>
        <w:r w:rsidR="004E75D5">
          <w:rPr>
            <w:noProof/>
            <w:webHidden/>
          </w:rPr>
          <w:fldChar w:fldCharType="begin"/>
        </w:r>
        <w:r w:rsidR="004E75D5">
          <w:rPr>
            <w:noProof/>
            <w:webHidden/>
          </w:rPr>
          <w:instrText xml:space="preserve"> PAGEREF _Toc15283233 \h </w:instrText>
        </w:r>
        <w:r w:rsidR="004E75D5">
          <w:rPr>
            <w:noProof/>
            <w:webHidden/>
          </w:rPr>
        </w:r>
        <w:r w:rsidR="004E75D5">
          <w:rPr>
            <w:noProof/>
            <w:webHidden/>
          </w:rPr>
          <w:fldChar w:fldCharType="separate"/>
        </w:r>
        <w:r w:rsidR="004E75D5">
          <w:rPr>
            <w:noProof/>
            <w:webHidden/>
          </w:rPr>
          <w:t>93</w:t>
        </w:r>
        <w:r w:rsidR="004E75D5">
          <w:rPr>
            <w:noProof/>
            <w:webHidden/>
          </w:rPr>
          <w:fldChar w:fldCharType="end"/>
        </w:r>
      </w:hyperlink>
    </w:p>
    <w:p w14:paraId="2DEB68C2"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34" w:history="1">
        <w:r w:rsidR="004E75D5" w:rsidRPr="00091734">
          <w:rPr>
            <w:rStyle w:val="Hyperlink"/>
            <w:noProof/>
          </w:rPr>
          <w:t>Table F</w:t>
        </w:r>
        <w:r w:rsidR="004E75D5" w:rsidRPr="00091734">
          <w:rPr>
            <w:rStyle w:val="Hyperlink"/>
            <w:noProof/>
          </w:rPr>
          <w:noBreakHyphen/>
          <w:t>3: High Island, Wet Tropics region – Time integrated estimated concentrations in water ( ng L</w:t>
        </w:r>
        <w:r w:rsidR="004E75D5" w:rsidRPr="00091734">
          <w:rPr>
            <w:rStyle w:val="Hyperlink"/>
            <w:noProof/>
            <w:vertAlign w:val="superscript"/>
          </w:rPr>
          <w:noBreakHyphen/>
          <w:t>1</w:t>
        </w:r>
        <w:r w:rsidR="004E75D5" w:rsidRPr="00091734">
          <w:rPr>
            <w:rStyle w:val="Hyperlink"/>
            <w:noProof/>
          </w:rPr>
          <w:t>)</w:t>
        </w:r>
        <w:r w:rsidR="004E75D5">
          <w:rPr>
            <w:noProof/>
            <w:webHidden/>
          </w:rPr>
          <w:tab/>
        </w:r>
        <w:r w:rsidR="004E75D5">
          <w:rPr>
            <w:noProof/>
            <w:webHidden/>
          </w:rPr>
          <w:fldChar w:fldCharType="begin"/>
        </w:r>
        <w:r w:rsidR="004E75D5">
          <w:rPr>
            <w:noProof/>
            <w:webHidden/>
          </w:rPr>
          <w:instrText xml:space="preserve"> PAGEREF _Toc15283234 \h </w:instrText>
        </w:r>
        <w:r w:rsidR="004E75D5">
          <w:rPr>
            <w:noProof/>
            <w:webHidden/>
          </w:rPr>
        </w:r>
        <w:r w:rsidR="004E75D5">
          <w:rPr>
            <w:noProof/>
            <w:webHidden/>
          </w:rPr>
          <w:fldChar w:fldCharType="separate"/>
        </w:r>
        <w:r w:rsidR="004E75D5">
          <w:rPr>
            <w:noProof/>
            <w:webHidden/>
          </w:rPr>
          <w:t>94</w:t>
        </w:r>
        <w:r w:rsidR="004E75D5">
          <w:rPr>
            <w:noProof/>
            <w:webHidden/>
          </w:rPr>
          <w:fldChar w:fldCharType="end"/>
        </w:r>
      </w:hyperlink>
    </w:p>
    <w:p w14:paraId="3B1EAAF3"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35" w:history="1">
        <w:r w:rsidR="004E75D5" w:rsidRPr="00091734">
          <w:rPr>
            <w:rStyle w:val="Hyperlink"/>
            <w:noProof/>
          </w:rPr>
          <w:t>Table F</w:t>
        </w:r>
        <w:r w:rsidR="004E75D5" w:rsidRPr="00091734">
          <w:rPr>
            <w:rStyle w:val="Hyperlink"/>
            <w:noProof/>
          </w:rPr>
          <w:noBreakHyphen/>
          <w:t>4: Dunk Island, Wet Tropics region – Time integrated estimated concentrations in water ( ng L</w:t>
        </w:r>
        <w:r w:rsidR="004E75D5" w:rsidRPr="00091734">
          <w:rPr>
            <w:rStyle w:val="Hyperlink"/>
            <w:noProof/>
            <w:vertAlign w:val="superscript"/>
          </w:rPr>
          <w:noBreakHyphen/>
          <w:t>1</w:t>
        </w:r>
        <w:r w:rsidR="004E75D5" w:rsidRPr="00091734">
          <w:rPr>
            <w:rStyle w:val="Hyperlink"/>
            <w:noProof/>
          </w:rPr>
          <w:t>)</w:t>
        </w:r>
        <w:r w:rsidR="004E75D5">
          <w:rPr>
            <w:noProof/>
            <w:webHidden/>
          </w:rPr>
          <w:tab/>
        </w:r>
        <w:r w:rsidR="004E75D5">
          <w:rPr>
            <w:noProof/>
            <w:webHidden/>
          </w:rPr>
          <w:fldChar w:fldCharType="begin"/>
        </w:r>
        <w:r w:rsidR="004E75D5">
          <w:rPr>
            <w:noProof/>
            <w:webHidden/>
          </w:rPr>
          <w:instrText xml:space="preserve"> PAGEREF _Toc15283235 \h </w:instrText>
        </w:r>
        <w:r w:rsidR="004E75D5">
          <w:rPr>
            <w:noProof/>
            <w:webHidden/>
          </w:rPr>
        </w:r>
        <w:r w:rsidR="004E75D5">
          <w:rPr>
            <w:noProof/>
            <w:webHidden/>
          </w:rPr>
          <w:fldChar w:fldCharType="separate"/>
        </w:r>
        <w:r w:rsidR="004E75D5">
          <w:rPr>
            <w:noProof/>
            <w:webHidden/>
          </w:rPr>
          <w:t>95</w:t>
        </w:r>
        <w:r w:rsidR="004E75D5">
          <w:rPr>
            <w:noProof/>
            <w:webHidden/>
          </w:rPr>
          <w:fldChar w:fldCharType="end"/>
        </w:r>
      </w:hyperlink>
    </w:p>
    <w:p w14:paraId="22910944"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36" w:history="1">
        <w:r w:rsidR="004E75D5" w:rsidRPr="00091734">
          <w:rPr>
            <w:rStyle w:val="Hyperlink"/>
            <w:noProof/>
          </w:rPr>
          <w:t>Table F</w:t>
        </w:r>
        <w:r w:rsidR="004E75D5" w:rsidRPr="00091734">
          <w:rPr>
            <w:rStyle w:val="Hyperlink"/>
            <w:noProof/>
          </w:rPr>
          <w:noBreakHyphen/>
          <w:t>5: Normanby Island, Wet Tropics region – Time integrated estimated concentrations in water ( ng L</w:t>
        </w:r>
        <w:r w:rsidR="004E75D5" w:rsidRPr="00091734">
          <w:rPr>
            <w:rStyle w:val="Hyperlink"/>
            <w:noProof/>
            <w:vertAlign w:val="superscript"/>
          </w:rPr>
          <w:noBreakHyphen/>
          <w:t>1</w:t>
        </w:r>
        <w:r w:rsidR="004E75D5" w:rsidRPr="00091734">
          <w:rPr>
            <w:rStyle w:val="Hyperlink"/>
            <w:noProof/>
          </w:rPr>
          <w:t>)</w:t>
        </w:r>
        <w:r w:rsidR="004E75D5">
          <w:rPr>
            <w:noProof/>
            <w:webHidden/>
          </w:rPr>
          <w:tab/>
        </w:r>
        <w:r w:rsidR="004E75D5">
          <w:rPr>
            <w:noProof/>
            <w:webHidden/>
          </w:rPr>
          <w:fldChar w:fldCharType="begin"/>
        </w:r>
        <w:r w:rsidR="004E75D5">
          <w:rPr>
            <w:noProof/>
            <w:webHidden/>
          </w:rPr>
          <w:instrText xml:space="preserve"> PAGEREF _Toc15283236 \h </w:instrText>
        </w:r>
        <w:r w:rsidR="004E75D5">
          <w:rPr>
            <w:noProof/>
            <w:webHidden/>
          </w:rPr>
        </w:r>
        <w:r w:rsidR="004E75D5">
          <w:rPr>
            <w:noProof/>
            <w:webHidden/>
          </w:rPr>
          <w:fldChar w:fldCharType="separate"/>
        </w:r>
        <w:r w:rsidR="004E75D5">
          <w:rPr>
            <w:noProof/>
            <w:webHidden/>
          </w:rPr>
          <w:t>96</w:t>
        </w:r>
        <w:r w:rsidR="004E75D5">
          <w:rPr>
            <w:noProof/>
            <w:webHidden/>
          </w:rPr>
          <w:fldChar w:fldCharType="end"/>
        </w:r>
      </w:hyperlink>
    </w:p>
    <w:p w14:paraId="311D3924"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37" w:history="1">
        <w:r w:rsidR="004E75D5" w:rsidRPr="00091734">
          <w:rPr>
            <w:rStyle w:val="Hyperlink"/>
            <w:noProof/>
          </w:rPr>
          <w:t>Table F</w:t>
        </w:r>
        <w:r w:rsidR="004E75D5" w:rsidRPr="00091734">
          <w:rPr>
            <w:rStyle w:val="Hyperlink"/>
            <w:noProof/>
          </w:rPr>
          <w:noBreakHyphen/>
          <w:t>6: Lucinda, Wet Tropics region – Time integrated estimated concentrations in water ( ng L</w:t>
        </w:r>
        <w:r w:rsidR="004E75D5" w:rsidRPr="00091734">
          <w:rPr>
            <w:rStyle w:val="Hyperlink"/>
            <w:noProof/>
            <w:vertAlign w:val="superscript"/>
          </w:rPr>
          <w:noBreakHyphen/>
          <w:t>1</w:t>
        </w:r>
        <w:r w:rsidR="004E75D5" w:rsidRPr="00091734">
          <w:rPr>
            <w:rStyle w:val="Hyperlink"/>
            <w:noProof/>
          </w:rPr>
          <w:t>)</w:t>
        </w:r>
        <w:r w:rsidR="004E75D5">
          <w:rPr>
            <w:noProof/>
            <w:webHidden/>
          </w:rPr>
          <w:tab/>
        </w:r>
        <w:r w:rsidR="004E75D5">
          <w:rPr>
            <w:noProof/>
            <w:webHidden/>
          </w:rPr>
          <w:fldChar w:fldCharType="begin"/>
        </w:r>
        <w:r w:rsidR="004E75D5">
          <w:rPr>
            <w:noProof/>
            <w:webHidden/>
          </w:rPr>
          <w:instrText xml:space="preserve"> PAGEREF _Toc15283237 \h </w:instrText>
        </w:r>
        <w:r w:rsidR="004E75D5">
          <w:rPr>
            <w:noProof/>
            <w:webHidden/>
          </w:rPr>
        </w:r>
        <w:r w:rsidR="004E75D5">
          <w:rPr>
            <w:noProof/>
            <w:webHidden/>
          </w:rPr>
          <w:fldChar w:fldCharType="separate"/>
        </w:r>
        <w:r w:rsidR="004E75D5">
          <w:rPr>
            <w:noProof/>
            <w:webHidden/>
          </w:rPr>
          <w:t>97</w:t>
        </w:r>
        <w:r w:rsidR="004E75D5">
          <w:rPr>
            <w:noProof/>
            <w:webHidden/>
          </w:rPr>
          <w:fldChar w:fldCharType="end"/>
        </w:r>
      </w:hyperlink>
    </w:p>
    <w:p w14:paraId="4925DFD6"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38" w:history="1">
        <w:r w:rsidR="004E75D5" w:rsidRPr="00091734">
          <w:rPr>
            <w:rStyle w:val="Hyperlink"/>
            <w:noProof/>
          </w:rPr>
          <w:t>Table F</w:t>
        </w:r>
        <w:r w:rsidR="004E75D5" w:rsidRPr="00091734">
          <w:rPr>
            <w:rStyle w:val="Hyperlink"/>
            <w:noProof/>
          </w:rPr>
          <w:noBreakHyphen/>
          <w:t>7: Barratta Creek, Burdekin Region – Time integrated estimated concentrations in water ( ng L</w:t>
        </w:r>
        <w:r w:rsidR="004E75D5" w:rsidRPr="00091734">
          <w:rPr>
            <w:rStyle w:val="Hyperlink"/>
            <w:noProof/>
            <w:vertAlign w:val="superscript"/>
          </w:rPr>
          <w:noBreakHyphen/>
          <w:t>1</w:t>
        </w:r>
        <w:r w:rsidR="004E75D5" w:rsidRPr="00091734">
          <w:rPr>
            <w:rStyle w:val="Hyperlink"/>
            <w:noProof/>
          </w:rPr>
          <w:t>)</w:t>
        </w:r>
        <w:r w:rsidR="004E75D5">
          <w:rPr>
            <w:noProof/>
            <w:webHidden/>
          </w:rPr>
          <w:tab/>
        </w:r>
        <w:r w:rsidR="004E75D5">
          <w:rPr>
            <w:noProof/>
            <w:webHidden/>
          </w:rPr>
          <w:fldChar w:fldCharType="begin"/>
        </w:r>
        <w:r w:rsidR="004E75D5">
          <w:rPr>
            <w:noProof/>
            <w:webHidden/>
          </w:rPr>
          <w:instrText xml:space="preserve"> PAGEREF _Toc15283238 \h </w:instrText>
        </w:r>
        <w:r w:rsidR="004E75D5">
          <w:rPr>
            <w:noProof/>
            <w:webHidden/>
          </w:rPr>
        </w:r>
        <w:r w:rsidR="004E75D5">
          <w:rPr>
            <w:noProof/>
            <w:webHidden/>
          </w:rPr>
          <w:fldChar w:fldCharType="separate"/>
        </w:r>
        <w:r w:rsidR="004E75D5">
          <w:rPr>
            <w:noProof/>
            <w:webHidden/>
          </w:rPr>
          <w:t>98</w:t>
        </w:r>
        <w:r w:rsidR="004E75D5">
          <w:rPr>
            <w:noProof/>
            <w:webHidden/>
          </w:rPr>
          <w:fldChar w:fldCharType="end"/>
        </w:r>
      </w:hyperlink>
    </w:p>
    <w:p w14:paraId="4D08F2B4"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39" w:history="1">
        <w:r w:rsidR="004E75D5" w:rsidRPr="00091734">
          <w:rPr>
            <w:rStyle w:val="Hyperlink"/>
            <w:noProof/>
          </w:rPr>
          <w:t>Table F</w:t>
        </w:r>
        <w:r w:rsidR="004E75D5" w:rsidRPr="00091734">
          <w:rPr>
            <w:rStyle w:val="Hyperlink"/>
            <w:noProof/>
          </w:rPr>
          <w:noBreakHyphen/>
          <w:t>8: Repulse Bay, Mackay Whitsunday region – Time integrated estimated concentrations in water ( ng L</w:t>
        </w:r>
        <w:r w:rsidR="004E75D5" w:rsidRPr="00091734">
          <w:rPr>
            <w:rStyle w:val="Hyperlink"/>
            <w:noProof/>
            <w:vertAlign w:val="superscript"/>
          </w:rPr>
          <w:noBreakHyphen/>
          <w:t>1</w:t>
        </w:r>
        <w:r w:rsidR="004E75D5" w:rsidRPr="00091734">
          <w:rPr>
            <w:rStyle w:val="Hyperlink"/>
            <w:noProof/>
          </w:rPr>
          <w:t>)</w:t>
        </w:r>
        <w:r w:rsidR="004E75D5">
          <w:rPr>
            <w:noProof/>
            <w:webHidden/>
          </w:rPr>
          <w:tab/>
        </w:r>
        <w:r w:rsidR="004E75D5">
          <w:rPr>
            <w:noProof/>
            <w:webHidden/>
          </w:rPr>
          <w:fldChar w:fldCharType="begin"/>
        </w:r>
        <w:r w:rsidR="004E75D5">
          <w:rPr>
            <w:noProof/>
            <w:webHidden/>
          </w:rPr>
          <w:instrText xml:space="preserve"> PAGEREF _Toc15283239 \h </w:instrText>
        </w:r>
        <w:r w:rsidR="004E75D5">
          <w:rPr>
            <w:noProof/>
            <w:webHidden/>
          </w:rPr>
        </w:r>
        <w:r w:rsidR="004E75D5">
          <w:rPr>
            <w:noProof/>
            <w:webHidden/>
          </w:rPr>
          <w:fldChar w:fldCharType="separate"/>
        </w:r>
        <w:r w:rsidR="004E75D5">
          <w:rPr>
            <w:noProof/>
            <w:webHidden/>
          </w:rPr>
          <w:t>99</w:t>
        </w:r>
        <w:r w:rsidR="004E75D5">
          <w:rPr>
            <w:noProof/>
            <w:webHidden/>
          </w:rPr>
          <w:fldChar w:fldCharType="end"/>
        </w:r>
      </w:hyperlink>
    </w:p>
    <w:p w14:paraId="6B53B4AF"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40" w:history="1">
        <w:r w:rsidR="004E75D5" w:rsidRPr="00091734">
          <w:rPr>
            <w:rStyle w:val="Hyperlink"/>
            <w:noProof/>
          </w:rPr>
          <w:t>Table F</w:t>
        </w:r>
        <w:r w:rsidR="004E75D5" w:rsidRPr="00091734">
          <w:rPr>
            <w:rStyle w:val="Hyperlink"/>
            <w:noProof/>
          </w:rPr>
          <w:noBreakHyphen/>
          <w:t>9: Round Top Island, Mackay Whitsunday region – Time integrated estimated concentrations in water ( ng L</w:t>
        </w:r>
        <w:r w:rsidR="004E75D5" w:rsidRPr="00091734">
          <w:rPr>
            <w:rStyle w:val="Hyperlink"/>
            <w:noProof/>
            <w:vertAlign w:val="superscript"/>
          </w:rPr>
          <w:noBreakHyphen/>
          <w:t>1</w:t>
        </w:r>
        <w:r w:rsidR="004E75D5" w:rsidRPr="00091734">
          <w:rPr>
            <w:rStyle w:val="Hyperlink"/>
            <w:noProof/>
          </w:rPr>
          <w:t>)</w:t>
        </w:r>
        <w:r w:rsidR="004E75D5">
          <w:rPr>
            <w:noProof/>
            <w:webHidden/>
          </w:rPr>
          <w:tab/>
        </w:r>
        <w:r w:rsidR="004E75D5">
          <w:rPr>
            <w:noProof/>
            <w:webHidden/>
          </w:rPr>
          <w:fldChar w:fldCharType="begin"/>
        </w:r>
        <w:r w:rsidR="004E75D5">
          <w:rPr>
            <w:noProof/>
            <w:webHidden/>
          </w:rPr>
          <w:instrText xml:space="preserve"> PAGEREF _Toc15283240 \h </w:instrText>
        </w:r>
        <w:r w:rsidR="004E75D5">
          <w:rPr>
            <w:noProof/>
            <w:webHidden/>
          </w:rPr>
        </w:r>
        <w:r w:rsidR="004E75D5">
          <w:rPr>
            <w:noProof/>
            <w:webHidden/>
          </w:rPr>
          <w:fldChar w:fldCharType="separate"/>
        </w:r>
        <w:r w:rsidR="004E75D5">
          <w:rPr>
            <w:noProof/>
            <w:webHidden/>
          </w:rPr>
          <w:t>100</w:t>
        </w:r>
        <w:r w:rsidR="004E75D5">
          <w:rPr>
            <w:noProof/>
            <w:webHidden/>
          </w:rPr>
          <w:fldChar w:fldCharType="end"/>
        </w:r>
      </w:hyperlink>
    </w:p>
    <w:p w14:paraId="0547A0DA"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41" w:history="1">
        <w:r w:rsidR="004E75D5" w:rsidRPr="00091734">
          <w:rPr>
            <w:rStyle w:val="Hyperlink"/>
            <w:noProof/>
          </w:rPr>
          <w:t>Table F</w:t>
        </w:r>
        <w:r w:rsidR="004E75D5" w:rsidRPr="00091734">
          <w:rPr>
            <w:rStyle w:val="Hyperlink"/>
            <w:noProof/>
          </w:rPr>
          <w:noBreakHyphen/>
          <w:t>10: Sarina Inlet, Mackay Whitsunday region – Time integrated estimated concentrations in water ( ng L</w:t>
        </w:r>
        <w:r w:rsidR="004E75D5" w:rsidRPr="00091734">
          <w:rPr>
            <w:rStyle w:val="Hyperlink"/>
            <w:noProof/>
            <w:vertAlign w:val="superscript"/>
          </w:rPr>
          <w:noBreakHyphen/>
          <w:t>1</w:t>
        </w:r>
        <w:r w:rsidR="004E75D5" w:rsidRPr="00091734">
          <w:rPr>
            <w:rStyle w:val="Hyperlink"/>
            <w:noProof/>
          </w:rPr>
          <w:t>)</w:t>
        </w:r>
        <w:r w:rsidR="004E75D5">
          <w:rPr>
            <w:noProof/>
            <w:webHidden/>
          </w:rPr>
          <w:tab/>
        </w:r>
        <w:r w:rsidR="004E75D5">
          <w:rPr>
            <w:noProof/>
            <w:webHidden/>
          </w:rPr>
          <w:fldChar w:fldCharType="begin"/>
        </w:r>
        <w:r w:rsidR="004E75D5">
          <w:rPr>
            <w:noProof/>
            <w:webHidden/>
          </w:rPr>
          <w:instrText xml:space="preserve"> PAGEREF _Toc15283241 \h </w:instrText>
        </w:r>
        <w:r w:rsidR="004E75D5">
          <w:rPr>
            <w:noProof/>
            <w:webHidden/>
          </w:rPr>
        </w:r>
        <w:r w:rsidR="004E75D5">
          <w:rPr>
            <w:noProof/>
            <w:webHidden/>
          </w:rPr>
          <w:fldChar w:fldCharType="separate"/>
        </w:r>
        <w:r w:rsidR="004E75D5">
          <w:rPr>
            <w:noProof/>
            <w:webHidden/>
          </w:rPr>
          <w:t>101</w:t>
        </w:r>
        <w:r w:rsidR="004E75D5">
          <w:rPr>
            <w:noProof/>
            <w:webHidden/>
          </w:rPr>
          <w:fldChar w:fldCharType="end"/>
        </w:r>
      </w:hyperlink>
    </w:p>
    <w:p w14:paraId="27F287AA"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42" w:history="1">
        <w:r w:rsidR="004E75D5" w:rsidRPr="00091734">
          <w:rPr>
            <w:rStyle w:val="Hyperlink"/>
            <w:noProof/>
          </w:rPr>
          <w:t>Table F</w:t>
        </w:r>
        <w:r w:rsidR="004E75D5" w:rsidRPr="00091734">
          <w:rPr>
            <w:rStyle w:val="Hyperlink"/>
            <w:noProof/>
          </w:rPr>
          <w:noBreakHyphen/>
          <w:t>11: Sandy Creek, Mackay Whitsunday region – Time integrated estimated concentrations in water ( ng L</w:t>
        </w:r>
        <w:r w:rsidR="004E75D5" w:rsidRPr="00091734">
          <w:rPr>
            <w:rStyle w:val="Hyperlink"/>
            <w:noProof/>
            <w:vertAlign w:val="superscript"/>
          </w:rPr>
          <w:noBreakHyphen/>
          <w:t>1</w:t>
        </w:r>
        <w:r w:rsidR="004E75D5" w:rsidRPr="00091734">
          <w:rPr>
            <w:rStyle w:val="Hyperlink"/>
            <w:noProof/>
          </w:rPr>
          <w:t>)</w:t>
        </w:r>
        <w:r w:rsidR="004E75D5">
          <w:rPr>
            <w:noProof/>
            <w:webHidden/>
          </w:rPr>
          <w:tab/>
        </w:r>
        <w:r w:rsidR="004E75D5">
          <w:rPr>
            <w:noProof/>
            <w:webHidden/>
          </w:rPr>
          <w:fldChar w:fldCharType="begin"/>
        </w:r>
        <w:r w:rsidR="004E75D5">
          <w:rPr>
            <w:noProof/>
            <w:webHidden/>
          </w:rPr>
          <w:instrText xml:space="preserve"> PAGEREF _Toc15283242 \h </w:instrText>
        </w:r>
        <w:r w:rsidR="004E75D5">
          <w:rPr>
            <w:noProof/>
            <w:webHidden/>
          </w:rPr>
        </w:r>
        <w:r w:rsidR="004E75D5">
          <w:rPr>
            <w:noProof/>
            <w:webHidden/>
          </w:rPr>
          <w:fldChar w:fldCharType="separate"/>
        </w:r>
        <w:r w:rsidR="004E75D5">
          <w:rPr>
            <w:noProof/>
            <w:webHidden/>
          </w:rPr>
          <w:t>102</w:t>
        </w:r>
        <w:r w:rsidR="004E75D5">
          <w:rPr>
            <w:noProof/>
            <w:webHidden/>
          </w:rPr>
          <w:fldChar w:fldCharType="end"/>
        </w:r>
      </w:hyperlink>
    </w:p>
    <w:p w14:paraId="1E4B4EA4"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43" w:history="1">
        <w:r w:rsidR="004E75D5" w:rsidRPr="00091734">
          <w:rPr>
            <w:rStyle w:val="Hyperlink"/>
            <w:noProof/>
          </w:rPr>
          <w:t>Table F</w:t>
        </w:r>
        <w:r w:rsidR="004E75D5" w:rsidRPr="00091734">
          <w:rPr>
            <w:rStyle w:val="Hyperlink"/>
            <w:noProof/>
          </w:rPr>
          <w:noBreakHyphen/>
          <w:t>12: North Keppel Island, Fitzroy Region – Time integrated estimated concentrations in water ( ng L</w:t>
        </w:r>
        <w:r w:rsidR="004E75D5" w:rsidRPr="00091734">
          <w:rPr>
            <w:rStyle w:val="Hyperlink"/>
            <w:noProof/>
            <w:vertAlign w:val="superscript"/>
          </w:rPr>
          <w:noBreakHyphen/>
          <w:t>1</w:t>
        </w:r>
        <w:r w:rsidR="004E75D5" w:rsidRPr="00091734">
          <w:rPr>
            <w:rStyle w:val="Hyperlink"/>
            <w:noProof/>
          </w:rPr>
          <w:t>)</w:t>
        </w:r>
        <w:r w:rsidR="004E75D5">
          <w:rPr>
            <w:noProof/>
            <w:webHidden/>
          </w:rPr>
          <w:tab/>
        </w:r>
        <w:r w:rsidR="004E75D5">
          <w:rPr>
            <w:noProof/>
            <w:webHidden/>
          </w:rPr>
          <w:fldChar w:fldCharType="begin"/>
        </w:r>
        <w:r w:rsidR="004E75D5">
          <w:rPr>
            <w:noProof/>
            <w:webHidden/>
          </w:rPr>
          <w:instrText xml:space="preserve"> PAGEREF _Toc15283243 \h </w:instrText>
        </w:r>
        <w:r w:rsidR="004E75D5">
          <w:rPr>
            <w:noProof/>
            <w:webHidden/>
          </w:rPr>
        </w:r>
        <w:r w:rsidR="004E75D5">
          <w:rPr>
            <w:noProof/>
            <w:webHidden/>
          </w:rPr>
          <w:fldChar w:fldCharType="separate"/>
        </w:r>
        <w:r w:rsidR="004E75D5">
          <w:rPr>
            <w:noProof/>
            <w:webHidden/>
          </w:rPr>
          <w:t>103</w:t>
        </w:r>
        <w:r w:rsidR="004E75D5">
          <w:rPr>
            <w:noProof/>
            <w:webHidden/>
          </w:rPr>
          <w:fldChar w:fldCharType="end"/>
        </w:r>
      </w:hyperlink>
    </w:p>
    <w:p w14:paraId="4A14A0CD" w14:textId="77777777" w:rsidR="004E75D5" w:rsidRDefault="00F41081">
      <w:pPr>
        <w:pStyle w:val="TableofFigures"/>
        <w:tabs>
          <w:tab w:val="right" w:leader="dot" w:pos="9016"/>
        </w:tabs>
        <w:rPr>
          <w:rFonts w:asciiTheme="minorHAnsi" w:hAnsiTheme="minorHAnsi"/>
          <w:iCs w:val="0"/>
          <w:noProof/>
          <w:sz w:val="22"/>
          <w:szCs w:val="22"/>
          <w:lang w:val="en-AU" w:eastAsia="en-AU" w:bidi="ar-SA"/>
        </w:rPr>
      </w:pPr>
      <w:hyperlink w:anchor="_Toc15283244" w:history="1">
        <w:r w:rsidR="004E75D5" w:rsidRPr="00091734">
          <w:rPr>
            <w:rStyle w:val="Hyperlink"/>
            <w:noProof/>
          </w:rPr>
          <w:t>Table G</w:t>
        </w:r>
        <w:r w:rsidR="004E75D5" w:rsidRPr="00091734">
          <w:rPr>
            <w:rStyle w:val="Hyperlink"/>
            <w:noProof/>
          </w:rPr>
          <w:noBreakHyphen/>
          <w:t>1: Concentrations in grab water samples ( ng L</w:t>
        </w:r>
        <w:r w:rsidR="004E75D5" w:rsidRPr="00091734">
          <w:rPr>
            <w:rStyle w:val="Hyperlink"/>
            <w:noProof/>
            <w:vertAlign w:val="superscript"/>
          </w:rPr>
          <w:noBreakHyphen/>
          <w:t>1</w:t>
        </w:r>
        <w:r w:rsidR="004E75D5" w:rsidRPr="00091734">
          <w:rPr>
            <w:rStyle w:val="Hyperlink"/>
            <w:noProof/>
          </w:rPr>
          <w:t>) measured at various locations offshore and in river mouths (along transects) during the 2017–18  monitoring year</w:t>
        </w:r>
        <w:r w:rsidR="004E75D5">
          <w:rPr>
            <w:noProof/>
            <w:webHidden/>
          </w:rPr>
          <w:tab/>
        </w:r>
        <w:r w:rsidR="004E75D5">
          <w:rPr>
            <w:noProof/>
            <w:webHidden/>
          </w:rPr>
          <w:fldChar w:fldCharType="begin"/>
        </w:r>
        <w:r w:rsidR="004E75D5">
          <w:rPr>
            <w:noProof/>
            <w:webHidden/>
          </w:rPr>
          <w:instrText xml:space="preserve"> PAGEREF _Toc15283244 \h </w:instrText>
        </w:r>
        <w:r w:rsidR="004E75D5">
          <w:rPr>
            <w:noProof/>
            <w:webHidden/>
          </w:rPr>
        </w:r>
        <w:r w:rsidR="004E75D5">
          <w:rPr>
            <w:noProof/>
            <w:webHidden/>
          </w:rPr>
          <w:fldChar w:fldCharType="separate"/>
        </w:r>
        <w:r w:rsidR="004E75D5">
          <w:rPr>
            <w:noProof/>
            <w:webHidden/>
          </w:rPr>
          <w:t>104</w:t>
        </w:r>
        <w:r w:rsidR="004E75D5">
          <w:rPr>
            <w:noProof/>
            <w:webHidden/>
          </w:rPr>
          <w:fldChar w:fldCharType="end"/>
        </w:r>
      </w:hyperlink>
    </w:p>
    <w:p w14:paraId="0BCE9631" w14:textId="77777777" w:rsidR="0059608E" w:rsidRPr="00EB2F5C" w:rsidRDefault="00C91BF5" w:rsidP="00A94823">
      <w:pPr>
        <w:pStyle w:val="TableofFigures"/>
        <w:tabs>
          <w:tab w:val="right" w:leader="dot" w:pos="10790"/>
        </w:tabs>
        <w:spacing w:before="120"/>
        <w:jc w:val="left"/>
        <w:rPr>
          <w:rFonts w:eastAsia="Times New Roman" w:cs="Arial"/>
          <w:b/>
          <w:sz w:val="36"/>
          <w:szCs w:val="36"/>
          <w:lang w:val="en-AU" w:bidi="ar-SA"/>
        </w:rPr>
      </w:pPr>
      <w:r>
        <w:rPr>
          <w:lang w:val="en-AU"/>
        </w:rPr>
        <w:fldChar w:fldCharType="end"/>
      </w:r>
      <w:r w:rsidR="0059608E" w:rsidRPr="007E6E4A">
        <w:rPr>
          <w:lang w:val="en-AU"/>
        </w:rPr>
        <w:br w:type="page"/>
      </w:r>
      <w:r w:rsidR="0015169D" w:rsidRPr="00EB2F5C">
        <w:rPr>
          <w:rFonts w:eastAsia="Times New Roman" w:cs="Arial"/>
          <w:b/>
          <w:sz w:val="36"/>
          <w:szCs w:val="36"/>
          <w:lang w:val="en-AU" w:bidi="ar-SA"/>
        </w:rPr>
        <w:lastRenderedPageBreak/>
        <w:t>Common a</w:t>
      </w:r>
      <w:r w:rsidR="0078207D" w:rsidRPr="00EB2F5C">
        <w:rPr>
          <w:rFonts w:eastAsia="Times New Roman" w:cs="Arial"/>
          <w:b/>
          <w:sz w:val="36"/>
          <w:szCs w:val="36"/>
          <w:lang w:val="en-AU" w:bidi="ar-SA"/>
        </w:rPr>
        <w:t>cronyms</w:t>
      </w:r>
      <w:r w:rsidR="0015169D" w:rsidRPr="00EB2F5C">
        <w:rPr>
          <w:rFonts w:eastAsia="Times New Roman" w:cs="Arial"/>
          <w:b/>
          <w:sz w:val="36"/>
          <w:szCs w:val="36"/>
          <w:lang w:val="en-AU" w:bidi="ar-SA"/>
        </w:rPr>
        <w:t>, abbreviations and units</w:t>
      </w:r>
    </w:p>
    <w:tbl>
      <w:tblPr>
        <w:tblStyle w:val="TableStyleAnita"/>
        <w:tblW w:w="501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Caption w:val="Acronyms"/>
        <w:tblDescription w:val="List of acronyms and full titles"/>
      </w:tblPr>
      <w:tblGrid>
        <w:gridCol w:w="1641"/>
        <w:gridCol w:w="7403"/>
      </w:tblGrid>
      <w:tr w:rsidR="00185EFD" w:rsidRPr="00D10602" w14:paraId="6FD70E8A" w14:textId="77777777" w:rsidTr="00CD399D">
        <w:trPr>
          <w:trHeight w:val="332"/>
          <w:tblHeader/>
        </w:trPr>
        <w:tc>
          <w:tcPr>
            <w:tcW w:w="907" w:type="pct"/>
            <w:vAlign w:val="center"/>
          </w:tcPr>
          <w:p w14:paraId="1EC25CAA" w14:textId="77777777" w:rsidR="00185EFD" w:rsidRPr="00D10602" w:rsidRDefault="00185EFD" w:rsidP="00D10602">
            <w:pPr>
              <w:spacing w:line="276" w:lineRule="auto"/>
              <w:contextualSpacing/>
              <w:jc w:val="left"/>
              <w:rPr>
                <w:rFonts w:cs="Arial"/>
                <w:b/>
                <w:sz w:val="18"/>
                <w:szCs w:val="18"/>
                <w:lang w:val="en-AU"/>
              </w:rPr>
            </w:pPr>
            <w:r w:rsidRPr="00D10602">
              <w:rPr>
                <w:rFonts w:cs="Arial"/>
                <w:b/>
                <w:sz w:val="18"/>
                <w:szCs w:val="18"/>
                <w:lang w:val="en-AU"/>
              </w:rPr>
              <w:lastRenderedPageBreak/>
              <w:t>A</w:t>
            </w:r>
            <w:r w:rsidRPr="00D10602">
              <w:rPr>
                <w:b/>
                <w:sz w:val="18"/>
                <w:szCs w:val="18"/>
                <w:lang w:val="en-AU"/>
              </w:rPr>
              <w:t>cronym</w:t>
            </w:r>
          </w:p>
        </w:tc>
        <w:tc>
          <w:tcPr>
            <w:tcW w:w="4093" w:type="pct"/>
            <w:vAlign w:val="center"/>
          </w:tcPr>
          <w:p w14:paraId="2169B87B" w14:textId="77777777" w:rsidR="00185EFD" w:rsidRPr="00D10602" w:rsidRDefault="00185EFD" w:rsidP="00D10602">
            <w:pPr>
              <w:spacing w:line="276" w:lineRule="auto"/>
              <w:contextualSpacing/>
              <w:jc w:val="left"/>
              <w:rPr>
                <w:rFonts w:cs="Arial"/>
                <w:b/>
                <w:sz w:val="18"/>
                <w:szCs w:val="18"/>
                <w:lang w:val="en-AU"/>
              </w:rPr>
            </w:pPr>
            <w:r w:rsidRPr="00D10602">
              <w:rPr>
                <w:rFonts w:cs="Arial"/>
                <w:b/>
                <w:sz w:val="18"/>
                <w:szCs w:val="18"/>
                <w:lang w:val="en-AU"/>
              </w:rPr>
              <w:t>D</w:t>
            </w:r>
            <w:r w:rsidRPr="00D10602">
              <w:rPr>
                <w:b/>
                <w:sz w:val="18"/>
                <w:szCs w:val="18"/>
                <w:lang w:val="en-AU"/>
              </w:rPr>
              <w:t>etail</w:t>
            </w:r>
          </w:p>
        </w:tc>
      </w:tr>
      <w:tr w:rsidR="00185EFD" w:rsidRPr="00D10602" w14:paraId="15B61D4C" w14:textId="77777777" w:rsidTr="00CD399D">
        <w:trPr>
          <w:trHeight w:val="332"/>
          <w:tblHeader/>
        </w:trPr>
        <w:tc>
          <w:tcPr>
            <w:tcW w:w="907" w:type="pct"/>
            <w:vAlign w:val="center"/>
          </w:tcPr>
          <w:p w14:paraId="2855A564" w14:textId="418D45F4" w:rsidR="00185EFD" w:rsidRPr="00D10602" w:rsidRDefault="00FE6E97" w:rsidP="00D10602">
            <w:pPr>
              <w:spacing w:line="276" w:lineRule="auto"/>
              <w:contextualSpacing/>
              <w:jc w:val="left"/>
              <w:rPr>
                <w:rFonts w:cs="Arial"/>
                <w:sz w:val="18"/>
                <w:szCs w:val="18"/>
                <w:lang w:val="en-AU"/>
              </w:rPr>
            </w:pPr>
            <w:r>
              <w:rPr>
                <w:rFonts w:cs="Arial"/>
                <w:sz w:val="18"/>
                <w:szCs w:val="18"/>
                <w:lang w:val="en-AU"/>
              </w:rPr>
              <w:t>2,4</w:t>
            </w:r>
            <w:r>
              <w:rPr>
                <w:rFonts w:cs="Arial"/>
                <w:sz w:val="18"/>
                <w:szCs w:val="18"/>
                <w:lang w:val="en-AU"/>
              </w:rPr>
              <w:noBreakHyphen/>
              <w:t>D</w:t>
            </w:r>
          </w:p>
        </w:tc>
        <w:tc>
          <w:tcPr>
            <w:tcW w:w="4093" w:type="pct"/>
            <w:vAlign w:val="center"/>
          </w:tcPr>
          <w:p w14:paraId="78B6BE79" w14:textId="0DC83098" w:rsidR="00185EFD" w:rsidRPr="00D10602" w:rsidRDefault="00FE6E97" w:rsidP="00D10602">
            <w:pPr>
              <w:spacing w:line="276" w:lineRule="auto"/>
              <w:contextualSpacing/>
              <w:jc w:val="left"/>
              <w:rPr>
                <w:rFonts w:cs="Arial"/>
                <w:sz w:val="18"/>
                <w:szCs w:val="18"/>
                <w:lang w:val="en-AU"/>
              </w:rPr>
            </w:pPr>
            <w:r>
              <w:rPr>
                <w:rFonts w:cs="Arial"/>
                <w:sz w:val="18"/>
                <w:szCs w:val="18"/>
                <w:lang w:val="en-AU"/>
              </w:rPr>
              <w:t>2,4</w:t>
            </w:r>
            <w:r>
              <w:rPr>
                <w:rFonts w:cs="Arial"/>
                <w:sz w:val="18"/>
                <w:szCs w:val="18"/>
                <w:lang w:val="en-AU"/>
              </w:rPr>
              <w:noBreakHyphen/>
              <w:t>D</w:t>
            </w:r>
            <w:r w:rsidR="00185EFD" w:rsidRPr="00D10602">
              <w:rPr>
                <w:rFonts w:cs="Arial"/>
                <w:sz w:val="18"/>
                <w:szCs w:val="18"/>
                <w:lang w:val="en-AU"/>
              </w:rPr>
              <w:t>ichlorophenoxyacetic acid</w:t>
            </w:r>
          </w:p>
        </w:tc>
      </w:tr>
      <w:tr w:rsidR="00185EFD" w:rsidRPr="00D10602" w14:paraId="163A72C9" w14:textId="77777777" w:rsidTr="00CD399D">
        <w:trPr>
          <w:trHeight w:val="332"/>
          <w:tblHeader/>
        </w:trPr>
        <w:tc>
          <w:tcPr>
            <w:tcW w:w="907" w:type="pct"/>
            <w:vAlign w:val="center"/>
          </w:tcPr>
          <w:p w14:paraId="068EB179"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ANZECC</w:t>
            </w:r>
          </w:p>
        </w:tc>
        <w:tc>
          <w:tcPr>
            <w:tcW w:w="4093" w:type="pct"/>
            <w:vAlign w:val="center"/>
          </w:tcPr>
          <w:p w14:paraId="2B3B1FA9"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Australian and New Zealand Environment and Conservation Council</w:t>
            </w:r>
          </w:p>
        </w:tc>
      </w:tr>
      <w:tr w:rsidR="00185EFD" w:rsidRPr="00D10602" w14:paraId="7E448F1C" w14:textId="77777777" w:rsidTr="00CD399D">
        <w:trPr>
          <w:trHeight w:val="332"/>
          <w:tblHeader/>
        </w:trPr>
        <w:tc>
          <w:tcPr>
            <w:tcW w:w="907" w:type="pct"/>
            <w:vAlign w:val="center"/>
          </w:tcPr>
          <w:p w14:paraId="5B523B12" w14:textId="77777777" w:rsidR="00D5461D" w:rsidRPr="00D10602" w:rsidRDefault="00D5461D" w:rsidP="00D10602">
            <w:pPr>
              <w:spacing w:line="276" w:lineRule="auto"/>
              <w:contextualSpacing/>
              <w:jc w:val="left"/>
              <w:rPr>
                <w:rFonts w:cs="Arial"/>
                <w:sz w:val="18"/>
                <w:szCs w:val="18"/>
                <w:lang w:val="en-AU"/>
              </w:rPr>
            </w:pPr>
            <w:r w:rsidRPr="00D10602">
              <w:rPr>
                <w:rFonts w:cs="Arial"/>
                <w:sz w:val="18"/>
                <w:szCs w:val="18"/>
                <w:lang w:val="en-AU"/>
              </w:rPr>
              <w:t>ANZG 2018</w:t>
            </w:r>
          </w:p>
          <w:p w14:paraId="7CB10843"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ARMCANZ</w:t>
            </w:r>
          </w:p>
        </w:tc>
        <w:tc>
          <w:tcPr>
            <w:tcW w:w="4093" w:type="pct"/>
            <w:vAlign w:val="center"/>
          </w:tcPr>
          <w:p w14:paraId="2E96F3AB" w14:textId="77777777" w:rsidR="00D5461D" w:rsidRPr="00D10602" w:rsidRDefault="00D5461D" w:rsidP="00D10602">
            <w:pPr>
              <w:spacing w:line="276" w:lineRule="auto"/>
              <w:contextualSpacing/>
              <w:jc w:val="left"/>
              <w:rPr>
                <w:rFonts w:cs="Arial"/>
                <w:sz w:val="18"/>
                <w:szCs w:val="18"/>
                <w:lang w:val="en-AU"/>
              </w:rPr>
            </w:pPr>
            <w:r w:rsidRPr="00D10602">
              <w:rPr>
                <w:rFonts w:cs="Arial"/>
                <w:sz w:val="18"/>
                <w:szCs w:val="18"/>
                <w:lang w:val="en-AU"/>
              </w:rPr>
              <w:t>Australian and New Zealand Guidelines for Fresh and Marine Water Quality 2018</w:t>
            </w:r>
          </w:p>
          <w:p w14:paraId="700EAE60"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 xml:space="preserve">Agriculture and Resource Management Council of Australia and New Zealand </w:t>
            </w:r>
          </w:p>
        </w:tc>
      </w:tr>
      <w:tr w:rsidR="003E56A6" w:rsidRPr="00D10602" w14:paraId="2681E1AD" w14:textId="77777777" w:rsidTr="00CD399D">
        <w:trPr>
          <w:trHeight w:val="332"/>
          <w:tblHeader/>
        </w:trPr>
        <w:tc>
          <w:tcPr>
            <w:tcW w:w="907" w:type="pct"/>
            <w:vAlign w:val="center"/>
          </w:tcPr>
          <w:p w14:paraId="2733174A" w14:textId="77777777" w:rsidR="003E56A6" w:rsidRPr="00D10602" w:rsidRDefault="003E56A6" w:rsidP="00D10602">
            <w:pPr>
              <w:spacing w:line="276" w:lineRule="auto"/>
              <w:contextualSpacing/>
              <w:jc w:val="left"/>
              <w:rPr>
                <w:rFonts w:cs="Arial"/>
                <w:sz w:val="18"/>
                <w:szCs w:val="18"/>
                <w:lang w:val="en-AU"/>
              </w:rPr>
            </w:pPr>
            <w:r w:rsidRPr="00D10602">
              <w:rPr>
                <w:rFonts w:cs="Arial"/>
                <w:sz w:val="18"/>
                <w:szCs w:val="18"/>
                <w:lang w:val="en-AU"/>
              </w:rPr>
              <w:t>Authority</w:t>
            </w:r>
          </w:p>
        </w:tc>
        <w:tc>
          <w:tcPr>
            <w:tcW w:w="4093" w:type="pct"/>
            <w:vAlign w:val="center"/>
          </w:tcPr>
          <w:p w14:paraId="6E113DEF" w14:textId="77777777" w:rsidR="003E56A6" w:rsidRPr="00D10602" w:rsidRDefault="003E56A6" w:rsidP="00D10602">
            <w:pPr>
              <w:spacing w:line="276" w:lineRule="auto"/>
              <w:contextualSpacing/>
              <w:jc w:val="left"/>
              <w:rPr>
                <w:rFonts w:cs="Arial"/>
                <w:sz w:val="18"/>
                <w:szCs w:val="18"/>
                <w:lang w:val="en-AU"/>
              </w:rPr>
            </w:pPr>
            <w:r w:rsidRPr="00D10602">
              <w:rPr>
                <w:rFonts w:cs="Arial"/>
                <w:sz w:val="18"/>
                <w:szCs w:val="18"/>
                <w:lang w:val="en-AU"/>
              </w:rPr>
              <w:t>Great Barrier Reef Marine Park Authority</w:t>
            </w:r>
          </w:p>
        </w:tc>
      </w:tr>
      <w:tr w:rsidR="00185EFD" w:rsidRPr="00D10602" w14:paraId="367C979F" w14:textId="77777777" w:rsidTr="00CD399D">
        <w:trPr>
          <w:trHeight w:val="332"/>
          <w:tblHeader/>
        </w:trPr>
        <w:tc>
          <w:tcPr>
            <w:tcW w:w="907" w:type="pct"/>
            <w:vAlign w:val="center"/>
          </w:tcPr>
          <w:p w14:paraId="5FBB7A65"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%CV</w:t>
            </w:r>
          </w:p>
        </w:tc>
        <w:tc>
          <w:tcPr>
            <w:tcW w:w="4093" w:type="pct"/>
            <w:vAlign w:val="center"/>
          </w:tcPr>
          <w:p w14:paraId="365358A6"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per cent coefficient of variation</w:t>
            </w:r>
          </w:p>
        </w:tc>
      </w:tr>
      <w:tr w:rsidR="00185EFD" w:rsidRPr="00D10602" w14:paraId="52C1B68B" w14:textId="77777777" w:rsidTr="00CD399D">
        <w:trPr>
          <w:trHeight w:val="332"/>
          <w:tblHeader/>
        </w:trPr>
        <w:tc>
          <w:tcPr>
            <w:tcW w:w="907" w:type="pct"/>
            <w:vAlign w:val="center"/>
          </w:tcPr>
          <w:p w14:paraId="64D174E5"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C</w:t>
            </w:r>
            <w:r w:rsidRPr="00D10602">
              <w:rPr>
                <w:rFonts w:cs="Arial"/>
                <w:sz w:val="18"/>
                <w:szCs w:val="18"/>
                <w:vertAlign w:val="subscript"/>
                <w:lang w:val="en-AU"/>
              </w:rPr>
              <w:t>W</w:t>
            </w:r>
          </w:p>
        </w:tc>
        <w:tc>
          <w:tcPr>
            <w:tcW w:w="4093" w:type="pct"/>
            <w:vAlign w:val="center"/>
          </w:tcPr>
          <w:p w14:paraId="527E4FA1"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 xml:space="preserve">Concentration in water </w:t>
            </w:r>
          </w:p>
        </w:tc>
      </w:tr>
      <w:tr w:rsidR="005C35F0" w:rsidRPr="00D10602" w14:paraId="2545C72F" w14:textId="77777777" w:rsidTr="00CD399D">
        <w:trPr>
          <w:trHeight w:val="332"/>
          <w:tblHeader/>
        </w:trPr>
        <w:tc>
          <w:tcPr>
            <w:tcW w:w="907" w:type="pct"/>
            <w:vAlign w:val="center"/>
          </w:tcPr>
          <w:p w14:paraId="6C84D147" w14:textId="77777777" w:rsidR="005C35F0" w:rsidRPr="00D10602" w:rsidRDefault="005C35F0" w:rsidP="00D10602">
            <w:pPr>
              <w:spacing w:line="276" w:lineRule="auto"/>
              <w:contextualSpacing/>
              <w:jc w:val="left"/>
              <w:rPr>
                <w:rFonts w:cs="Arial"/>
                <w:sz w:val="18"/>
                <w:szCs w:val="18"/>
                <w:lang w:val="en-AU"/>
              </w:rPr>
            </w:pPr>
            <w:r w:rsidRPr="00D10602">
              <w:rPr>
                <w:rFonts w:cs="Arial"/>
                <w:sz w:val="18"/>
                <w:szCs w:val="18"/>
                <w:lang w:val="en-AU"/>
              </w:rPr>
              <w:t>DES</w:t>
            </w:r>
          </w:p>
        </w:tc>
        <w:tc>
          <w:tcPr>
            <w:tcW w:w="4093" w:type="pct"/>
            <w:vAlign w:val="center"/>
          </w:tcPr>
          <w:p w14:paraId="3E5D8861" w14:textId="77777777" w:rsidR="005C35F0" w:rsidRPr="00D10602" w:rsidRDefault="005C35F0" w:rsidP="00D10602">
            <w:pPr>
              <w:spacing w:line="276" w:lineRule="auto"/>
              <w:contextualSpacing/>
              <w:jc w:val="left"/>
              <w:rPr>
                <w:rFonts w:cs="Arial"/>
                <w:sz w:val="18"/>
                <w:szCs w:val="18"/>
                <w:lang w:val="en-AU"/>
              </w:rPr>
            </w:pPr>
            <w:r w:rsidRPr="00D10602">
              <w:rPr>
                <w:rFonts w:cs="Arial"/>
                <w:sz w:val="18"/>
                <w:szCs w:val="18"/>
                <w:lang w:val="en-AU"/>
              </w:rPr>
              <w:t>Department of Environment and Science (formerly DSITI)</w:t>
            </w:r>
          </w:p>
        </w:tc>
      </w:tr>
      <w:tr w:rsidR="00185EFD" w:rsidRPr="00D10602" w14:paraId="3D2D8873" w14:textId="77777777" w:rsidTr="00CD399D">
        <w:trPr>
          <w:trHeight w:val="332"/>
          <w:tblHeader/>
        </w:trPr>
        <w:tc>
          <w:tcPr>
            <w:tcW w:w="907" w:type="pct"/>
            <w:vAlign w:val="center"/>
          </w:tcPr>
          <w:p w14:paraId="00F716AB"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DSITI</w:t>
            </w:r>
          </w:p>
        </w:tc>
        <w:tc>
          <w:tcPr>
            <w:tcW w:w="4093" w:type="pct"/>
            <w:vAlign w:val="center"/>
          </w:tcPr>
          <w:p w14:paraId="222D4144" w14:textId="77777777" w:rsidR="00185EFD" w:rsidRPr="00D10602" w:rsidRDefault="00185EFD" w:rsidP="00D10602">
            <w:pPr>
              <w:spacing w:line="276" w:lineRule="auto"/>
              <w:contextualSpacing/>
              <w:jc w:val="left"/>
              <w:rPr>
                <w:rFonts w:cs="Arial"/>
                <w:bCs/>
                <w:sz w:val="18"/>
                <w:szCs w:val="18"/>
                <w:lang w:val="en-AU"/>
              </w:rPr>
            </w:pPr>
            <w:r w:rsidRPr="00D10602">
              <w:rPr>
                <w:rFonts w:cs="Arial"/>
                <w:bCs/>
                <w:sz w:val="18"/>
                <w:szCs w:val="18"/>
                <w:lang w:val="en-AU"/>
              </w:rPr>
              <w:t>Department of Science, Information Technology and Innovation</w:t>
            </w:r>
          </w:p>
        </w:tc>
      </w:tr>
      <w:tr w:rsidR="00185EFD" w:rsidRPr="00D10602" w14:paraId="150B0352" w14:textId="77777777" w:rsidTr="00CD399D">
        <w:trPr>
          <w:trHeight w:val="332"/>
          <w:tblHeader/>
        </w:trPr>
        <w:tc>
          <w:tcPr>
            <w:tcW w:w="907" w:type="pct"/>
            <w:vAlign w:val="center"/>
          </w:tcPr>
          <w:p w14:paraId="16D87258" w14:textId="77777777" w:rsidR="00185EFD" w:rsidRPr="00D10602" w:rsidRDefault="00185EFD" w:rsidP="00D10602">
            <w:pPr>
              <w:spacing w:line="276" w:lineRule="auto"/>
              <w:contextualSpacing/>
              <w:jc w:val="left"/>
              <w:rPr>
                <w:rFonts w:cs="Arial"/>
                <w:sz w:val="18"/>
                <w:szCs w:val="18"/>
                <w:vertAlign w:val="subscript"/>
                <w:lang w:val="en-AU"/>
              </w:rPr>
            </w:pPr>
            <w:r w:rsidRPr="00D10602">
              <w:rPr>
                <w:rFonts w:cs="Arial"/>
                <w:sz w:val="18"/>
                <w:szCs w:val="18"/>
                <w:lang w:val="en-AU"/>
              </w:rPr>
              <w:t>EC</w:t>
            </w:r>
            <w:r w:rsidRPr="00D10602">
              <w:rPr>
                <w:rFonts w:cs="Arial"/>
                <w:sz w:val="18"/>
                <w:szCs w:val="18"/>
                <w:vertAlign w:val="subscript"/>
                <w:lang w:val="en-AU"/>
              </w:rPr>
              <w:t>x</w:t>
            </w:r>
          </w:p>
        </w:tc>
        <w:tc>
          <w:tcPr>
            <w:tcW w:w="4093" w:type="pct"/>
            <w:vAlign w:val="center"/>
          </w:tcPr>
          <w:p w14:paraId="08A74B93" w14:textId="77777777" w:rsidR="00185EFD" w:rsidRPr="00D10602" w:rsidRDefault="00185EFD" w:rsidP="00D10602">
            <w:pPr>
              <w:spacing w:line="276" w:lineRule="auto"/>
              <w:contextualSpacing/>
              <w:jc w:val="left"/>
              <w:rPr>
                <w:rFonts w:cs="Arial"/>
                <w:sz w:val="18"/>
                <w:szCs w:val="18"/>
                <w:lang w:val="en-AU"/>
              </w:rPr>
            </w:pPr>
            <w:r w:rsidRPr="00D10602">
              <w:rPr>
                <w:rFonts w:cs="Arial"/>
                <w:bCs/>
                <w:sz w:val="18"/>
                <w:szCs w:val="18"/>
                <w:lang w:val="en-AU"/>
              </w:rPr>
              <w:t xml:space="preserve">x per cent maximal effective concentration is observed </w:t>
            </w:r>
          </w:p>
        </w:tc>
      </w:tr>
      <w:tr w:rsidR="00185EFD" w:rsidRPr="00D10602" w14:paraId="729E5E8A" w14:textId="77777777" w:rsidTr="00CD399D">
        <w:trPr>
          <w:trHeight w:val="332"/>
          <w:tblHeader/>
        </w:trPr>
        <w:tc>
          <w:tcPr>
            <w:tcW w:w="907" w:type="pct"/>
            <w:vAlign w:val="center"/>
          </w:tcPr>
          <w:p w14:paraId="628B2E1D"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ED</w:t>
            </w:r>
          </w:p>
        </w:tc>
        <w:tc>
          <w:tcPr>
            <w:tcW w:w="4093" w:type="pct"/>
            <w:vAlign w:val="center"/>
          </w:tcPr>
          <w:p w14:paraId="1074F9C3"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Empore Disk</w:t>
            </w:r>
            <w:r w:rsidRPr="00D10602">
              <w:rPr>
                <w:rFonts w:cs="Arial"/>
                <w:sz w:val="18"/>
                <w:szCs w:val="18"/>
                <w:vertAlign w:val="superscript"/>
                <w:lang w:val="en-AU"/>
              </w:rPr>
              <w:t>TM</w:t>
            </w:r>
            <w:r w:rsidRPr="00D10602">
              <w:rPr>
                <w:rFonts w:cs="Arial"/>
                <w:sz w:val="18"/>
                <w:szCs w:val="18"/>
                <w:lang w:val="en-AU"/>
              </w:rPr>
              <w:t xml:space="preserve"> passive sampler</w:t>
            </w:r>
          </w:p>
        </w:tc>
      </w:tr>
      <w:tr w:rsidR="00185EFD" w:rsidRPr="00D10602" w14:paraId="570AB28D" w14:textId="77777777" w:rsidTr="00CD399D">
        <w:trPr>
          <w:trHeight w:val="332"/>
          <w:tblHeader/>
        </w:trPr>
        <w:tc>
          <w:tcPr>
            <w:tcW w:w="907" w:type="pct"/>
            <w:vAlign w:val="center"/>
          </w:tcPr>
          <w:p w14:paraId="409DD6E2"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GBRCLMP</w:t>
            </w:r>
          </w:p>
        </w:tc>
        <w:tc>
          <w:tcPr>
            <w:tcW w:w="4093" w:type="pct"/>
            <w:vAlign w:val="center"/>
          </w:tcPr>
          <w:p w14:paraId="02497499"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Great Barrier Reef Catchment Loads Monitoring Program</w:t>
            </w:r>
          </w:p>
        </w:tc>
      </w:tr>
      <w:tr w:rsidR="00185EFD" w:rsidRPr="00D10602" w14:paraId="6784E31B" w14:textId="77777777" w:rsidTr="00CD399D">
        <w:trPr>
          <w:trHeight w:val="332"/>
          <w:tblHeader/>
        </w:trPr>
        <w:tc>
          <w:tcPr>
            <w:tcW w:w="907" w:type="pct"/>
            <w:vAlign w:val="center"/>
          </w:tcPr>
          <w:p w14:paraId="5070A211"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GBRMPA</w:t>
            </w:r>
          </w:p>
        </w:tc>
        <w:tc>
          <w:tcPr>
            <w:tcW w:w="4093" w:type="pct"/>
            <w:vAlign w:val="center"/>
          </w:tcPr>
          <w:p w14:paraId="0C0644AA"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Great Barrier Reef Marine Park Authority</w:t>
            </w:r>
            <w:r w:rsidR="007F5EA4" w:rsidRPr="00D10602">
              <w:rPr>
                <w:rFonts w:cs="Arial"/>
                <w:sz w:val="18"/>
                <w:szCs w:val="18"/>
                <w:lang w:val="en-AU"/>
              </w:rPr>
              <w:t xml:space="preserve"> </w:t>
            </w:r>
          </w:p>
        </w:tc>
      </w:tr>
      <w:tr w:rsidR="00185EFD" w:rsidRPr="00D10602" w14:paraId="72A456FD" w14:textId="77777777" w:rsidTr="00CD399D">
        <w:trPr>
          <w:trHeight w:val="332"/>
          <w:tblHeader/>
        </w:trPr>
        <w:tc>
          <w:tcPr>
            <w:tcW w:w="907" w:type="pct"/>
            <w:vAlign w:val="center"/>
          </w:tcPr>
          <w:p w14:paraId="7009693C"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GC-MS</w:t>
            </w:r>
          </w:p>
        </w:tc>
        <w:tc>
          <w:tcPr>
            <w:tcW w:w="4093" w:type="pct"/>
            <w:vAlign w:val="center"/>
          </w:tcPr>
          <w:p w14:paraId="34170840"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Gas Chromatography-Mass Spectrometry</w:t>
            </w:r>
          </w:p>
        </w:tc>
      </w:tr>
      <w:tr w:rsidR="00185EFD" w:rsidRPr="00D10602" w14:paraId="1E9EEB1E" w14:textId="77777777" w:rsidTr="00CD399D">
        <w:trPr>
          <w:trHeight w:val="332"/>
          <w:tblHeader/>
        </w:trPr>
        <w:tc>
          <w:tcPr>
            <w:tcW w:w="907" w:type="pct"/>
            <w:vAlign w:val="center"/>
          </w:tcPr>
          <w:p w14:paraId="25AA1CA6"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GPC</w:t>
            </w:r>
          </w:p>
        </w:tc>
        <w:tc>
          <w:tcPr>
            <w:tcW w:w="4093" w:type="pct"/>
            <w:vAlign w:val="center"/>
          </w:tcPr>
          <w:p w14:paraId="0A19E626"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Gel Permeation Chromatography</w:t>
            </w:r>
          </w:p>
        </w:tc>
      </w:tr>
      <w:tr w:rsidR="00185EFD" w:rsidRPr="00D10602" w14:paraId="1A3215E8" w14:textId="77777777" w:rsidTr="00CD399D">
        <w:trPr>
          <w:trHeight w:val="332"/>
          <w:tblHeader/>
        </w:trPr>
        <w:tc>
          <w:tcPr>
            <w:tcW w:w="907" w:type="pct"/>
            <w:vAlign w:val="center"/>
          </w:tcPr>
          <w:p w14:paraId="51AE90ED"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GV</w:t>
            </w:r>
          </w:p>
        </w:tc>
        <w:tc>
          <w:tcPr>
            <w:tcW w:w="4093" w:type="pct"/>
            <w:vAlign w:val="center"/>
          </w:tcPr>
          <w:p w14:paraId="30FAA253" w14:textId="77777777" w:rsidR="00185EFD" w:rsidRPr="00D10602" w:rsidRDefault="00185EFD" w:rsidP="00D10602">
            <w:pPr>
              <w:spacing w:line="276" w:lineRule="auto"/>
              <w:contextualSpacing/>
              <w:jc w:val="left"/>
              <w:rPr>
                <w:rFonts w:cs="Arial"/>
                <w:bCs/>
                <w:sz w:val="18"/>
                <w:szCs w:val="18"/>
                <w:lang w:val="en-AU"/>
              </w:rPr>
            </w:pPr>
            <w:r w:rsidRPr="00D10602">
              <w:rPr>
                <w:rFonts w:cs="Arial"/>
                <w:bCs/>
                <w:sz w:val="18"/>
                <w:szCs w:val="18"/>
                <w:lang w:val="en-AU"/>
              </w:rPr>
              <w:t>Guideline value</w:t>
            </w:r>
          </w:p>
        </w:tc>
      </w:tr>
      <w:tr w:rsidR="00185EFD" w:rsidRPr="00D10602" w14:paraId="2B957971" w14:textId="77777777" w:rsidTr="00CD399D">
        <w:trPr>
          <w:trHeight w:val="332"/>
          <w:tblHeader/>
        </w:trPr>
        <w:tc>
          <w:tcPr>
            <w:tcW w:w="907" w:type="pct"/>
            <w:vAlign w:val="center"/>
          </w:tcPr>
          <w:p w14:paraId="0E7F3143"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IC</w:t>
            </w:r>
            <w:r w:rsidRPr="00D10602">
              <w:rPr>
                <w:rFonts w:cs="Arial"/>
                <w:sz w:val="18"/>
                <w:szCs w:val="18"/>
                <w:vertAlign w:val="subscript"/>
                <w:lang w:val="en-AU"/>
              </w:rPr>
              <w:t>x</w:t>
            </w:r>
          </w:p>
        </w:tc>
        <w:tc>
          <w:tcPr>
            <w:tcW w:w="4093" w:type="pct"/>
            <w:vAlign w:val="center"/>
          </w:tcPr>
          <w:p w14:paraId="409191DC" w14:textId="77777777" w:rsidR="00185EFD" w:rsidRPr="00D10602" w:rsidRDefault="00185EFD" w:rsidP="00D10602">
            <w:pPr>
              <w:spacing w:line="276" w:lineRule="auto"/>
              <w:contextualSpacing/>
              <w:jc w:val="left"/>
              <w:rPr>
                <w:rFonts w:cs="Arial"/>
                <w:sz w:val="18"/>
                <w:szCs w:val="18"/>
                <w:lang w:val="en-AU"/>
              </w:rPr>
            </w:pPr>
            <w:r w:rsidRPr="00D10602">
              <w:rPr>
                <w:rFonts w:cs="Arial"/>
                <w:bCs/>
                <w:sz w:val="18"/>
                <w:szCs w:val="18"/>
                <w:lang w:val="en-AU"/>
              </w:rPr>
              <w:t>x per cent of the maximal inhibitory concentration is observed</w:t>
            </w:r>
          </w:p>
        </w:tc>
      </w:tr>
      <w:tr w:rsidR="00185EFD" w:rsidRPr="00D10602" w14:paraId="2FAFCF03" w14:textId="77777777" w:rsidTr="00CD399D">
        <w:trPr>
          <w:trHeight w:val="332"/>
          <w:tblHeader/>
        </w:trPr>
        <w:tc>
          <w:tcPr>
            <w:tcW w:w="907" w:type="pct"/>
            <w:vAlign w:val="center"/>
          </w:tcPr>
          <w:p w14:paraId="2060B9B2"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IWL</w:t>
            </w:r>
          </w:p>
        </w:tc>
        <w:tc>
          <w:tcPr>
            <w:tcW w:w="4093" w:type="pct"/>
            <w:vAlign w:val="center"/>
          </w:tcPr>
          <w:p w14:paraId="39C0ACBE"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Interim working level</w:t>
            </w:r>
          </w:p>
        </w:tc>
      </w:tr>
      <w:tr w:rsidR="00185EFD" w:rsidRPr="00D10602" w14:paraId="00F88E54" w14:textId="77777777" w:rsidTr="00CD399D">
        <w:trPr>
          <w:trHeight w:val="332"/>
          <w:tblHeader/>
        </w:trPr>
        <w:tc>
          <w:tcPr>
            <w:tcW w:w="907" w:type="pct"/>
            <w:vAlign w:val="center"/>
          </w:tcPr>
          <w:p w14:paraId="06A585B4"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K</w:t>
            </w:r>
            <w:r w:rsidRPr="00D10602">
              <w:rPr>
                <w:rFonts w:cs="Arial"/>
                <w:sz w:val="18"/>
                <w:szCs w:val="18"/>
                <w:vertAlign w:val="subscript"/>
                <w:lang w:val="en-AU"/>
              </w:rPr>
              <w:t>OW</w:t>
            </w:r>
          </w:p>
        </w:tc>
        <w:tc>
          <w:tcPr>
            <w:tcW w:w="4093" w:type="pct"/>
            <w:vAlign w:val="center"/>
          </w:tcPr>
          <w:p w14:paraId="1706F52D"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Octanol-water partition coefficient</w:t>
            </w:r>
          </w:p>
        </w:tc>
      </w:tr>
      <w:tr w:rsidR="00185EFD" w:rsidRPr="00D10602" w14:paraId="370C579A" w14:textId="77777777" w:rsidTr="00CD399D">
        <w:trPr>
          <w:trHeight w:val="332"/>
          <w:tblHeader/>
        </w:trPr>
        <w:tc>
          <w:tcPr>
            <w:tcW w:w="907" w:type="pct"/>
            <w:vAlign w:val="center"/>
          </w:tcPr>
          <w:p w14:paraId="5A78CADC" w14:textId="77777777" w:rsidR="00185EFD" w:rsidRPr="00D10602" w:rsidRDefault="00185EFD" w:rsidP="00D10602">
            <w:pPr>
              <w:spacing w:line="276" w:lineRule="auto"/>
              <w:ind w:right="541"/>
              <w:contextualSpacing/>
              <w:jc w:val="left"/>
              <w:rPr>
                <w:rFonts w:cs="Arial"/>
                <w:sz w:val="18"/>
                <w:szCs w:val="18"/>
                <w:lang w:val="en-AU"/>
              </w:rPr>
            </w:pPr>
            <w:r w:rsidRPr="00D10602">
              <w:rPr>
                <w:rFonts w:cs="Arial"/>
                <w:sz w:val="18"/>
                <w:szCs w:val="18"/>
                <w:lang w:val="en-AU"/>
              </w:rPr>
              <w:t>LC</w:t>
            </w:r>
            <w:r w:rsidRPr="00D10602">
              <w:rPr>
                <w:rFonts w:cs="Arial"/>
                <w:sz w:val="18"/>
                <w:szCs w:val="18"/>
                <w:vertAlign w:val="subscript"/>
                <w:lang w:val="en-AU"/>
              </w:rPr>
              <w:t>x</w:t>
            </w:r>
          </w:p>
        </w:tc>
        <w:tc>
          <w:tcPr>
            <w:tcW w:w="4093" w:type="pct"/>
            <w:vAlign w:val="center"/>
          </w:tcPr>
          <w:p w14:paraId="670B496A"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x per cent of the lethal concentration is observed</w:t>
            </w:r>
          </w:p>
        </w:tc>
      </w:tr>
      <w:tr w:rsidR="00185EFD" w:rsidRPr="00D10602" w14:paraId="585C16B5" w14:textId="77777777" w:rsidTr="00CD399D">
        <w:trPr>
          <w:trHeight w:val="332"/>
          <w:tblHeader/>
        </w:trPr>
        <w:tc>
          <w:tcPr>
            <w:tcW w:w="907" w:type="pct"/>
            <w:vAlign w:val="center"/>
          </w:tcPr>
          <w:p w14:paraId="6F897E97" w14:textId="77777777" w:rsidR="00185EFD" w:rsidRPr="00D10602" w:rsidRDefault="00185EFD" w:rsidP="00D10602">
            <w:pPr>
              <w:spacing w:line="276" w:lineRule="auto"/>
              <w:ind w:right="541"/>
              <w:contextualSpacing/>
              <w:jc w:val="left"/>
              <w:rPr>
                <w:rFonts w:cs="Arial"/>
                <w:sz w:val="18"/>
                <w:szCs w:val="18"/>
                <w:lang w:val="en-AU"/>
              </w:rPr>
            </w:pPr>
            <w:r w:rsidRPr="00D10602">
              <w:rPr>
                <w:rFonts w:cs="Arial"/>
                <w:sz w:val="18"/>
                <w:szCs w:val="18"/>
                <w:lang w:val="en-AU"/>
              </w:rPr>
              <w:t>LC-MS/MS</w:t>
            </w:r>
          </w:p>
        </w:tc>
        <w:tc>
          <w:tcPr>
            <w:tcW w:w="4093" w:type="pct"/>
            <w:vAlign w:val="center"/>
          </w:tcPr>
          <w:p w14:paraId="08CA6A49"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Liquid Chromatography-</w:t>
            </w:r>
            <w:r w:rsidR="006B168C" w:rsidRPr="00D10602">
              <w:rPr>
                <w:rFonts w:cs="Arial"/>
                <w:sz w:val="18"/>
                <w:szCs w:val="18"/>
                <w:lang w:val="en-AU"/>
              </w:rPr>
              <w:t>T</w:t>
            </w:r>
            <w:r w:rsidRPr="00D10602">
              <w:rPr>
                <w:rFonts w:cs="Arial"/>
                <w:sz w:val="18"/>
                <w:szCs w:val="18"/>
                <w:lang w:val="en-AU"/>
              </w:rPr>
              <w:t>andem Mass Spectrometry</w:t>
            </w:r>
          </w:p>
        </w:tc>
      </w:tr>
      <w:tr w:rsidR="00185EFD" w:rsidRPr="00D10602" w14:paraId="32064838" w14:textId="77777777" w:rsidTr="00CD399D">
        <w:trPr>
          <w:trHeight w:val="332"/>
          <w:tblHeader/>
        </w:trPr>
        <w:tc>
          <w:tcPr>
            <w:tcW w:w="907" w:type="pct"/>
            <w:vAlign w:val="center"/>
          </w:tcPr>
          <w:p w14:paraId="5FE013B0"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LOD</w:t>
            </w:r>
          </w:p>
        </w:tc>
        <w:tc>
          <w:tcPr>
            <w:tcW w:w="4093" w:type="pct"/>
            <w:vAlign w:val="center"/>
          </w:tcPr>
          <w:p w14:paraId="32604365"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Limit of Detection</w:t>
            </w:r>
          </w:p>
        </w:tc>
      </w:tr>
      <w:tr w:rsidR="00185EFD" w:rsidRPr="00D10602" w14:paraId="08A3CEA4" w14:textId="77777777" w:rsidTr="00CD399D">
        <w:trPr>
          <w:trHeight w:val="332"/>
          <w:tblHeader/>
        </w:trPr>
        <w:tc>
          <w:tcPr>
            <w:tcW w:w="907" w:type="pct"/>
            <w:vAlign w:val="center"/>
          </w:tcPr>
          <w:p w14:paraId="360D4D9B"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LOR</w:t>
            </w:r>
          </w:p>
        </w:tc>
        <w:tc>
          <w:tcPr>
            <w:tcW w:w="4093" w:type="pct"/>
            <w:vAlign w:val="center"/>
          </w:tcPr>
          <w:p w14:paraId="3767152A"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Limit of Reporting</w:t>
            </w:r>
          </w:p>
        </w:tc>
      </w:tr>
      <w:tr w:rsidR="00185EFD" w:rsidRPr="00D10602" w14:paraId="5EBA5934" w14:textId="77777777" w:rsidTr="00CD399D">
        <w:trPr>
          <w:trHeight w:val="332"/>
          <w:tblHeader/>
        </w:trPr>
        <w:tc>
          <w:tcPr>
            <w:tcW w:w="907" w:type="pct"/>
            <w:vAlign w:val="center"/>
          </w:tcPr>
          <w:p w14:paraId="0F3B3004"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MCPA</w:t>
            </w:r>
          </w:p>
        </w:tc>
        <w:tc>
          <w:tcPr>
            <w:tcW w:w="4093" w:type="pct"/>
            <w:vAlign w:val="center"/>
          </w:tcPr>
          <w:p w14:paraId="6CADB309"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2-methyl-4-chlorophenoxyacetic acid</w:t>
            </w:r>
          </w:p>
        </w:tc>
      </w:tr>
      <w:tr w:rsidR="00185EFD" w:rsidRPr="00D10602" w14:paraId="178D1614" w14:textId="77777777" w:rsidTr="00CD399D">
        <w:trPr>
          <w:trHeight w:val="332"/>
          <w:tblHeader/>
        </w:trPr>
        <w:tc>
          <w:tcPr>
            <w:tcW w:w="907" w:type="pct"/>
            <w:vAlign w:val="center"/>
          </w:tcPr>
          <w:p w14:paraId="2DFD0053"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MMP</w:t>
            </w:r>
          </w:p>
        </w:tc>
        <w:tc>
          <w:tcPr>
            <w:tcW w:w="4093" w:type="pct"/>
            <w:vAlign w:val="center"/>
          </w:tcPr>
          <w:p w14:paraId="5E024139"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Marine Monitoring Program</w:t>
            </w:r>
          </w:p>
        </w:tc>
      </w:tr>
      <w:tr w:rsidR="00185EFD" w:rsidRPr="00D10602" w14:paraId="53357AE4" w14:textId="77777777" w:rsidTr="00CD399D">
        <w:trPr>
          <w:trHeight w:val="332"/>
          <w:tblHeader/>
        </w:trPr>
        <w:tc>
          <w:tcPr>
            <w:tcW w:w="907" w:type="pct"/>
            <w:vAlign w:val="center"/>
          </w:tcPr>
          <w:p w14:paraId="1A94C619" w14:textId="7814CCF5" w:rsidR="00185EFD" w:rsidRPr="00D10602" w:rsidRDefault="005E2B71" w:rsidP="00D10602">
            <w:pPr>
              <w:spacing w:line="276" w:lineRule="auto"/>
              <w:contextualSpacing/>
              <w:jc w:val="left"/>
              <w:rPr>
                <w:rFonts w:cs="Arial"/>
                <w:sz w:val="18"/>
                <w:szCs w:val="18"/>
                <w:lang w:val="en-AU"/>
              </w:rPr>
            </w:pPr>
            <w:r>
              <w:rPr>
                <w:rFonts w:cs="Arial"/>
                <w:sz w:val="18"/>
                <w:szCs w:val="18"/>
                <w:lang w:val="en-AU"/>
              </w:rPr>
              <w:t>ms</w:t>
            </w:r>
            <w:r>
              <w:rPr>
                <w:rFonts w:cs="Arial"/>
                <w:sz w:val="18"/>
                <w:szCs w:val="18"/>
                <w:lang w:val="en-AU"/>
              </w:rPr>
              <w:noBreakHyphen/>
              <w:t>PAF</w:t>
            </w:r>
          </w:p>
        </w:tc>
        <w:tc>
          <w:tcPr>
            <w:tcW w:w="4093" w:type="pct"/>
            <w:vAlign w:val="center"/>
          </w:tcPr>
          <w:p w14:paraId="588075D6"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Multi</w:t>
            </w:r>
            <w:r w:rsidR="00272020" w:rsidRPr="00D10602">
              <w:rPr>
                <w:rFonts w:cs="Arial"/>
                <w:sz w:val="18"/>
                <w:szCs w:val="18"/>
                <w:lang w:val="en-AU"/>
              </w:rPr>
              <w:t>-</w:t>
            </w:r>
            <w:r w:rsidRPr="00D10602">
              <w:rPr>
                <w:rFonts w:cs="Arial"/>
                <w:sz w:val="18"/>
                <w:szCs w:val="18"/>
                <w:lang w:val="en-AU"/>
              </w:rPr>
              <w:t>substance potentially affected fraction</w:t>
            </w:r>
          </w:p>
        </w:tc>
      </w:tr>
      <w:tr w:rsidR="00185EFD" w:rsidRPr="00D10602" w14:paraId="23CB993E" w14:textId="77777777" w:rsidTr="00CD399D">
        <w:trPr>
          <w:trHeight w:val="332"/>
          <w:tblHeader/>
        </w:trPr>
        <w:tc>
          <w:tcPr>
            <w:tcW w:w="907" w:type="pct"/>
            <w:vAlign w:val="center"/>
          </w:tcPr>
          <w:p w14:paraId="45B86919"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NOEC</w:t>
            </w:r>
          </w:p>
        </w:tc>
        <w:tc>
          <w:tcPr>
            <w:tcW w:w="4093" w:type="pct"/>
            <w:vAlign w:val="center"/>
          </w:tcPr>
          <w:p w14:paraId="4EA4CFFA"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No Observed Effect Concentration</w:t>
            </w:r>
          </w:p>
        </w:tc>
      </w:tr>
      <w:tr w:rsidR="00185EFD" w:rsidRPr="00D10602" w14:paraId="2E28104D" w14:textId="77777777" w:rsidTr="00CD399D">
        <w:trPr>
          <w:trHeight w:val="332"/>
          <w:tblHeader/>
        </w:trPr>
        <w:tc>
          <w:tcPr>
            <w:tcW w:w="907" w:type="pct"/>
            <w:vAlign w:val="center"/>
          </w:tcPr>
          <w:p w14:paraId="54C296D2"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PDMS</w:t>
            </w:r>
          </w:p>
        </w:tc>
        <w:tc>
          <w:tcPr>
            <w:tcW w:w="4093" w:type="pct"/>
            <w:vAlign w:val="center"/>
          </w:tcPr>
          <w:p w14:paraId="4820D213"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Polydimethylsiloxane passive sampler</w:t>
            </w:r>
          </w:p>
        </w:tc>
      </w:tr>
      <w:tr w:rsidR="00185EFD" w:rsidRPr="00D10602" w14:paraId="0FD1603D" w14:textId="77777777" w:rsidTr="00CD399D">
        <w:trPr>
          <w:trHeight w:val="332"/>
          <w:tblHeader/>
        </w:trPr>
        <w:tc>
          <w:tcPr>
            <w:tcW w:w="907" w:type="pct"/>
            <w:vAlign w:val="center"/>
          </w:tcPr>
          <w:p w14:paraId="520614F1"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PFM</w:t>
            </w:r>
          </w:p>
        </w:tc>
        <w:tc>
          <w:tcPr>
            <w:tcW w:w="4093" w:type="pct"/>
            <w:vAlign w:val="center"/>
          </w:tcPr>
          <w:p w14:paraId="4E5E3984"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Passive/Plaster Flow Monitor</w:t>
            </w:r>
          </w:p>
        </w:tc>
      </w:tr>
      <w:tr w:rsidR="00185EFD" w:rsidRPr="00D10602" w14:paraId="5DF2FF30" w14:textId="77777777" w:rsidTr="00CD399D">
        <w:trPr>
          <w:trHeight w:val="332"/>
          <w:tblHeader/>
        </w:trPr>
        <w:tc>
          <w:tcPr>
            <w:tcW w:w="907" w:type="pct"/>
            <w:vAlign w:val="center"/>
          </w:tcPr>
          <w:p w14:paraId="6E65AB1F" w14:textId="38CABEA4" w:rsidR="00185EFD" w:rsidRPr="00D10602" w:rsidRDefault="005E2B71" w:rsidP="00D10602">
            <w:pPr>
              <w:spacing w:line="276" w:lineRule="auto"/>
              <w:contextualSpacing/>
              <w:jc w:val="left"/>
              <w:rPr>
                <w:rFonts w:cs="Arial"/>
                <w:sz w:val="18"/>
                <w:szCs w:val="18"/>
                <w:lang w:val="en-AU"/>
              </w:rPr>
            </w:pPr>
            <w:r>
              <w:rPr>
                <w:rFonts w:cs="Arial"/>
                <w:sz w:val="18"/>
                <w:szCs w:val="18"/>
                <w:lang w:val="en-AU"/>
              </w:rPr>
              <w:t>PSII</w:t>
            </w:r>
            <w:r>
              <w:rPr>
                <w:rFonts w:cs="Arial"/>
                <w:sz w:val="18"/>
                <w:szCs w:val="18"/>
                <w:lang w:val="en-AU"/>
              </w:rPr>
              <w:noBreakHyphen/>
              <w:t>HEq</w:t>
            </w:r>
          </w:p>
        </w:tc>
        <w:tc>
          <w:tcPr>
            <w:tcW w:w="4093" w:type="pct"/>
            <w:vAlign w:val="center"/>
          </w:tcPr>
          <w:p w14:paraId="4D62AF7C"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Photosystem II Herbicide Equivalent Concentration</w:t>
            </w:r>
          </w:p>
        </w:tc>
      </w:tr>
      <w:tr w:rsidR="00185EFD" w:rsidRPr="00D10602" w14:paraId="40C355BC" w14:textId="77777777" w:rsidTr="00CD399D">
        <w:trPr>
          <w:trHeight w:val="332"/>
          <w:tblHeader/>
        </w:trPr>
        <w:tc>
          <w:tcPr>
            <w:tcW w:w="907" w:type="pct"/>
            <w:vAlign w:val="center"/>
          </w:tcPr>
          <w:p w14:paraId="4E34B7CB"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PTFE</w:t>
            </w:r>
          </w:p>
        </w:tc>
        <w:tc>
          <w:tcPr>
            <w:tcW w:w="4093" w:type="pct"/>
            <w:vAlign w:val="center"/>
          </w:tcPr>
          <w:p w14:paraId="577BBB0A"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Polytetrafluoroethylene : Common brand name - Teflon</w:t>
            </w:r>
          </w:p>
        </w:tc>
      </w:tr>
      <w:tr w:rsidR="00185EFD" w:rsidRPr="00D10602" w14:paraId="55FD4766" w14:textId="77777777" w:rsidTr="00CD399D">
        <w:trPr>
          <w:trHeight w:val="332"/>
          <w:tblHeader/>
        </w:trPr>
        <w:tc>
          <w:tcPr>
            <w:tcW w:w="907" w:type="pct"/>
            <w:vAlign w:val="center"/>
          </w:tcPr>
          <w:p w14:paraId="4AC010CB"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QAEHS</w:t>
            </w:r>
          </w:p>
        </w:tc>
        <w:tc>
          <w:tcPr>
            <w:tcW w:w="4093" w:type="pct"/>
            <w:vAlign w:val="center"/>
          </w:tcPr>
          <w:p w14:paraId="45512B77"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Queensland Alliance for Environmental Health Sciences (formerly Entox)</w:t>
            </w:r>
          </w:p>
        </w:tc>
      </w:tr>
      <w:tr w:rsidR="00185EFD" w:rsidRPr="00D10602" w14:paraId="746BEFE7" w14:textId="77777777" w:rsidTr="00CD399D">
        <w:trPr>
          <w:trHeight w:val="332"/>
          <w:tblHeader/>
        </w:trPr>
        <w:tc>
          <w:tcPr>
            <w:tcW w:w="907" w:type="pct"/>
            <w:vAlign w:val="center"/>
          </w:tcPr>
          <w:p w14:paraId="70A905B8"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QA/QC</w:t>
            </w:r>
          </w:p>
        </w:tc>
        <w:tc>
          <w:tcPr>
            <w:tcW w:w="4093" w:type="pct"/>
            <w:vAlign w:val="center"/>
          </w:tcPr>
          <w:p w14:paraId="1F4D52BD"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Quality Assurance/Quality Control</w:t>
            </w:r>
          </w:p>
        </w:tc>
      </w:tr>
      <w:tr w:rsidR="00185EFD" w:rsidRPr="00D10602" w14:paraId="7E273A12" w14:textId="77777777" w:rsidTr="00CD399D">
        <w:trPr>
          <w:trHeight w:val="332"/>
          <w:tblHeader/>
        </w:trPr>
        <w:tc>
          <w:tcPr>
            <w:tcW w:w="907" w:type="pct"/>
            <w:vAlign w:val="center"/>
          </w:tcPr>
          <w:p w14:paraId="6BDF698D"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lastRenderedPageBreak/>
              <w:t>QHFSS</w:t>
            </w:r>
          </w:p>
        </w:tc>
        <w:tc>
          <w:tcPr>
            <w:tcW w:w="4093" w:type="pct"/>
            <w:vAlign w:val="center"/>
          </w:tcPr>
          <w:p w14:paraId="74E13124"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Queensland Health Forensic &amp; Scientific Services</w:t>
            </w:r>
          </w:p>
        </w:tc>
      </w:tr>
      <w:tr w:rsidR="00185EFD" w:rsidRPr="00D10602" w14:paraId="02DB55DC" w14:textId="77777777" w:rsidTr="00CD399D">
        <w:trPr>
          <w:trHeight w:val="332"/>
          <w:tblHeader/>
        </w:trPr>
        <w:tc>
          <w:tcPr>
            <w:tcW w:w="907" w:type="pct"/>
            <w:vAlign w:val="center"/>
          </w:tcPr>
          <w:p w14:paraId="41EBB874"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RPF</w:t>
            </w:r>
          </w:p>
        </w:tc>
        <w:tc>
          <w:tcPr>
            <w:tcW w:w="4093" w:type="pct"/>
            <w:vAlign w:val="center"/>
          </w:tcPr>
          <w:p w14:paraId="0B1013FC"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Relative Potency Factor</w:t>
            </w:r>
          </w:p>
        </w:tc>
      </w:tr>
      <w:tr w:rsidR="00185EFD" w:rsidRPr="00D10602" w14:paraId="255EB29F" w14:textId="77777777" w:rsidTr="00CD399D">
        <w:trPr>
          <w:trHeight w:val="332"/>
          <w:tblHeader/>
        </w:trPr>
        <w:tc>
          <w:tcPr>
            <w:tcW w:w="907" w:type="pct"/>
            <w:vAlign w:val="center"/>
          </w:tcPr>
          <w:p w14:paraId="33798BF3" w14:textId="77777777" w:rsidR="00185EFD" w:rsidRPr="00D10602" w:rsidRDefault="003E56A6" w:rsidP="00D10602">
            <w:pPr>
              <w:spacing w:line="276" w:lineRule="auto"/>
              <w:contextualSpacing/>
              <w:jc w:val="left"/>
              <w:rPr>
                <w:rFonts w:cs="Arial"/>
                <w:sz w:val="18"/>
                <w:szCs w:val="18"/>
                <w:lang w:val="en-AU"/>
              </w:rPr>
            </w:pPr>
            <w:r w:rsidRPr="00D10602">
              <w:rPr>
                <w:rFonts w:cs="Arial"/>
                <w:sz w:val="18"/>
                <w:szCs w:val="18"/>
                <w:lang w:val="en-AU"/>
              </w:rPr>
              <w:t>Reef 2050 WQIP</w:t>
            </w:r>
          </w:p>
        </w:tc>
        <w:tc>
          <w:tcPr>
            <w:tcW w:w="4093" w:type="pct"/>
            <w:vAlign w:val="center"/>
          </w:tcPr>
          <w:p w14:paraId="58FAB781"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 xml:space="preserve">Reef </w:t>
            </w:r>
            <w:r w:rsidR="003E56A6" w:rsidRPr="00D10602">
              <w:rPr>
                <w:rFonts w:cs="Arial"/>
                <w:sz w:val="18"/>
                <w:szCs w:val="18"/>
                <w:lang w:val="en-AU"/>
              </w:rPr>
              <w:t xml:space="preserve">2050 </w:t>
            </w:r>
            <w:r w:rsidRPr="00D10602">
              <w:rPr>
                <w:rFonts w:cs="Arial"/>
                <w:sz w:val="18"/>
                <w:szCs w:val="18"/>
                <w:lang w:val="en-AU"/>
              </w:rPr>
              <w:t xml:space="preserve">Water Quality </w:t>
            </w:r>
            <w:r w:rsidR="003E56A6" w:rsidRPr="00D10602">
              <w:rPr>
                <w:rFonts w:cs="Arial"/>
                <w:sz w:val="18"/>
                <w:szCs w:val="18"/>
                <w:lang w:val="en-AU"/>
              </w:rPr>
              <w:t xml:space="preserve">Improvement </w:t>
            </w:r>
            <w:r w:rsidRPr="00D10602">
              <w:rPr>
                <w:rFonts w:cs="Arial"/>
                <w:sz w:val="18"/>
                <w:szCs w:val="18"/>
                <w:lang w:val="en-AU"/>
              </w:rPr>
              <w:t>Plan</w:t>
            </w:r>
          </w:p>
        </w:tc>
      </w:tr>
      <w:tr w:rsidR="00185EFD" w:rsidRPr="00D10602" w14:paraId="5D70743E" w14:textId="77777777" w:rsidTr="00CD399D">
        <w:trPr>
          <w:trHeight w:val="332"/>
          <w:tblHeader/>
        </w:trPr>
        <w:tc>
          <w:tcPr>
            <w:tcW w:w="907" w:type="pct"/>
            <w:vAlign w:val="center"/>
          </w:tcPr>
          <w:p w14:paraId="3CF740AC"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SOP</w:t>
            </w:r>
          </w:p>
        </w:tc>
        <w:tc>
          <w:tcPr>
            <w:tcW w:w="4093" w:type="pct"/>
            <w:vAlign w:val="center"/>
          </w:tcPr>
          <w:p w14:paraId="7478E830"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Standard Operation Procedure</w:t>
            </w:r>
          </w:p>
        </w:tc>
      </w:tr>
      <w:tr w:rsidR="00185EFD" w:rsidRPr="00D10602" w14:paraId="7B639717" w14:textId="77777777" w:rsidTr="00CD399D">
        <w:trPr>
          <w:trHeight w:val="332"/>
          <w:tblHeader/>
        </w:trPr>
        <w:tc>
          <w:tcPr>
            <w:tcW w:w="907" w:type="pct"/>
            <w:vAlign w:val="center"/>
          </w:tcPr>
          <w:p w14:paraId="3E2863A3"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SSD</w:t>
            </w:r>
          </w:p>
        </w:tc>
        <w:tc>
          <w:tcPr>
            <w:tcW w:w="4093" w:type="pct"/>
            <w:vAlign w:val="center"/>
          </w:tcPr>
          <w:p w14:paraId="2E833A62" w14:textId="77777777" w:rsidR="00185EFD" w:rsidRPr="00D10602" w:rsidRDefault="00185EFD" w:rsidP="00D10602">
            <w:pPr>
              <w:spacing w:line="276" w:lineRule="auto"/>
              <w:contextualSpacing/>
              <w:jc w:val="left"/>
              <w:rPr>
                <w:rFonts w:cs="Arial"/>
                <w:sz w:val="18"/>
                <w:szCs w:val="18"/>
                <w:lang w:val="en-AU"/>
              </w:rPr>
            </w:pPr>
            <w:r w:rsidRPr="00D10602">
              <w:rPr>
                <w:rFonts w:cs="Arial"/>
                <w:sz w:val="18"/>
                <w:szCs w:val="18"/>
                <w:lang w:val="en-AU"/>
              </w:rPr>
              <w:t>Species sensitivity distribution</w:t>
            </w:r>
          </w:p>
        </w:tc>
      </w:tr>
    </w:tbl>
    <w:p w14:paraId="36A85739" w14:textId="3F365C1D" w:rsidR="00EB2F5C" w:rsidRDefault="0078207D" w:rsidP="002439C8">
      <w:pPr>
        <w:spacing w:line="276" w:lineRule="auto"/>
        <w:jc w:val="left"/>
        <w:rPr>
          <w:sz w:val="20"/>
          <w:szCs w:val="20"/>
          <w:lang w:val="en-AU"/>
        </w:rPr>
      </w:pPr>
      <w:r w:rsidRPr="00CA24F8">
        <w:rPr>
          <w:sz w:val="20"/>
          <w:szCs w:val="20"/>
          <w:lang w:val="en-AU"/>
        </w:rPr>
        <w:t>Note that the term pesticide is used to refer collectively to the group of insecticides, herbicides and fungicides</w:t>
      </w:r>
      <w:r w:rsidR="00465B04" w:rsidRPr="00CA24F8">
        <w:rPr>
          <w:sz w:val="20"/>
          <w:szCs w:val="20"/>
          <w:lang w:val="en-AU"/>
        </w:rPr>
        <w:t>.</w:t>
      </w:r>
      <w:r w:rsidR="00EB2F5C">
        <w:rPr>
          <w:sz w:val="20"/>
          <w:szCs w:val="20"/>
          <w:lang w:val="en-AU"/>
        </w:rPr>
        <w:br w:type="page"/>
      </w:r>
    </w:p>
    <w:p w14:paraId="732707EF" w14:textId="77777777" w:rsidR="00AD6279" w:rsidRPr="00EB2F5C" w:rsidRDefault="00AD6279" w:rsidP="002439C8">
      <w:pPr>
        <w:keepNext/>
        <w:spacing w:after="240"/>
        <w:ind w:right="-144"/>
        <w:jc w:val="left"/>
        <w:outlineLvl w:val="0"/>
        <w:rPr>
          <w:rFonts w:ascii="Century Gothic" w:eastAsia="SimSun" w:hAnsi="Century Gothic" w:cs="Times New Roman"/>
          <w:b/>
          <w:kern w:val="28"/>
          <w:sz w:val="36"/>
          <w:szCs w:val="36"/>
          <w:lang w:val="en-GB" w:bidi="ar-SA"/>
        </w:rPr>
      </w:pPr>
      <w:bookmarkStart w:id="7" w:name="_Toc14435670"/>
      <w:r w:rsidRPr="00EB2F5C">
        <w:rPr>
          <w:rFonts w:ascii="Century Gothic" w:eastAsia="SimSun" w:hAnsi="Century Gothic" w:cs="Times New Roman"/>
          <w:b/>
          <w:kern w:val="28"/>
          <w:sz w:val="36"/>
          <w:szCs w:val="36"/>
          <w:lang w:val="en-GB" w:bidi="ar-SA"/>
        </w:rPr>
        <w:lastRenderedPageBreak/>
        <w:t>Acknowledgements</w:t>
      </w:r>
      <w:bookmarkEnd w:id="7"/>
    </w:p>
    <w:p w14:paraId="3B68610C" w14:textId="77777777" w:rsidR="00AD6279" w:rsidRPr="001A3A18" w:rsidRDefault="00AD6279" w:rsidP="002439C8">
      <w:pPr>
        <w:spacing w:line="276" w:lineRule="auto"/>
        <w:jc w:val="left"/>
        <w:rPr>
          <w:lang w:val="en-AU"/>
        </w:rPr>
      </w:pPr>
      <w:r w:rsidRPr="001A3A18">
        <w:rPr>
          <w:lang w:val="en-AU"/>
        </w:rPr>
        <w:t>Other contributors to this work include</w:t>
      </w:r>
      <w:r w:rsidR="00B914A5" w:rsidRPr="001A3A18">
        <w:rPr>
          <w:lang w:val="en-AU"/>
        </w:rPr>
        <w:t>:</w:t>
      </w:r>
    </w:p>
    <w:p w14:paraId="2E5FE1B4" w14:textId="77777777" w:rsidR="00200C83" w:rsidRPr="004B2254" w:rsidRDefault="00200C83" w:rsidP="002439C8">
      <w:pPr>
        <w:pStyle w:val="ListParagraph"/>
        <w:numPr>
          <w:ilvl w:val="0"/>
          <w:numId w:val="3"/>
        </w:numPr>
        <w:spacing w:line="276" w:lineRule="auto"/>
        <w:ind w:left="851" w:hanging="720"/>
        <w:jc w:val="left"/>
        <w:rPr>
          <w:rFonts w:cs="Arial"/>
          <w:lang w:val="en-AU"/>
        </w:rPr>
      </w:pPr>
      <w:r>
        <w:rPr>
          <w:rFonts w:cs="Arial"/>
          <w:lang w:val="en-AU"/>
        </w:rPr>
        <w:t>The</w:t>
      </w:r>
      <w:r w:rsidRPr="004B2254">
        <w:rPr>
          <w:rFonts w:cs="Arial"/>
          <w:lang w:val="en-AU"/>
        </w:rPr>
        <w:t xml:space="preserve"> staff of </w:t>
      </w:r>
      <w:r>
        <w:rPr>
          <w:rFonts w:cs="Arial"/>
          <w:lang w:val="en-AU"/>
        </w:rPr>
        <w:t xml:space="preserve">the </w:t>
      </w:r>
      <w:r w:rsidRPr="004B2254">
        <w:rPr>
          <w:rFonts w:cs="Arial"/>
          <w:lang w:val="en-AU"/>
        </w:rPr>
        <w:t xml:space="preserve">Australian Institute of Marine Sciences </w:t>
      </w:r>
      <w:r>
        <w:rPr>
          <w:rFonts w:cs="Arial"/>
          <w:lang w:val="en-AU"/>
        </w:rPr>
        <w:t xml:space="preserve">and James Cook University </w:t>
      </w:r>
      <w:r w:rsidRPr="004B2254">
        <w:rPr>
          <w:rFonts w:cs="Arial"/>
          <w:lang w:val="en-AU"/>
        </w:rPr>
        <w:t>for the assessment of long term discharge data</w:t>
      </w:r>
      <w:r>
        <w:rPr>
          <w:rFonts w:cs="Arial"/>
          <w:lang w:val="en-AU"/>
        </w:rPr>
        <w:t xml:space="preserve"> and mapping;</w:t>
      </w:r>
    </w:p>
    <w:p w14:paraId="2F626FC9" w14:textId="77777777" w:rsidR="00200C83" w:rsidRDefault="00200C83" w:rsidP="002439C8">
      <w:pPr>
        <w:spacing w:line="276" w:lineRule="auto"/>
        <w:jc w:val="left"/>
        <w:rPr>
          <w:rFonts w:eastAsia="Dotum" w:cs="Arial"/>
          <w:b/>
          <w:lang w:val="en-AU"/>
        </w:rPr>
      </w:pPr>
    </w:p>
    <w:p w14:paraId="6E67511A" w14:textId="77777777" w:rsidR="00AD6279" w:rsidRPr="001A3A18" w:rsidRDefault="00AD6279" w:rsidP="002439C8">
      <w:pPr>
        <w:spacing w:line="276" w:lineRule="auto"/>
        <w:jc w:val="left"/>
        <w:rPr>
          <w:lang w:val="en-AU"/>
        </w:rPr>
      </w:pPr>
      <w:r w:rsidRPr="001A3A18">
        <w:rPr>
          <w:lang w:val="en-AU"/>
        </w:rPr>
        <w:t>These monitoring activities have been undertaken in some form since 2005 and we a</w:t>
      </w:r>
      <w:r w:rsidR="008F0A2E" w:rsidRPr="001A3A18">
        <w:rPr>
          <w:lang w:val="en-AU"/>
        </w:rPr>
        <w:t>cknowledge:</w:t>
      </w:r>
    </w:p>
    <w:p w14:paraId="0C9F3F8B" w14:textId="77777777" w:rsidR="00200C83" w:rsidRDefault="00AD6279" w:rsidP="002439C8">
      <w:pPr>
        <w:spacing w:line="276" w:lineRule="auto"/>
        <w:jc w:val="left"/>
        <w:rPr>
          <w:rFonts w:cs="Arial"/>
          <w:lang w:val="en-AU"/>
        </w:rPr>
      </w:pPr>
      <w:r>
        <w:rPr>
          <w:rFonts w:cs="Arial"/>
          <w:lang w:val="en-AU"/>
        </w:rPr>
        <w:t xml:space="preserve">Dr Karen Kennedy, Andrew Dunn, </w:t>
      </w:r>
      <w:r w:rsidRPr="00BA3F02">
        <w:rPr>
          <w:rFonts w:cs="Arial"/>
          <w:lang w:val="en-AU"/>
        </w:rPr>
        <w:t>Dr Michael Bartkow, Dr Tatiana Komarova, Dr Melanie Shaw,</w:t>
      </w:r>
      <w:r>
        <w:rPr>
          <w:rFonts w:cs="Arial"/>
          <w:lang w:val="en-AU"/>
        </w:rPr>
        <w:t xml:space="preserve"> </w:t>
      </w:r>
      <w:r w:rsidRPr="00BA3F02">
        <w:rPr>
          <w:rFonts w:cs="Arial"/>
          <w:lang w:val="en-AU"/>
        </w:rPr>
        <w:t>Anita Kapernick</w:t>
      </w:r>
      <w:r>
        <w:rPr>
          <w:rFonts w:cs="Arial"/>
          <w:lang w:val="en-AU"/>
        </w:rPr>
        <w:t xml:space="preserve">, </w:t>
      </w:r>
      <w:r w:rsidR="00030BBA">
        <w:rPr>
          <w:rFonts w:cs="Arial"/>
          <w:lang w:val="en-AU"/>
        </w:rPr>
        <w:t xml:space="preserve">Dr </w:t>
      </w:r>
      <w:r>
        <w:rPr>
          <w:rFonts w:cs="Arial"/>
          <w:lang w:val="en-AU"/>
        </w:rPr>
        <w:t xml:space="preserve">Jake O’Brien, Andrew Banks, </w:t>
      </w:r>
      <w:r w:rsidR="008F0A2E">
        <w:rPr>
          <w:rFonts w:cs="Arial"/>
          <w:lang w:val="en-AU"/>
        </w:rPr>
        <w:t xml:space="preserve">Rachel Mackie, </w:t>
      </w:r>
      <w:r w:rsidR="003E719A">
        <w:rPr>
          <w:rFonts w:cs="Arial"/>
          <w:lang w:val="en-AU"/>
        </w:rPr>
        <w:t xml:space="preserve">Bronwyn Houlden, Carol Honchin, Katherine Martin, </w:t>
      </w:r>
      <w:r>
        <w:rPr>
          <w:rFonts w:cs="Arial"/>
          <w:lang w:val="en-AU"/>
        </w:rPr>
        <w:t>Carol Marshall,</w:t>
      </w:r>
      <w:r w:rsidRPr="00662276">
        <w:rPr>
          <w:rFonts w:cs="Arial"/>
          <w:lang w:val="en-AU"/>
        </w:rPr>
        <w:t xml:space="preserve"> </w:t>
      </w:r>
      <w:r w:rsidRPr="004B2254">
        <w:rPr>
          <w:rFonts w:cs="Arial"/>
          <w:lang w:val="en-AU"/>
        </w:rPr>
        <w:t>Steve Carter of Queensland Health Forensic and Scientific Services</w:t>
      </w:r>
      <w:r w:rsidR="00200C83">
        <w:rPr>
          <w:rFonts w:cs="Arial"/>
          <w:lang w:val="en-AU"/>
        </w:rPr>
        <w:t>.</w:t>
      </w:r>
    </w:p>
    <w:p w14:paraId="54557CF4" w14:textId="77777777" w:rsidR="00200C83" w:rsidRDefault="00200C83" w:rsidP="002439C8">
      <w:pPr>
        <w:spacing w:line="276" w:lineRule="auto"/>
        <w:jc w:val="left"/>
        <w:rPr>
          <w:rFonts w:cs="Arial"/>
          <w:lang w:val="en-AU"/>
        </w:rPr>
      </w:pPr>
    </w:p>
    <w:p w14:paraId="6EA78517" w14:textId="32EE1935" w:rsidR="00200C83" w:rsidRDefault="00200C83" w:rsidP="002439C8">
      <w:pPr>
        <w:spacing w:line="276" w:lineRule="auto"/>
        <w:jc w:val="left"/>
        <w:rPr>
          <w:rFonts w:eastAsia="Dotum" w:cs="Arial"/>
          <w:lang w:val="en-AU"/>
        </w:rPr>
      </w:pPr>
      <w:r>
        <w:rPr>
          <w:rFonts w:cs="Arial"/>
          <w:lang w:val="en-AU"/>
        </w:rPr>
        <w:t>We thank</w:t>
      </w:r>
      <w:r w:rsidR="00AD6279" w:rsidRPr="00030BBA">
        <w:rPr>
          <w:rFonts w:cs="Arial"/>
          <w:lang w:val="en-AU"/>
        </w:rPr>
        <w:t xml:space="preserve"> Rachael Smith, Olivia King </w:t>
      </w:r>
      <w:r w:rsidR="00E458AE">
        <w:rPr>
          <w:rFonts w:cs="Arial"/>
          <w:lang w:val="en-AU"/>
        </w:rPr>
        <w:t xml:space="preserve">and Ryan Turner </w:t>
      </w:r>
      <w:r w:rsidR="00AD6279" w:rsidRPr="00030BBA">
        <w:rPr>
          <w:rFonts w:cs="Arial"/>
          <w:lang w:val="en-AU"/>
        </w:rPr>
        <w:t xml:space="preserve">(Department of Science, Information Technology and Innovation) who </w:t>
      </w:r>
      <w:r w:rsidR="006B168C">
        <w:rPr>
          <w:rFonts w:cs="Arial"/>
          <w:lang w:val="en-AU"/>
        </w:rPr>
        <w:t xml:space="preserve">have </w:t>
      </w:r>
      <w:r w:rsidR="00AD6279" w:rsidRPr="00030BBA">
        <w:rPr>
          <w:rFonts w:cs="Arial"/>
          <w:lang w:val="en-AU"/>
        </w:rPr>
        <w:t xml:space="preserve">provided </w:t>
      </w:r>
      <w:r w:rsidR="00030BBA" w:rsidRPr="00030BBA">
        <w:rPr>
          <w:rFonts w:cs="Arial"/>
          <w:lang w:val="en-AU"/>
        </w:rPr>
        <w:t xml:space="preserve">data </w:t>
      </w:r>
      <w:r w:rsidR="00030BBA">
        <w:rPr>
          <w:rFonts w:cs="Arial"/>
          <w:lang w:val="en-AU"/>
        </w:rPr>
        <w:t xml:space="preserve">and advice on the </w:t>
      </w:r>
      <w:r w:rsidR="005E2B71">
        <w:rPr>
          <w:rFonts w:cs="Arial"/>
          <w:lang w:val="en-AU"/>
        </w:rPr>
        <w:t>ms</w:t>
      </w:r>
      <w:r w:rsidR="005E2B71">
        <w:rPr>
          <w:rFonts w:cs="Arial"/>
          <w:lang w:val="en-AU"/>
        </w:rPr>
        <w:noBreakHyphen/>
        <w:t>PAF</w:t>
      </w:r>
      <w:r w:rsidR="00030BBA">
        <w:rPr>
          <w:rFonts w:cs="Arial"/>
          <w:lang w:val="en-AU"/>
        </w:rPr>
        <w:t xml:space="preserve"> </w:t>
      </w:r>
      <w:r>
        <w:rPr>
          <w:rFonts w:cs="Arial"/>
          <w:lang w:val="en-AU"/>
        </w:rPr>
        <w:t>model</w:t>
      </w:r>
      <w:r w:rsidR="00465B04">
        <w:rPr>
          <w:rFonts w:cs="Arial"/>
          <w:lang w:val="en-AU"/>
        </w:rPr>
        <w:t xml:space="preserve">, </w:t>
      </w:r>
      <w:r w:rsidR="00030BBA">
        <w:rPr>
          <w:rFonts w:cs="Arial"/>
          <w:lang w:val="en-AU"/>
        </w:rPr>
        <w:t xml:space="preserve">proposed guideline values, </w:t>
      </w:r>
      <w:r w:rsidR="00465B04">
        <w:rPr>
          <w:rFonts w:cs="Arial"/>
          <w:lang w:val="en-AU"/>
        </w:rPr>
        <w:t>and</w:t>
      </w:r>
      <w:r w:rsidR="00030BBA">
        <w:rPr>
          <w:rFonts w:cs="Arial"/>
          <w:lang w:val="en-AU"/>
        </w:rPr>
        <w:t xml:space="preserve"> end-of-catchment load monitoring data (in advance of release of the annual GBRCLMP report)</w:t>
      </w:r>
      <w:r w:rsidR="00AD6279" w:rsidRPr="00030BBA">
        <w:rPr>
          <w:rFonts w:cs="Arial"/>
          <w:lang w:val="en-AU"/>
        </w:rPr>
        <w:t>.</w:t>
      </w:r>
      <w:r w:rsidRPr="00200C83">
        <w:rPr>
          <w:rFonts w:eastAsia="Dotum" w:cs="Arial"/>
          <w:lang w:val="en-AU"/>
        </w:rPr>
        <w:t xml:space="preserve"> </w:t>
      </w:r>
    </w:p>
    <w:p w14:paraId="2BA9A523" w14:textId="77777777" w:rsidR="00200C83" w:rsidRDefault="00200C83" w:rsidP="002439C8">
      <w:pPr>
        <w:spacing w:line="276" w:lineRule="auto"/>
        <w:jc w:val="left"/>
        <w:rPr>
          <w:rFonts w:eastAsia="Dotum" w:cs="Arial"/>
          <w:lang w:val="en-AU"/>
        </w:rPr>
      </w:pPr>
    </w:p>
    <w:p w14:paraId="26310B34" w14:textId="77777777" w:rsidR="00AD6279" w:rsidRPr="00BA3F02" w:rsidRDefault="00200C83" w:rsidP="002439C8">
      <w:pPr>
        <w:spacing w:line="276" w:lineRule="auto"/>
        <w:jc w:val="left"/>
        <w:rPr>
          <w:rFonts w:cs="Arial"/>
          <w:lang w:val="en-AU"/>
        </w:rPr>
      </w:pPr>
      <w:r>
        <w:rPr>
          <w:rFonts w:eastAsia="Dotum" w:cs="Arial"/>
          <w:lang w:val="en-AU"/>
        </w:rPr>
        <w:t>QAEHS</w:t>
      </w:r>
      <w:r w:rsidRPr="00E458AE">
        <w:rPr>
          <w:rFonts w:eastAsia="Dotum" w:cs="Arial"/>
          <w:lang w:val="en-AU"/>
        </w:rPr>
        <w:t xml:space="preserve"> gratefully acknowledges the technical support provided by David Boadle</w:t>
      </w:r>
      <w:r w:rsidR="00D11299">
        <w:rPr>
          <w:rFonts w:eastAsia="Dotum" w:cs="Arial"/>
          <w:lang w:val="en-AU"/>
        </w:rPr>
        <w:t>,</w:t>
      </w:r>
      <w:r w:rsidRPr="00E458AE">
        <w:rPr>
          <w:rFonts w:eastAsia="Dotum" w:cs="Arial"/>
          <w:lang w:val="en-AU"/>
        </w:rPr>
        <w:t xml:space="preserve"> Brett Baker</w:t>
      </w:r>
      <w:r w:rsidR="00D11299">
        <w:rPr>
          <w:rFonts w:eastAsia="Dotum" w:cs="Arial"/>
          <w:lang w:val="en-AU"/>
        </w:rPr>
        <w:t xml:space="preserve"> and staff</w:t>
      </w:r>
      <w:r w:rsidRPr="00E458AE">
        <w:rPr>
          <w:rFonts w:eastAsia="Dotum" w:cs="Arial"/>
          <w:lang w:val="en-AU"/>
        </w:rPr>
        <w:t xml:space="preserve"> (CSIRO Land &amp; Water) as well as IMOS/CSIRO through funding of the Lucinda Jetty Coastal Observatory.</w:t>
      </w:r>
    </w:p>
    <w:p w14:paraId="42879B6A" w14:textId="77777777" w:rsidR="00AD6279" w:rsidRDefault="00AD6279" w:rsidP="002439C8">
      <w:pPr>
        <w:spacing w:line="276" w:lineRule="auto"/>
        <w:jc w:val="left"/>
        <w:rPr>
          <w:lang w:val="en-AU"/>
        </w:rPr>
      </w:pPr>
    </w:p>
    <w:p w14:paraId="6761FCF5" w14:textId="77777777" w:rsidR="00AD6279" w:rsidRPr="008F0A2E" w:rsidRDefault="00AD6279" w:rsidP="002439C8">
      <w:pPr>
        <w:spacing w:line="276" w:lineRule="auto"/>
        <w:jc w:val="left"/>
        <w:rPr>
          <w:rFonts w:eastAsia="Dotum" w:cs="Arial"/>
          <w:lang w:val="en-AU"/>
        </w:rPr>
      </w:pPr>
      <w:r w:rsidRPr="008F0A2E">
        <w:rPr>
          <w:rFonts w:eastAsia="Dotum" w:cs="Arial"/>
          <w:lang w:val="en-AU"/>
        </w:rPr>
        <w:t>The assistance of the numerous volunteers who have deployed passive samplers is</w:t>
      </w:r>
      <w:r w:rsidR="00B914A5" w:rsidRPr="008F0A2E">
        <w:rPr>
          <w:rFonts w:eastAsia="Dotum" w:cs="Arial"/>
          <w:lang w:val="en-AU"/>
        </w:rPr>
        <w:t xml:space="preserve"> gratefully acknowledged:</w:t>
      </w:r>
    </w:p>
    <w:tbl>
      <w:tblPr>
        <w:tblStyle w:val="Anita-ReportConsult"/>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Volunteers"/>
        <w:tblDescription w:val="Volunteers who deploy passive samplers in the program"/>
      </w:tblPr>
      <w:tblGrid>
        <w:gridCol w:w="2604"/>
        <w:gridCol w:w="3211"/>
        <w:gridCol w:w="3201"/>
      </w:tblGrid>
      <w:tr w:rsidR="006B168C" w:rsidRPr="00E458AE" w14:paraId="70EEDA82" w14:textId="77777777" w:rsidTr="006B168C">
        <w:trPr>
          <w:trHeight w:val="794"/>
          <w:tblHeader/>
          <w:jc w:val="center"/>
        </w:trPr>
        <w:tc>
          <w:tcPr>
            <w:tcW w:w="2925" w:type="dxa"/>
            <w:vAlign w:val="center"/>
          </w:tcPr>
          <w:p w14:paraId="35323FD6" w14:textId="77777777" w:rsidR="006B168C" w:rsidRPr="007F4391" w:rsidRDefault="006B168C" w:rsidP="002439C8">
            <w:pPr>
              <w:spacing w:line="276" w:lineRule="auto"/>
              <w:jc w:val="left"/>
              <w:rPr>
                <w:sz w:val="22"/>
                <w:lang w:val="en-AU"/>
              </w:rPr>
            </w:pPr>
            <w:r w:rsidRPr="002439C8">
              <w:rPr>
                <w:lang w:val="en-AU"/>
              </w:rPr>
              <w:lastRenderedPageBreak/>
              <w:t>Cahills Couriers</w:t>
            </w:r>
          </w:p>
        </w:tc>
        <w:tc>
          <w:tcPr>
            <w:tcW w:w="3656" w:type="dxa"/>
            <w:vAlign w:val="center"/>
          </w:tcPr>
          <w:p w14:paraId="63C7BFBE" w14:textId="77777777" w:rsidR="006B168C" w:rsidRPr="007F4391" w:rsidRDefault="006B168C" w:rsidP="002439C8">
            <w:pPr>
              <w:spacing w:line="276" w:lineRule="auto"/>
              <w:jc w:val="left"/>
              <w:rPr>
                <w:sz w:val="22"/>
                <w:lang w:val="en-AU"/>
              </w:rPr>
            </w:pPr>
            <w:r w:rsidRPr="002439C8">
              <w:rPr>
                <w:lang w:val="en-AU"/>
              </w:rPr>
              <w:t>Dan Atherton</w:t>
            </w:r>
          </w:p>
        </w:tc>
        <w:tc>
          <w:tcPr>
            <w:tcW w:w="3573" w:type="dxa"/>
            <w:vAlign w:val="center"/>
          </w:tcPr>
          <w:p w14:paraId="0113D569" w14:textId="77777777" w:rsidR="006B168C" w:rsidRPr="007F4391" w:rsidRDefault="009C34F1" w:rsidP="002439C8">
            <w:pPr>
              <w:spacing w:line="276" w:lineRule="auto"/>
              <w:jc w:val="left"/>
              <w:rPr>
                <w:sz w:val="22"/>
                <w:lang w:val="en-AU"/>
              </w:rPr>
            </w:pPr>
            <w:r w:rsidRPr="002439C8">
              <w:rPr>
                <w:lang w:val="en-AU"/>
              </w:rPr>
              <w:t>Quicksilver Connections</w:t>
            </w:r>
            <w:r w:rsidRPr="002439C8" w:rsidDel="003E719A">
              <w:rPr>
                <w:lang w:val="en-AU"/>
              </w:rPr>
              <w:t xml:space="preserve"> </w:t>
            </w:r>
          </w:p>
        </w:tc>
      </w:tr>
      <w:tr w:rsidR="006B168C" w:rsidRPr="00E458AE" w14:paraId="75E75986" w14:textId="77777777" w:rsidTr="006B168C">
        <w:trPr>
          <w:trHeight w:val="794"/>
          <w:tblHeader/>
          <w:jc w:val="center"/>
        </w:trPr>
        <w:tc>
          <w:tcPr>
            <w:tcW w:w="2925" w:type="dxa"/>
            <w:vAlign w:val="center"/>
          </w:tcPr>
          <w:p w14:paraId="1641A45E" w14:textId="77777777" w:rsidR="006B168C" w:rsidRPr="007F4391" w:rsidRDefault="007D5A7C" w:rsidP="002439C8">
            <w:pPr>
              <w:spacing w:line="276" w:lineRule="auto"/>
              <w:jc w:val="left"/>
              <w:rPr>
                <w:sz w:val="22"/>
                <w:lang w:val="en-AU"/>
              </w:rPr>
            </w:pPr>
            <w:r w:rsidRPr="002439C8">
              <w:rPr>
                <w:lang w:val="en-AU"/>
              </w:rPr>
              <w:t>Australian Institute of Marine Science</w:t>
            </w:r>
          </w:p>
        </w:tc>
        <w:tc>
          <w:tcPr>
            <w:tcW w:w="3656" w:type="dxa"/>
            <w:vAlign w:val="center"/>
          </w:tcPr>
          <w:p w14:paraId="6F4B61D1" w14:textId="77777777" w:rsidR="006B168C" w:rsidRPr="007F4391" w:rsidRDefault="006B168C" w:rsidP="002439C8">
            <w:pPr>
              <w:spacing w:line="276" w:lineRule="auto"/>
              <w:jc w:val="left"/>
              <w:rPr>
                <w:sz w:val="22"/>
                <w:lang w:val="en-AU"/>
              </w:rPr>
            </w:pPr>
            <w:r w:rsidRPr="002439C8">
              <w:rPr>
                <w:lang w:val="en-AU"/>
              </w:rPr>
              <w:t>Doug Baird</w:t>
            </w:r>
          </w:p>
        </w:tc>
        <w:tc>
          <w:tcPr>
            <w:tcW w:w="3573" w:type="dxa"/>
            <w:vAlign w:val="center"/>
          </w:tcPr>
          <w:p w14:paraId="39F48D8E" w14:textId="77777777" w:rsidR="006B168C" w:rsidRPr="007F4391" w:rsidRDefault="006B168C" w:rsidP="002439C8">
            <w:pPr>
              <w:spacing w:before="120" w:after="120" w:line="276" w:lineRule="auto"/>
              <w:jc w:val="left"/>
              <w:rPr>
                <w:sz w:val="22"/>
                <w:lang w:val="en-AU"/>
              </w:rPr>
            </w:pPr>
            <w:r w:rsidRPr="002439C8">
              <w:rPr>
                <w:lang w:val="en-AU"/>
              </w:rPr>
              <w:t>Centre for Tropical Water &amp; Aquatic Ecosystem Research (TropWater)</w:t>
            </w:r>
          </w:p>
        </w:tc>
      </w:tr>
      <w:tr w:rsidR="006B168C" w:rsidRPr="00E458AE" w14:paraId="40B9B80A" w14:textId="77777777" w:rsidTr="006B168C">
        <w:trPr>
          <w:trHeight w:val="794"/>
          <w:tblHeader/>
          <w:jc w:val="center"/>
        </w:trPr>
        <w:tc>
          <w:tcPr>
            <w:tcW w:w="2925" w:type="dxa"/>
            <w:vAlign w:val="center"/>
          </w:tcPr>
          <w:p w14:paraId="47625AD2" w14:textId="77777777" w:rsidR="006B168C" w:rsidRPr="007F4391" w:rsidRDefault="006B168C" w:rsidP="002439C8">
            <w:pPr>
              <w:spacing w:line="276" w:lineRule="auto"/>
              <w:jc w:val="left"/>
              <w:rPr>
                <w:sz w:val="22"/>
                <w:lang w:val="en-AU"/>
              </w:rPr>
            </w:pPr>
            <w:r w:rsidRPr="002439C8">
              <w:rPr>
                <w:lang w:val="en-AU"/>
              </w:rPr>
              <w:t>CSIRO Land and Water</w:t>
            </w:r>
          </w:p>
        </w:tc>
        <w:tc>
          <w:tcPr>
            <w:tcW w:w="3656" w:type="dxa"/>
            <w:vAlign w:val="center"/>
          </w:tcPr>
          <w:p w14:paraId="23430EEB" w14:textId="77777777" w:rsidR="006B168C" w:rsidRPr="007F4391" w:rsidRDefault="006B168C" w:rsidP="002439C8">
            <w:pPr>
              <w:spacing w:line="276" w:lineRule="auto"/>
              <w:jc w:val="left"/>
              <w:rPr>
                <w:sz w:val="22"/>
                <w:lang w:val="en-AU"/>
              </w:rPr>
            </w:pPr>
            <w:r w:rsidRPr="002439C8">
              <w:rPr>
                <w:lang w:val="en-AU"/>
              </w:rPr>
              <w:t>Frankland Islands Cruise &amp; Dive</w:t>
            </w:r>
          </w:p>
        </w:tc>
        <w:tc>
          <w:tcPr>
            <w:tcW w:w="3573" w:type="dxa"/>
            <w:vAlign w:val="center"/>
          </w:tcPr>
          <w:p w14:paraId="5EA02509" w14:textId="77777777" w:rsidR="006B168C" w:rsidRPr="007F4391" w:rsidRDefault="006B168C" w:rsidP="002439C8">
            <w:pPr>
              <w:spacing w:line="276" w:lineRule="auto"/>
              <w:jc w:val="left"/>
              <w:rPr>
                <w:sz w:val="22"/>
                <w:lang w:val="en-AU"/>
              </w:rPr>
            </w:pPr>
            <w:r w:rsidRPr="002439C8">
              <w:rPr>
                <w:lang w:val="en-AU"/>
              </w:rPr>
              <w:t>North Keppel Island Environmental Education Centre</w:t>
            </w:r>
          </w:p>
        </w:tc>
      </w:tr>
      <w:tr w:rsidR="006B168C" w:rsidRPr="00E458AE" w14:paraId="7F06F809" w14:textId="77777777" w:rsidTr="006B168C">
        <w:trPr>
          <w:trHeight w:val="794"/>
          <w:tblHeader/>
          <w:jc w:val="center"/>
        </w:trPr>
        <w:tc>
          <w:tcPr>
            <w:tcW w:w="2925" w:type="dxa"/>
            <w:vAlign w:val="center"/>
          </w:tcPr>
          <w:p w14:paraId="2FD63572" w14:textId="77777777" w:rsidR="006B168C" w:rsidRPr="007F4391" w:rsidRDefault="006B168C" w:rsidP="002439C8">
            <w:pPr>
              <w:spacing w:line="276" w:lineRule="auto"/>
              <w:jc w:val="left"/>
              <w:rPr>
                <w:sz w:val="22"/>
                <w:lang w:val="en-AU"/>
              </w:rPr>
            </w:pPr>
            <w:r w:rsidRPr="002439C8">
              <w:rPr>
                <w:lang w:val="en-AU"/>
              </w:rPr>
              <w:t>David Boadle</w:t>
            </w:r>
          </w:p>
        </w:tc>
        <w:tc>
          <w:tcPr>
            <w:tcW w:w="3656" w:type="dxa"/>
            <w:vAlign w:val="center"/>
          </w:tcPr>
          <w:p w14:paraId="47CD19C6" w14:textId="77777777" w:rsidR="006B168C" w:rsidRPr="007F4391" w:rsidRDefault="006B168C" w:rsidP="002439C8">
            <w:pPr>
              <w:spacing w:line="276" w:lineRule="auto"/>
              <w:jc w:val="left"/>
              <w:rPr>
                <w:sz w:val="22"/>
              </w:rPr>
            </w:pPr>
            <w:r w:rsidRPr="002439C8">
              <w:rPr>
                <w:lang w:val="en-AU"/>
              </w:rPr>
              <w:t>Mission Beach Charters</w:t>
            </w:r>
            <w:r w:rsidRPr="002439C8">
              <w:t>:</w:t>
            </w:r>
          </w:p>
          <w:p w14:paraId="2262A616" w14:textId="77777777" w:rsidR="006B168C" w:rsidRPr="007F4391" w:rsidRDefault="006B168C" w:rsidP="002439C8">
            <w:pPr>
              <w:spacing w:line="276" w:lineRule="auto"/>
              <w:jc w:val="left"/>
              <w:rPr>
                <w:sz w:val="22"/>
                <w:lang w:val="en-AU"/>
              </w:rPr>
            </w:pPr>
            <w:r w:rsidRPr="002439C8">
              <w:t>Bec Rowlands and Jason Shearer</w:t>
            </w:r>
          </w:p>
        </w:tc>
        <w:tc>
          <w:tcPr>
            <w:tcW w:w="3573" w:type="dxa"/>
            <w:vAlign w:val="center"/>
          </w:tcPr>
          <w:p w14:paraId="3D8A55B6" w14:textId="77777777" w:rsidR="006B168C" w:rsidRPr="007F4391" w:rsidRDefault="006B168C" w:rsidP="002439C8">
            <w:pPr>
              <w:spacing w:line="276" w:lineRule="auto"/>
              <w:jc w:val="left"/>
              <w:rPr>
                <w:sz w:val="22"/>
                <w:lang w:val="en-AU"/>
              </w:rPr>
            </w:pPr>
            <w:r w:rsidRPr="002439C8">
              <w:rPr>
                <w:lang w:val="en-AU"/>
              </w:rPr>
              <w:t>REEF Catchments</w:t>
            </w:r>
          </w:p>
        </w:tc>
      </w:tr>
    </w:tbl>
    <w:p w14:paraId="49667811" w14:textId="77777777" w:rsidR="00B914A5" w:rsidRDefault="00B914A5" w:rsidP="002439C8">
      <w:pPr>
        <w:spacing w:line="276" w:lineRule="auto"/>
        <w:jc w:val="left"/>
        <w:rPr>
          <w:rFonts w:eastAsia="Dotum" w:cs="Arial"/>
          <w:b/>
          <w:lang w:val="en-AU"/>
        </w:rPr>
      </w:pPr>
    </w:p>
    <w:p w14:paraId="7B18F552" w14:textId="77777777" w:rsidR="00E30957" w:rsidRDefault="00E458AE" w:rsidP="002439C8">
      <w:pPr>
        <w:spacing w:line="276" w:lineRule="auto"/>
        <w:jc w:val="left"/>
        <w:rPr>
          <w:rFonts w:cs="Arial"/>
          <w:lang w:val="en-AU"/>
        </w:rPr>
      </w:pPr>
      <w:r>
        <w:rPr>
          <w:rFonts w:eastAsia="Dotum" w:cs="Arial"/>
          <w:lang w:val="en-AU"/>
        </w:rPr>
        <w:t>Further</w:t>
      </w:r>
      <w:r w:rsidR="00AD6279" w:rsidRPr="008F0A2E">
        <w:rPr>
          <w:rFonts w:eastAsia="Dotum" w:cs="Arial"/>
          <w:lang w:val="en-AU"/>
        </w:rPr>
        <w:t xml:space="preserve"> thanks </w:t>
      </w:r>
      <w:r>
        <w:rPr>
          <w:rFonts w:eastAsia="Dotum" w:cs="Arial"/>
          <w:lang w:val="en-AU"/>
        </w:rPr>
        <w:t xml:space="preserve">go to </w:t>
      </w:r>
      <w:r w:rsidR="006B168C">
        <w:rPr>
          <w:rFonts w:eastAsia="Dotum" w:cs="Arial"/>
          <w:lang w:val="en-AU"/>
        </w:rPr>
        <w:t xml:space="preserve">the </w:t>
      </w:r>
      <w:r w:rsidR="003E56A6">
        <w:rPr>
          <w:rFonts w:eastAsia="Dotum" w:cs="Arial"/>
          <w:lang w:val="en-AU"/>
        </w:rPr>
        <w:t>Authority</w:t>
      </w:r>
      <w:r w:rsidR="003E56A6" w:rsidRPr="008F0A2E">
        <w:rPr>
          <w:rFonts w:eastAsia="Dotum" w:cs="Arial"/>
          <w:lang w:val="en-AU"/>
        </w:rPr>
        <w:t xml:space="preserve"> </w:t>
      </w:r>
      <w:r w:rsidR="00AD6279" w:rsidRPr="008F0A2E">
        <w:rPr>
          <w:rFonts w:eastAsia="Dotum" w:cs="Arial"/>
          <w:lang w:val="en-AU"/>
        </w:rPr>
        <w:t xml:space="preserve">Regional coordinators for the role they have played in managing and facilitating this monitoring program throughout the years: </w:t>
      </w:r>
      <w:r w:rsidR="00AD6279" w:rsidRPr="008F0A2E">
        <w:rPr>
          <w:rFonts w:cs="Arial"/>
          <w:lang w:val="en-AU"/>
        </w:rPr>
        <w:t xml:space="preserve">Carolyn </w:t>
      </w:r>
      <w:r w:rsidR="003E719A">
        <w:rPr>
          <w:rFonts w:cs="Arial"/>
          <w:lang w:val="en-AU"/>
        </w:rPr>
        <w:t>Roche</w:t>
      </w:r>
      <w:r w:rsidR="00AD6279" w:rsidRPr="008F0A2E">
        <w:rPr>
          <w:rFonts w:cs="Arial"/>
          <w:lang w:val="en-AU"/>
        </w:rPr>
        <w:t xml:space="preserve">, Phil Laycock, </w:t>
      </w:r>
      <w:r>
        <w:rPr>
          <w:rFonts w:cs="Arial"/>
          <w:lang w:val="en-AU"/>
        </w:rPr>
        <w:t>and Warwick Sheldon.</w:t>
      </w:r>
    </w:p>
    <w:p w14:paraId="07884021" w14:textId="77777777" w:rsidR="00E458AE" w:rsidRDefault="00E458AE" w:rsidP="002439C8">
      <w:pPr>
        <w:spacing w:line="276" w:lineRule="auto"/>
        <w:jc w:val="left"/>
        <w:rPr>
          <w:rFonts w:cs="Arial"/>
          <w:lang w:val="en-AU"/>
        </w:rPr>
      </w:pPr>
    </w:p>
    <w:p w14:paraId="1110F6DA" w14:textId="77777777" w:rsidR="00E458AE" w:rsidRDefault="00E458AE" w:rsidP="002439C8">
      <w:pPr>
        <w:spacing w:line="276" w:lineRule="auto"/>
        <w:jc w:val="left"/>
        <w:rPr>
          <w:lang w:val="en-AU"/>
        </w:rPr>
      </w:pPr>
      <w:r w:rsidRPr="000C3309">
        <w:rPr>
          <w:rFonts w:cs="Arial"/>
          <w:b/>
          <w:sz w:val="20"/>
          <w:szCs w:val="20"/>
          <w:lang w:val="en-AU"/>
        </w:rPr>
        <w:t xml:space="preserve"> </w:t>
      </w:r>
      <w:bookmarkStart w:id="8" w:name="_Toc405835388"/>
      <w:bookmarkStart w:id="9" w:name="_Toc406329885"/>
      <w:bookmarkStart w:id="10" w:name="_Toc406329979"/>
      <w:bookmarkStart w:id="11" w:name="_Toc406770607"/>
      <w:bookmarkStart w:id="12" w:name="_Toc405835389"/>
      <w:bookmarkStart w:id="13" w:name="_Toc406329886"/>
      <w:bookmarkStart w:id="14" w:name="_Toc406329980"/>
      <w:bookmarkStart w:id="15" w:name="_Toc406770608"/>
      <w:bookmarkStart w:id="16" w:name="_Toc405835390"/>
      <w:bookmarkStart w:id="17" w:name="_Toc406329887"/>
      <w:bookmarkStart w:id="18" w:name="_Toc406329981"/>
      <w:bookmarkStart w:id="19" w:name="_Toc406770609"/>
      <w:bookmarkEnd w:id="8"/>
      <w:bookmarkEnd w:id="9"/>
      <w:bookmarkEnd w:id="10"/>
      <w:bookmarkEnd w:id="11"/>
      <w:bookmarkEnd w:id="12"/>
      <w:bookmarkEnd w:id="13"/>
      <w:bookmarkEnd w:id="14"/>
      <w:bookmarkEnd w:id="15"/>
      <w:bookmarkEnd w:id="16"/>
      <w:bookmarkEnd w:id="17"/>
      <w:bookmarkEnd w:id="18"/>
      <w:bookmarkEnd w:id="19"/>
    </w:p>
    <w:p w14:paraId="52DAB9E6" w14:textId="77777777" w:rsidR="00E458AE" w:rsidRPr="00E458AE" w:rsidRDefault="00E458AE" w:rsidP="002439C8">
      <w:pPr>
        <w:spacing w:line="276" w:lineRule="auto"/>
        <w:jc w:val="left"/>
        <w:rPr>
          <w:rFonts w:cs="Arial"/>
          <w:lang w:val="en-AU"/>
        </w:rPr>
        <w:sectPr w:rsidR="00E458AE" w:rsidRPr="00E458AE" w:rsidSect="009E5D22">
          <w:headerReference w:type="default" r:id="rId22"/>
          <w:footerReference w:type="default" r:id="rId23"/>
          <w:type w:val="continuous"/>
          <w:pgSz w:w="11906" w:h="16838" w:code="9"/>
          <w:pgMar w:top="1440" w:right="1440" w:bottom="1440" w:left="1440" w:header="709" w:footer="709" w:gutter="0"/>
          <w:pgNumType w:fmt="lowerRoman" w:start="1"/>
          <w:cols w:space="708"/>
          <w:docGrid w:linePitch="360"/>
        </w:sectPr>
      </w:pPr>
    </w:p>
    <w:p w14:paraId="2C1A88F1" w14:textId="77777777" w:rsidR="0059608E" w:rsidRPr="00876F1D" w:rsidRDefault="004E0EF8" w:rsidP="002439C8">
      <w:pPr>
        <w:pStyle w:val="Heading1"/>
        <w:numPr>
          <w:ilvl w:val="0"/>
          <w:numId w:val="0"/>
        </w:numPr>
        <w:spacing w:after="360"/>
        <w:jc w:val="left"/>
      </w:pPr>
      <w:bookmarkStart w:id="20" w:name="_Ref480726680"/>
      <w:bookmarkStart w:id="21" w:name="_Toc14435671"/>
      <w:bookmarkStart w:id="22" w:name="_Toc211315597"/>
      <w:r w:rsidRPr="00876F1D">
        <w:lastRenderedPageBreak/>
        <w:t>Executive Summary</w:t>
      </w:r>
      <w:bookmarkEnd w:id="20"/>
      <w:bookmarkEnd w:id="21"/>
    </w:p>
    <w:p w14:paraId="11045DF8" w14:textId="77777777" w:rsidR="00AC2EB8" w:rsidRDefault="00AC2EB8" w:rsidP="00C57149">
      <w:pPr>
        <w:spacing w:line="276" w:lineRule="auto"/>
        <w:contextualSpacing/>
        <w:jc w:val="left"/>
        <w:rPr>
          <w:rFonts w:cs="Arial"/>
        </w:rPr>
      </w:pPr>
      <w:r w:rsidRPr="003507F8">
        <w:rPr>
          <w:rFonts w:eastAsia="MS Mincho"/>
        </w:rPr>
        <w:t xml:space="preserve">This </w:t>
      </w:r>
      <w:r>
        <w:rPr>
          <w:rFonts w:eastAsia="MS Mincho"/>
        </w:rPr>
        <w:t>component</w:t>
      </w:r>
      <w:r w:rsidRPr="003507F8">
        <w:rPr>
          <w:rFonts w:eastAsia="MS Mincho"/>
        </w:rPr>
        <w:t xml:space="preserve"> o</w:t>
      </w:r>
      <w:r>
        <w:rPr>
          <w:rFonts w:eastAsia="MS Mincho"/>
        </w:rPr>
        <w:t>f the Marine Monitoring Program</w:t>
      </w:r>
      <w:r w:rsidRPr="003507F8">
        <w:rPr>
          <w:rFonts w:eastAsia="MS Mincho"/>
        </w:rPr>
        <w:t xml:space="preserve"> </w:t>
      </w:r>
      <w:r>
        <w:rPr>
          <w:rFonts w:cs="Arial"/>
        </w:rPr>
        <w:t xml:space="preserve">provides an understanding of </w:t>
      </w:r>
      <w:r w:rsidRPr="00876F1D">
        <w:rPr>
          <w:rFonts w:cs="Arial"/>
        </w:rPr>
        <w:t xml:space="preserve">nearshore pesticide </w:t>
      </w:r>
      <w:r>
        <w:rPr>
          <w:rFonts w:cs="Arial"/>
        </w:rPr>
        <w:t>profiles</w:t>
      </w:r>
      <w:r w:rsidR="003E719A">
        <w:rPr>
          <w:rFonts w:cs="Arial"/>
        </w:rPr>
        <w:t xml:space="preserve"> </w:t>
      </w:r>
      <w:r>
        <w:rPr>
          <w:rFonts w:cs="Arial"/>
        </w:rPr>
        <w:t xml:space="preserve">and the exposure risk to marine organisms, </w:t>
      </w:r>
      <w:r w:rsidRPr="003E56A6">
        <w:rPr>
          <w:rFonts w:cs="Arial"/>
        </w:rPr>
        <w:t xml:space="preserve">as a part of water quality </w:t>
      </w:r>
      <w:r w:rsidR="003E719A" w:rsidRPr="003E56A6">
        <w:rPr>
          <w:rFonts w:cs="Arial"/>
        </w:rPr>
        <w:t xml:space="preserve">condition </w:t>
      </w:r>
      <w:r w:rsidRPr="003E56A6">
        <w:rPr>
          <w:rFonts w:cs="Arial"/>
        </w:rPr>
        <w:t>on the Great Barrier Reef</w:t>
      </w:r>
      <w:r>
        <w:rPr>
          <w:rFonts w:cs="Arial"/>
        </w:rPr>
        <w:t xml:space="preserve">. </w:t>
      </w:r>
    </w:p>
    <w:p w14:paraId="6F95B374" w14:textId="77777777" w:rsidR="003E719A" w:rsidRDefault="003E719A" w:rsidP="00C57149">
      <w:pPr>
        <w:spacing w:line="276" w:lineRule="auto"/>
        <w:contextualSpacing/>
        <w:jc w:val="left"/>
        <w:rPr>
          <w:rFonts w:cs="Arial"/>
        </w:rPr>
      </w:pPr>
    </w:p>
    <w:p w14:paraId="5D126A77" w14:textId="77777777" w:rsidR="00DF3B55" w:rsidRDefault="003E719A" w:rsidP="00C57149">
      <w:pPr>
        <w:spacing w:line="276" w:lineRule="auto"/>
        <w:contextualSpacing/>
        <w:jc w:val="left"/>
      </w:pPr>
      <w:r>
        <w:t>D</w:t>
      </w:r>
      <w:r w:rsidR="00AC2EB8">
        <w:t>ata are collected from</w:t>
      </w:r>
      <w:r w:rsidR="00AC2EB8" w:rsidRPr="00A43965">
        <w:t xml:space="preserve"> eleven </w:t>
      </w:r>
      <w:r w:rsidR="00AC2EB8" w:rsidRPr="00A43965">
        <w:rPr>
          <w:rFonts w:cs="Arial"/>
        </w:rPr>
        <w:t xml:space="preserve">fixed monitoring </w:t>
      </w:r>
      <w:r w:rsidR="00AC2EB8" w:rsidRPr="00A43965">
        <w:t>sites</w:t>
      </w:r>
      <w:r w:rsidR="00AC2EB8" w:rsidRPr="00A43965">
        <w:rPr>
          <w:rFonts w:cs="Arial"/>
        </w:rPr>
        <w:t xml:space="preserve"> located in four Natural Resource Management regions</w:t>
      </w:r>
      <w:r w:rsidR="00AC2EB8">
        <w:rPr>
          <w:rFonts w:cs="Arial"/>
        </w:rPr>
        <w:t xml:space="preserve"> </w:t>
      </w:r>
      <w:r w:rsidR="00AC2EB8">
        <w:rPr>
          <w:rFonts w:cs="Arial"/>
          <w:color w:val="333333"/>
          <w:sz w:val="18"/>
          <w:szCs w:val="18"/>
          <w:lang w:val="en"/>
        </w:rPr>
        <w:t xml:space="preserve">– </w:t>
      </w:r>
      <w:r w:rsidR="00AC2EB8" w:rsidRPr="00A43965">
        <w:rPr>
          <w:rFonts w:cs="Arial"/>
        </w:rPr>
        <w:t>the Wet Tropics</w:t>
      </w:r>
      <w:r w:rsidR="00AC2EB8">
        <w:rPr>
          <w:rFonts w:cs="Arial"/>
        </w:rPr>
        <w:t xml:space="preserve"> (five sites</w:t>
      </w:r>
      <w:r w:rsidR="00423F3A">
        <w:rPr>
          <w:rFonts w:cs="Arial"/>
        </w:rPr>
        <w:t xml:space="preserve"> at </w:t>
      </w:r>
      <w:r w:rsidR="00423F3A">
        <w:rPr>
          <w:lang w:val="en-AU" w:eastAsia="en-AU"/>
        </w:rPr>
        <w:t>Low Isles, High Island, Normanby Island, Dunk Island and Lucinda</w:t>
      </w:r>
      <w:r w:rsidR="00AC2EB8">
        <w:rPr>
          <w:rFonts w:cs="Arial"/>
        </w:rPr>
        <w:t>)</w:t>
      </w:r>
      <w:r w:rsidR="00AC2EB8" w:rsidRPr="00A43965">
        <w:rPr>
          <w:rFonts w:cs="Arial"/>
        </w:rPr>
        <w:t>, Burdekin</w:t>
      </w:r>
      <w:r w:rsidR="00AC2EB8">
        <w:rPr>
          <w:rFonts w:cs="Arial"/>
        </w:rPr>
        <w:t xml:space="preserve"> (one site</w:t>
      </w:r>
      <w:r w:rsidR="00423F3A">
        <w:rPr>
          <w:rFonts w:cs="Arial"/>
        </w:rPr>
        <w:t xml:space="preserve"> </w:t>
      </w:r>
      <w:r w:rsidR="00423F3A">
        <w:rPr>
          <w:lang w:val="en-AU" w:eastAsia="en-AU"/>
        </w:rPr>
        <w:t>at Barratta Creek</w:t>
      </w:r>
      <w:r w:rsidR="00AC2EB8">
        <w:rPr>
          <w:rFonts w:cs="Arial"/>
        </w:rPr>
        <w:t>)</w:t>
      </w:r>
      <w:r w:rsidR="00AC2EB8" w:rsidRPr="00A43965">
        <w:rPr>
          <w:rFonts w:cs="Arial"/>
        </w:rPr>
        <w:t>, Mackay Whitsunday</w:t>
      </w:r>
      <w:r w:rsidR="00AC2EB8">
        <w:rPr>
          <w:rFonts w:cs="Arial"/>
        </w:rPr>
        <w:t>s (four sites</w:t>
      </w:r>
      <w:r w:rsidR="00423F3A">
        <w:rPr>
          <w:rFonts w:cs="Arial"/>
        </w:rPr>
        <w:t xml:space="preserve"> at </w:t>
      </w:r>
      <w:r w:rsidR="00423F3A">
        <w:rPr>
          <w:lang w:val="en-AU" w:eastAsia="en-AU"/>
        </w:rPr>
        <w:t>Repulse Bay, Round Top Island, Sandy Creek and Sarina Inlet</w:t>
      </w:r>
      <w:r w:rsidR="00AC2EB8">
        <w:rPr>
          <w:rFonts w:cs="Arial"/>
        </w:rPr>
        <w:t>)</w:t>
      </w:r>
      <w:r w:rsidR="00AC2EB8" w:rsidRPr="00A43965">
        <w:rPr>
          <w:rFonts w:cs="Arial"/>
        </w:rPr>
        <w:t xml:space="preserve"> and Fitzroy</w:t>
      </w:r>
      <w:r w:rsidR="00AC2EB8">
        <w:rPr>
          <w:rFonts w:cs="Arial"/>
        </w:rPr>
        <w:t xml:space="preserve"> (one site</w:t>
      </w:r>
      <w:r w:rsidR="00423F3A">
        <w:rPr>
          <w:rFonts w:cs="Arial"/>
        </w:rPr>
        <w:t xml:space="preserve"> </w:t>
      </w:r>
      <w:r w:rsidR="00423F3A">
        <w:rPr>
          <w:lang w:val="en-AU" w:eastAsia="en-AU"/>
        </w:rPr>
        <w:t>at North Keppel Island</w:t>
      </w:r>
      <w:r w:rsidR="00AC2EB8">
        <w:rPr>
          <w:rFonts w:cs="Arial"/>
        </w:rPr>
        <w:t>)</w:t>
      </w:r>
      <w:r w:rsidR="00AC2EB8" w:rsidRPr="00A43965">
        <w:rPr>
          <w:rFonts w:cs="Arial"/>
        </w:rPr>
        <w:t>.</w:t>
      </w:r>
      <w:r w:rsidR="00AC2EB8" w:rsidRPr="00A43965">
        <w:t xml:space="preserve"> </w:t>
      </w:r>
    </w:p>
    <w:p w14:paraId="268B44DA" w14:textId="77777777" w:rsidR="00DF3B55" w:rsidRDefault="00DF3B55" w:rsidP="00C57149">
      <w:pPr>
        <w:spacing w:line="276" w:lineRule="auto"/>
        <w:contextualSpacing/>
        <w:jc w:val="left"/>
      </w:pPr>
    </w:p>
    <w:p w14:paraId="47DD2F12" w14:textId="77777777" w:rsidR="00AC2EB8" w:rsidRDefault="00AC2EB8" w:rsidP="00C57149">
      <w:pPr>
        <w:spacing w:line="276" w:lineRule="auto"/>
        <w:contextualSpacing/>
        <w:jc w:val="left"/>
      </w:pPr>
      <w:r>
        <w:t xml:space="preserve">Sites are selected using several criteria, including being adjacent to areas of high pesticide usage on the catchment area, serviceability, likelihood of intercepting flood plumes during wet season river flow events and the safety of the site from public interference. The long-term monitoring data generated from these sites, aims to link changes in </w:t>
      </w:r>
      <w:r w:rsidRPr="00A43965">
        <w:t xml:space="preserve">land-based </w:t>
      </w:r>
      <w:r>
        <w:t xml:space="preserve">agricultural </w:t>
      </w:r>
      <w:r w:rsidRPr="00A43965">
        <w:t xml:space="preserve">activities </w:t>
      </w:r>
      <w:r>
        <w:t xml:space="preserve">(as a result of management initiatives) </w:t>
      </w:r>
      <w:r w:rsidRPr="00A43965">
        <w:t xml:space="preserve">and </w:t>
      </w:r>
      <w:r>
        <w:t>how pressures such as catchment rainfall, river discharge and pesticide loads influence trends in marine pesticide concentrations</w:t>
      </w:r>
      <w:r>
        <w:rPr>
          <w:rFonts w:cs="Arial"/>
        </w:rPr>
        <w:t>.</w:t>
      </w:r>
      <w:r w:rsidRPr="00694571">
        <w:t xml:space="preserve"> </w:t>
      </w:r>
    </w:p>
    <w:p w14:paraId="0B639125" w14:textId="77777777" w:rsidR="00DF3B55" w:rsidRDefault="00DF3B55" w:rsidP="00C57149">
      <w:pPr>
        <w:spacing w:line="276" w:lineRule="auto"/>
        <w:contextualSpacing/>
        <w:jc w:val="left"/>
      </w:pPr>
    </w:p>
    <w:p w14:paraId="05C3F67C" w14:textId="77777777" w:rsidR="00C91E0A" w:rsidRDefault="00AC2EB8" w:rsidP="00C57149">
      <w:pPr>
        <w:spacing w:line="276" w:lineRule="auto"/>
        <w:contextualSpacing/>
        <w:jc w:val="left"/>
      </w:pPr>
      <w:r>
        <w:t xml:space="preserve">Pesticide monitoring data is collected </w:t>
      </w:r>
      <w:r w:rsidR="00DF3B55">
        <w:t xml:space="preserve">using </w:t>
      </w:r>
      <w:r>
        <w:t xml:space="preserve">two sampling techniques – passive and grab sampling. Two types of passive samplers are deployed at the fixed monitoring sites that allow the accumulation of pesticides from the water into the sampling device over a given deployment time. Using estimates of water flow at each site and uptake rates measured during laboratory calibration experiments, an average concentration in the water for accumulated pesticides are estimated for a deployment period (typically one month during the wet </w:t>
      </w:r>
      <w:r>
        <w:lastRenderedPageBreak/>
        <w:t xml:space="preserve">season, and two months during the dry season). </w:t>
      </w:r>
      <w:r w:rsidR="00C91E0A">
        <w:t xml:space="preserve">Passive sampler extracts are </w:t>
      </w:r>
      <w:r w:rsidR="00C91E0A" w:rsidRPr="007107FA">
        <w:t xml:space="preserve">analysed </w:t>
      </w:r>
      <w:r w:rsidR="00C91E0A">
        <w:t xml:space="preserve">for a </w:t>
      </w:r>
      <w:r w:rsidR="00C91E0A" w:rsidRPr="007107FA">
        <w:t xml:space="preserve">suite of </w:t>
      </w:r>
      <w:r w:rsidR="00C91E0A">
        <w:t>thirty</w:t>
      </w:r>
      <w:r w:rsidR="00C91E0A" w:rsidRPr="007107FA">
        <w:t xml:space="preserve"> pesticides across two </w:t>
      </w:r>
      <w:r w:rsidR="00C91E0A">
        <w:t xml:space="preserve">passive </w:t>
      </w:r>
      <w:r w:rsidR="00C91E0A" w:rsidRPr="007107FA">
        <w:t>sampler types</w:t>
      </w:r>
      <w:r w:rsidR="00C91E0A">
        <w:t xml:space="preserve"> that target pesticides of varying water </w:t>
      </w:r>
      <w:r w:rsidR="00206DAC">
        <w:t>solubility</w:t>
      </w:r>
      <w:r w:rsidR="00C91E0A">
        <w:t>:</w:t>
      </w:r>
    </w:p>
    <w:p w14:paraId="49D3B5CF" w14:textId="77777777" w:rsidR="00C91E0A" w:rsidRDefault="00C91E0A" w:rsidP="00C57149">
      <w:pPr>
        <w:pStyle w:val="ListParagraph"/>
        <w:numPr>
          <w:ilvl w:val="0"/>
          <w:numId w:val="3"/>
        </w:numPr>
        <w:spacing w:line="276" w:lineRule="auto"/>
        <w:jc w:val="left"/>
        <w:rPr>
          <w:lang w:eastAsia="en-AU"/>
        </w:rPr>
      </w:pPr>
      <w:r w:rsidRPr="00DF3B55">
        <w:rPr>
          <w:rFonts w:cs="Arial"/>
        </w:rPr>
        <w:t>Empore Disks</w:t>
      </w:r>
      <w:r w:rsidRPr="00DF3B55">
        <w:rPr>
          <w:rFonts w:cs="Arial"/>
          <w:vertAlign w:val="superscript"/>
        </w:rPr>
        <w:t>TM</w:t>
      </w:r>
      <w:r>
        <w:t xml:space="preserve"> accumulate relatively water soluble pesticides </w:t>
      </w:r>
    </w:p>
    <w:p w14:paraId="59F299F8" w14:textId="77777777" w:rsidR="00C91E0A" w:rsidRPr="005B0927" w:rsidRDefault="00206DAC" w:rsidP="00C57149">
      <w:pPr>
        <w:pStyle w:val="ListParagraph"/>
        <w:numPr>
          <w:ilvl w:val="0"/>
          <w:numId w:val="3"/>
        </w:numPr>
        <w:spacing w:line="276" w:lineRule="auto"/>
        <w:jc w:val="left"/>
        <w:rPr>
          <w:lang w:eastAsia="en-AU"/>
        </w:rPr>
      </w:pPr>
      <w:r>
        <w:rPr>
          <w:rFonts w:cs="Arial"/>
        </w:rPr>
        <w:t>P</w:t>
      </w:r>
      <w:r w:rsidR="00C91E0A" w:rsidRPr="00DF3B55">
        <w:rPr>
          <w:rFonts w:cs="Arial"/>
        </w:rPr>
        <w:t xml:space="preserve">olydimethylsiloxane </w:t>
      </w:r>
      <w:r w:rsidR="00C91E0A">
        <w:rPr>
          <w:rFonts w:cs="Arial"/>
        </w:rPr>
        <w:t xml:space="preserve">samplers </w:t>
      </w:r>
      <w:r w:rsidR="00C91E0A" w:rsidRPr="00DF3B55">
        <w:rPr>
          <w:rFonts w:cs="Arial"/>
        </w:rPr>
        <w:t xml:space="preserve">accumulate less water soluble pesticides. </w:t>
      </w:r>
    </w:p>
    <w:p w14:paraId="4B099BC8" w14:textId="77777777" w:rsidR="00AC2EB8" w:rsidRDefault="00AC2EB8" w:rsidP="00C57149">
      <w:pPr>
        <w:spacing w:line="276" w:lineRule="auto"/>
        <w:contextualSpacing/>
        <w:jc w:val="left"/>
      </w:pPr>
    </w:p>
    <w:p w14:paraId="4AAA1595" w14:textId="77777777" w:rsidR="00AC2EB8" w:rsidRDefault="00AC2EB8" w:rsidP="00C57149">
      <w:pPr>
        <w:spacing w:line="276" w:lineRule="auto"/>
        <w:contextualSpacing/>
        <w:jc w:val="left"/>
      </w:pPr>
      <w:r>
        <w:t>Grab</w:t>
      </w:r>
      <w:r w:rsidRPr="00A43965">
        <w:t xml:space="preserve"> </w:t>
      </w:r>
      <w:r>
        <w:t>samples</w:t>
      </w:r>
      <w:r w:rsidRPr="00A43965">
        <w:t xml:space="preserve"> </w:t>
      </w:r>
      <w:r>
        <w:t>are also taken</w:t>
      </w:r>
      <w:r w:rsidRPr="00A43965">
        <w:t xml:space="preserve"> during periods of high freshwater river discharge</w:t>
      </w:r>
      <w:r>
        <w:t xml:space="preserve"> in the wet season to provide a single ‘point in time’ concentration of pesticides in water and capture potential peaks in pesticide concentration</w:t>
      </w:r>
      <w:r w:rsidRPr="00A43965">
        <w:t xml:space="preserve">. </w:t>
      </w:r>
      <w:r>
        <w:t>This year sampling followed</w:t>
      </w:r>
      <w:r w:rsidRPr="00A43965">
        <w:t xml:space="preserve"> transects extending from </w:t>
      </w:r>
      <w:r w:rsidRPr="00531F93">
        <w:t>the Russell-Mulgrave and Tully rivers</w:t>
      </w:r>
      <w:r w:rsidRPr="00A43965">
        <w:t xml:space="preserve"> </w:t>
      </w:r>
      <w:r>
        <w:t>(</w:t>
      </w:r>
      <w:r w:rsidRPr="00A43965">
        <w:t>Wet Tropics region</w:t>
      </w:r>
      <w:r>
        <w:t xml:space="preserve">), and </w:t>
      </w:r>
      <w:r w:rsidR="003E56A6">
        <w:t xml:space="preserve">out </w:t>
      </w:r>
      <w:r w:rsidR="002F6E6C">
        <w:t>from</w:t>
      </w:r>
      <w:r>
        <w:t xml:space="preserve"> Barratta Creek in the Burdekin region</w:t>
      </w:r>
      <w:r w:rsidRPr="00A43965">
        <w:t>.</w:t>
      </w:r>
    </w:p>
    <w:p w14:paraId="7A0ACB5E" w14:textId="77777777" w:rsidR="00423F3A" w:rsidRDefault="00423F3A" w:rsidP="00C57149">
      <w:pPr>
        <w:spacing w:line="276" w:lineRule="auto"/>
        <w:contextualSpacing/>
        <w:jc w:val="left"/>
        <w:rPr>
          <w:lang w:eastAsia="en-AU"/>
        </w:rPr>
      </w:pPr>
    </w:p>
    <w:p w14:paraId="0B28D7FA" w14:textId="2C3138E5" w:rsidR="00AC2EB8" w:rsidRDefault="00AC2EB8" w:rsidP="00C57149">
      <w:pPr>
        <w:spacing w:line="276" w:lineRule="auto"/>
        <w:contextualSpacing/>
        <w:jc w:val="left"/>
        <w:rPr>
          <w:lang w:eastAsia="en-AU"/>
        </w:rPr>
      </w:pPr>
      <w:r>
        <w:rPr>
          <w:lang w:eastAsia="en-AU"/>
        </w:rPr>
        <w:t>The suite</w:t>
      </w:r>
      <w:r w:rsidRPr="004A09BC">
        <w:rPr>
          <w:lang w:eastAsia="en-AU"/>
        </w:rPr>
        <w:t xml:space="preserve"> </w:t>
      </w:r>
      <w:r>
        <w:rPr>
          <w:lang w:eastAsia="en-AU"/>
        </w:rPr>
        <w:t>of pesticides</w:t>
      </w:r>
      <w:r w:rsidRPr="004A09BC">
        <w:rPr>
          <w:lang w:eastAsia="en-AU"/>
        </w:rPr>
        <w:t xml:space="preserve"> </w:t>
      </w:r>
      <w:r>
        <w:rPr>
          <w:lang w:eastAsia="en-AU"/>
        </w:rPr>
        <w:t xml:space="preserve">monitored </w:t>
      </w:r>
      <w:r w:rsidRPr="004A09BC">
        <w:rPr>
          <w:lang w:eastAsia="en-AU"/>
        </w:rPr>
        <w:t>include</w:t>
      </w:r>
      <w:r>
        <w:rPr>
          <w:lang w:eastAsia="en-AU"/>
        </w:rPr>
        <w:t>s</w:t>
      </w:r>
      <w:r w:rsidRPr="004A09BC">
        <w:rPr>
          <w:lang w:eastAsia="en-AU"/>
        </w:rPr>
        <w:t xml:space="preserve"> </w:t>
      </w:r>
      <w:r>
        <w:rPr>
          <w:lang w:eastAsia="en-AU"/>
        </w:rPr>
        <w:t xml:space="preserve">photosystem II (PSII) inhibiting herbicides (such as </w:t>
      </w:r>
      <w:r w:rsidRPr="004A09BC">
        <w:rPr>
          <w:lang w:eastAsia="en-AU"/>
        </w:rPr>
        <w:t>diuron</w:t>
      </w:r>
      <w:r>
        <w:rPr>
          <w:lang w:eastAsia="en-AU"/>
        </w:rPr>
        <w:t xml:space="preserve">, </w:t>
      </w:r>
      <w:r w:rsidRPr="004A09BC">
        <w:rPr>
          <w:lang w:eastAsia="en-AU"/>
        </w:rPr>
        <w:t>atrazine</w:t>
      </w:r>
      <w:r>
        <w:rPr>
          <w:lang w:eastAsia="en-AU"/>
        </w:rPr>
        <w:t xml:space="preserve"> (and its metabolites), </w:t>
      </w:r>
      <w:r w:rsidRPr="004A09BC">
        <w:rPr>
          <w:lang w:eastAsia="en-AU"/>
        </w:rPr>
        <w:t xml:space="preserve">ametryn, </w:t>
      </w:r>
      <w:r>
        <w:rPr>
          <w:lang w:eastAsia="en-AU"/>
        </w:rPr>
        <w:t xml:space="preserve">hexazinone, </w:t>
      </w:r>
      <w:r w:rsidRPr="004A09BC">
        <w:rPr>
          <w:lang w:eastAsia="en-AU"/>
        </w:rPr>
        <w:t>tebuthiuron</w:t>
      </w:r>
      <w:r>
        <w:rPr>
          <w:lang w:eastAsia="en-AU"/>
        </w:rPr>
        <w:t xml:space="preserve">) which all affect photosynthesis, and </w:t>
      </w:r>
      <w:r w:rsidRPr="00DF3B55">
        <w:rPr>
          <w:rFonts w:cs="Arial"/>
        </w:rPr>
        <w:t>are commonly detected due to their high usage in adjacent catchments</w:t>
      </w:r>
      <w:r>
        <w:rPr>
          <w:lang w:eastAsia="en-AU"/>
        </w:rPr>
        <w:t xml:space="preserve">. </w:t>
      </w:r>
      <w:r w:rsidRPr="004A09BC">
        <w:rPr>
          <w:lang w:eastAsia="en-AU"/>
        </w:rPr>
        <w:t xml:space="preserve">Other </w:t>
      </w:r>
      <w:r>
        <w:rPr>
          <w:lang w:eastAsia="en-AU"/>
        </w:rPr>
        <w:t>pesticides monitored include those that have non-photosynthetic effects (such as imidacloprid and</w:t>
      </w:r>
      <w:r w:rsidRPr="004A09BC">
        <w:rPr>
          <w:lang w:eastAsia="en-AU"/>
        </w:rPr>
        <w:t xml:space="preserve"> metolachlor</w:t>
      </w:r>
      <w:r>
        <w:rPr>
          <w:lang w:eastAsia="en-AU"/>
        </w:rPr>
        <w:t>) and knockdown herbicides</w:t>
      </w:r>
      <w:r w:rsidRPr="004A09BC">
        <w:rPr>
          <w:lang w:eastAsia="en-AU"/>
        </w:rPr>
        <w:t xml:space="preserve"> </w:t>
      </w:r>
      <w:r>
        <w:rPr>
          <w:lang w:eastAsia="en-AU"/>
        </w:rPr>
        <w:t xml:space="preserve">(such as </w:t>
      </w:r>
      <w:r w:rsidR="00FE6E97">
        <w:rPr>
          <w:lang w:eastAsia="en-AU"/>
        </w:rPr>
        <w:t>2,4</w:t>
      </w:r>
      <w:r w:rsidR="00FE6E97">
        <w:rPr>
          <w:lang w:eastAsia="en-AU"/>
        </w:rPr>
        <w:noBreakHyphen/>
        <w:t>D</w:t>
      </w:r>
      <w:r>
        <w:rPr>
          <w:lang w:eastAsia="en-AU"/>
        </w:rPr>
        <w:t>) used increasingly as alternatives to the PSII herbicides.</w:t>
      </w:r>
    </w:p>
    <w:p w14:paraId="38F24AFE" w14:textId="77777777" w:rsidR="00DF3B55" w:rsidRDefault="00DF3B55" w:rsidP="00C57149">
      <w:pPr>
        <w:spacing w:line="276" w:lineRule="auto"/>
        <w:contextualSpacing/>
        <w:jc w:val="left"/>
        <w:rPr>
          <w:lang w:eastAsia="en-AU"/>
        </w:rPr>
      </w:pPr>
    </w:p>
    <w:p w14:paraId="6D1C8384" w14:textId="77777777" w:rsidR="00210543" w:rsidRDefault="00210543" w:rsidP="00C57149">
      <w:pPr>
        <w:spacing w:line="276" w:lineRule="auto"/>
        <w:contextualSpacing/>
        <w:jc w:val="left"/>
        <w:rPr>
          <w:rFonts w:cs="Arial"/>
        </w:rPr>
      </w:pPr>
    </w:p>
    <w:p w14:paraId="4233BC74" w14:textId="77777777" w:rsidR="00AC2EB8" w:rsidRDefault="00AC2EB8" w:rsidP="00C57149">
      <w:pPr>
        <w:spacing w:line="276" w:lineRule="auto"/>
        <w:contextualSpacing/>
        <w:jc w:val="left"/>
        <w:rPr>
          <w:rFonts w:cs="Arial"/>
        </w:rPr>
      </w:pPr>
      <w:r>
        <w:rPr>
          <w:rFonts w:cs="Arial"/>
        </w:rPr>
        <w:t>Pesticide concentration data are evaluated</w:t>
      </w:r>
      <w:r w:rsidRPr="00876F1D">
        <w:rPr>
          <w:rFonts w:cs="Arial"/>
        </w:rPr>
        <w:t xml:space="preserve"> </w:t>
      </w:r>
      <w:r>
        <w:rPr>
          <w:rFonts w:cs="Arial"/>
        </w:rPr>
        <w:t>in two ways:</w:t>
      </w:r>
    </w:p>
    <w:p w14:paraId="55D1813C" w14:textId="77777777" w:rsidR="00AC2EB8" w:rsidRDefault="00AC2EB8" w:rsidP="00C57149">
      <w:pPr>
        <w:pStyle w:val="ListParagraph"/>
        <w:numPr>
          <w:ilvl w:val="0"/>
          <w:numId w:val="12"/>
        </w:numPr>
        <w:spacing w:after="160" w:line="276" w:lineRule="auto"/>
        <w:jc w:val="left"/>
        <w:rPr>
          <w:rFonts w:cs="Arial"/>
        </w:rPr>
      </w:pPr>
      <w:r>
        <w:rPr>
          <w:rFonts w:cs="Arial"/>
        </w:rPr>
        <w:t>I</w:t>
      </w:r>
      <w:r w:rsidRPr="00952BE5">
        <w:rPr>
          <w:rFonts w:cs="Arial"/>
        </w:rPr>
        <w:t xml:space="preserve">ndividual </w:t>
      </w:r>
      <w:r w:rsidR="002F6E6C">
        <w:rPr>
          <w:rFonts w:cs="Arial"/>
        </w:rPr>
        <w:t xml:space="preserve">estimates of concentration </w:t>
      </w:r>
      <w:r>
        <w:rPr>
          <w:rFonts w:cs="Arial"/>
        </w:rPr>
        <w:t xml:space="preserve">are checked </w:t>
      </w:r>
      <w:r w:rsidRPr="00952BE5">
        <w:rPr>
          <w:rFonts w:cs="Arial"/>
        </w:rPr>
        <w:t xml:space="preserve">against </w:t>
      </w:r>
      <w:r>
        <w:rPr>
          <w:rFonts w:cs="Arial"/>
        </w:rPr>
        <w:t xml:space="preserve">relevant </w:t>
      </w:r>
      <w:r w:rsidRPr="00952BE5">
        <w:rPr>
          <w:rFonts w:cs="Arial"/>
        </w:rPr>
        <w:t xml:space="preserve">water quality </w:t>
      </w:r>
      <w:r w:rsidRPr="00EE3E41">
        <w:rPr>
          <w:rFonts w:cs="Arial"/>
        </w:rPr>
        <w:t xml:space="preserve">guidelines and </w:t>
      </w:r>
      <w:r>
        <w:rPr>
          <w:rFonts w:cs="Arial"/>
        </w:rPr>
        <w:t>exceedances noted</w:t>
      </w:r>
      <w:r w:rsidR="002F6E6C">
        <w:rPr>
          <w:rFonts w:cs="Arial"/>
        </w:rPr>
        <w:t>;</w:t>
      </w:r>
    </w:p>
    <w:p w14:paraId="6157C57E" w14:textId="77777777" w:rsidR="00AC2EB8" w:rsidRPr="00952BE5" w:rsidRDefault="00AC2EB8" w:rsidP="00C57149">
      <w:pPr>
        <w:pStyle w:val="ListParagraph"/>
        <w:numPr>
          <w:ilvl w:val="0"/>
          <w:numId w:val="12"/>
        </w:numPr>
        <w:spacing w:after="160" w:line="276" w:lineRule="auto"/>
        <w:jc w:val="left"/>
        <w:rPr>
          <w:rFonts w:cs="Arial"/>
        </w:rPr>
      </w:pPr>
      <w:r>
        <w:rPr>
          <w:rFonts w:cs="Arial"/>
        </w:rPr>
        <w:t xml:space="preserve">Measured concentrations in a given sample are assessed against a pesticide exposure risk metric which predicts the percentage of photosynthetic species that may be affected by mixtures of PSII herbicides detected. The risk metric </w:t>
      </w:r>
      <w:r w:rsidR="00411C21">
        <w:rPr>
          <w:rFonts w:cs="Arial"/>
        </w:rPr>
        <w:t>used is the multi-substance potentially affected fraction</w:t>
      </w:r>
      <w:r>
        <w:rPr>
          <w:rFonts w:cs="Arial"/>
        </w:rPr>
        <w:t>.</w:t>
      </w:r>
    </w:p>
    <w:p w14:paraId="7F4065C9" w14:textId="7F06068C" w:rsidR="00302628" w:rsidRDefault="00AC2EB8" w:rsidP="00C57149">
      <w:pPr>
        <w:spacing w:line="276" w:lineRule="auto"/>
        <w:contextualSpacing/>
        <w:jc w:val="left"/>
      </w:pPr>
      <w:r>
        <w:lastRenderedPageBreak/>
        <w:t xml:space="preserve">A range of </w:t>
      </w:r>
      <w:r w:rsidRPr="00023322">
        <w:t>pesticides were detected</w:t>
      </w:r>
      <w:r>
        <w:t xml:space="preserve"> at all monitoring sites in </w:t>
      </w:r>
      <w:r w:rsidR="001B73E5">
        <w:t>2017–18</w:t>
      </w:r>
      <w:r w:rsidRPr="00023322">
        <w:t>.</w:t>
      </w:r>
      <w:r>
        <w:t xml:space="preserve"> In</w:t>
      </w:r>
      <w:r w:rsidRPr="00023322">
        <w:t xml:space="preserve"> line with previous monitoring years, diuron, atrazine and hexazinone were the most frequently detected and abundant of the pesticides at most sites</w:t>
      </w:r>
      <w:r>
        <w:t xml:space="preserve">, reflecting their high usage in sugar cane cultivation, which is located along much of the </w:t>
      </w:r>
      <w:r w:rsidR="00302628">
        <w:t xml:space="preserve">Great Barrier Reef </w:t>
      </w:r>
      <w:r>
        <w:t>coastline</w:t>
      </w:r>
      <w:r w:rsidRPr="00023322">
        <w:t xml:space="preserve">. Maximum concentrations of these three herbicides </w:t>
      </w:r>
      <w:r>
        <w:t>(778</w:t>
      </w:r>
      <w:r w:rsidR="00961C35">
        <w:t> ng L</w:t>
      </w:r>
      <w:r w:rsidR="00A209AA" w:rsidRPr="00A209AA">
        <w:rPr>
          <w:vertAlign w:val="superscript"/>
        </w:rPr>
        <w:noBreakHyphen/>
        <w:t>1</w:t>
      </w:r>
      <w:r>
        <w:t>, 405</w:t>
      </w:r>
      <w:r w:rsidR="00961C35">
        <w:t> ng L</w:t>
      </w:r>
      <w:r w:rsidR="00A209AA" w:rsidRPr="00A209AA">
        <w:rPr>
          <w:vertAlign w:val="superscript"/>
        </w:rPr>
        <w:noBreakHyphen/>
        <w:t>1</w:t>
      </w:r>
      <w:r>
        <w:t xml:space="preserve"> and 134</w:t>
      </w:r>
      <w:r w:rsidR="00961C35">
        <w:t> ng L</w:t>
      </w:r>
      <w:r w:rsidR="00A209AA" w:rsidRPr="00A209AA">
        <w:rPr>
          <w:vertAlign w:val="superscript"/>
        </w:rPr>
        <w:noBreakHyphen/>
        <w:t>1</w:t>
      </w:r>
      <w:r>
        <w:t xml:space="preserve">) all </w:t>
      </w:r>
      <w:r w:rsidRPr="00023322">
        <w:t>occurred at Round Top Island</w:t>
      </w:r>
      <w:r>
        <w:t xml:space="preserve"> (Mackay Whitsunday region), which typically experiences the highest pesticide concentrations of this monitoring program</w:t>
      </w:r>
      <w:r w:rsidRPr="00023322">
        <w:t xml:space="preserve">. </w:t>
      </w:r>
    </w:p>
    <w:p w14:paraId="648DC940" w14:textId="77777777" w:rsidR="00302628" w:rsidRDefault="00302628" w:rsidP="00C57149">
      <w:pPr>
        <w:spacing w:line="276" w:lineRule="auto"/>
        <w:contextualSpacing/>
        <w:jc w:val="left"/>
      </w:pPr>
    </w:p>
    <w:p w14:paraId="2E6E988F" w14:textId="77777777" w:rsidR="00AC2EB8" w:rsidRDefault="00AC2EB8" w:rsidP="00C57149">
      <w:pPr>
        <w:spacing w:line="276" w:lineRule="auto"/>
        <w:contextualSpacing/>
        <w:jc w:val="left"/>
      </w:pPr>
      <w:r>
        <w:t>Region-specific differences in pesticide profiles have emerged over time. D</w:t>
      </w:r>
      <w:r w:rsidRPr="00023322">
        <w:t xml:space="preserve">iuron </w:t>
      </w:r>
      <w:r>
        <w:t xml:space="preserve">typically </w:t>
      </w:r>
      <w:r w:rsidRPr="00023322">
        <w:t>dominat</w:t>
      </w:r>
      <w:r>
        <w:t>es</w:t>
      </w:r>
      <w:r w:rsidRPr="00023322">
        <w:t xml:space="preserve"> the </w:t>
      </w:r>
      <w:r>
        <w:t xml:space="preserve">pesticide </w:t>
      </w:r>
      <w:r w:rsidRPr="00023322">
        <w:t>profile at sites</w:t>
      </w:r>
      <w:r>
        <w:t xml:space="preserve"> located in the Wet Tropics and Mackay Whitsundays regions</w:t>
      </w:r>
      <w:r w:rsidRPr="00023322">
        <w:t xml:space="preserve">, atrazine </w:t>
      </w:r>
      <w:r>
        <w:t>(and its metabolites) dominates the profile at</w:t>
      </w:r>
      <w:r w:rsidRPr="00023322">
        <w:t xml:space="preserve"> Barratta Creek (Burdekin region)</w:t>
      </w:r>
      <w:r>
        <w:t xml:space="preserve"> and t</w:t>
      </w:r>
      <w:r w:rsidRPr="00023322">
        <w:t xml:space="preserve">ebuthiuron </w:t>
      </w:r>
      <w:r>
        <w:t>is almost</w:t>
      </w:r>
      <w:r w:rsidRPr="00023322">
        <w:t xml:space="preserve"> exclusively detected at North Keppel Island (Fitzroy </w:t>
      </w:r>
      <w:r>
        <w:t>region</w:t>
      </w:r>
      <w:r w:rsidRPr="00023322">
        <w:t xml:space="preserve">). </w:t>
      </w:r>
    </w:p>
    <w:p w14:paraId="63DF6689" w14:textId="77777777" w:rsidR="00302628" w:rsidRDefault="00302628" w:rsidP="00C57149">
      <w:pPr>
        <w:spacing w:line="276" w:lineRule="auto"/>
        <w:contextualSpacing/>
        <w:jc w:val="left"/>
      </w:pPr>
    </w:p>
    <w:p w14:paraId="0C6D85A4" w14:textId="2C1FA469" w:rsidR="00171219" w:rsidRDefault="00171219" w:rsidP="00C57149">
      <w:pPr>
        <w:spacing w:line="276" w:lineRule="auto"/>
        <w:contextualSpacing/>
        <w:jc w:val="left"/>
      </w:pPr>
      <w:r w:rsidRPr="001B6DA9">
        <w:rPr>
          <w:rFonts w:cs="Arial"/>
        </w:rPr>
        <w:t xml:space="preserve">No individual exceedances of the </w:t>
      </w:r>
      <w:r w:rsidRPr="001B6DA9">
        <w:t xml:space="preserve">current </w:t>
      </w:r>
      <w:r>
        <w:t xml:space="preserve">marine trigger values (i.e. water quality guideline values) </w:t>
      </w:r>
      <w:r w:rsidRPr="001B6DA9">
        <w:rPr>
          <w:rFonts w:cs="Arial"/>
        </w:rPr>
        <w:t xml:space="preserve">were detected </w:t>
      </w:r>
      <w:r w:rsidR="001807F9">
        <w:rPr>
          <w:rFonts w:cs="Arial"/>
        </w:rPr>
        <w:t>although</w:t>
      </w:r>
      <w:r>
        <w:rPr>
          <w:rFonts w:cs="Arial"/>
        </w:rPr>
        <w:t xml:space="preserve"> these values are undergoing a review. </w:t>
      </w:r>
      <w:r w:rsidR="009C34F1">
        <w:rPr>
          <w:rFonts w:cs="Arial"/>
        </w:rPr>
        <w:t xml:space="preserve">Assessment against </w:t>
      </w:r>
      <w:r w:rsidR="00490F5E">
        <w:rPr>
          <w:rFonts w:cs="Arial"/>
        </w:rPr>
        <w:t xml:space="preserve">the proposed aquatic ecosystem protection guideline values </w:t>
      </w:r>
      <w:r w:rsidRPr="001B6DA9">
        <w:t xml:space="preserve">(levels </w:t>
      </w:r>
      <w:r>
        <w:t>determined to</w:t>
      </w:r>
      <w:r w:rsidRPr="001B6DA9">
        <w:t xml:space="preserve"> protect 99</w:t>
      </w:r>
      <w:r w:rsidR="002439C8">
        <w:t xml:space="preserve"> per cent</w:t>
      </w:r>
      <w:r w:rsidRPr="001B6DA9">
        <w:t xml:space="preserve"> of marine species)</w:t>
      </w:r>
      <w:r w:rsidR="001807F9">
        <w:t xml:space="preserve"> </w:t>
      </w:r>
      <w:r>
        <w:t xml:space="preserve">would </w:t>
      </w:r>
      <w:r w:rsidR="00411C21">
        <w:t xml:space="preserve">however </w:t>
      </w:r>
      <w:r w:rsidR="00490F5E">
        <w:t>result in</w:t>
      </w:r>
      <w:r>
        <w:t xml:space="preserve"> </w:t>
      </w:r>
      <w:r w:rsidR="00350FE6">
        <w:t>two</w:t>
      </w:r>
      <w:r>
        <w:t xml:space="preserve"> instances of exceedance, </w:t>
      </w:r>
      <w:r w:rsidR="00350FE6">
        <w:t>both</w:t>
      </w:r>
      <w:r w:rsidRPr="00302628">
        <w:t xml:space="preserve"> </w:t>
      </w:r>
      <w:r>
        <w:t>from passive samplers located at Round Top Island, in the Mackay Whitsunday region</w:t>
      </w:r>
      <w:r w:rsidR="00350FE6">
        <w:t xml:space="preserve"> and both for diuron</w:t>
      </w:r>
      <w:r>
        <w:t>:</w:t>
      </w:r>
      <w:r w:rsidR="00613FB8">
        <w:t xml:space="preserve"> </w:t>
      </w:r>
      <w:r w:rsidR="004C1E18">
        <w:t xml:space="preserve">778 and 531 </w:t>
      </w:r>
      <w:r w:rsidR="004C1E18" w:rsidRPr="00585850">
        <w:rPr>
          <w:lang w:val="en-AU"/>
        </w:rPr>
        <w:t xml:space="preserve">compared to the proposed </w:t>
      </w:r>
      <w:r w:rsidR="00613FB8" w:rsidRPr="00E9556D">
        <w:rPr>
          <w:lang w:val="en-AU"/>
        </w:rPr>
        <w:t>value</w:t>
      </w:r>
      <w:r w:rsidR="004C1E18" w:rsidRPr="00E9556D">
        <w:rPr>
          <w:lang w:val="en-AU"/>
        </w:rPr>
        <w:t xml:space="preserve"> of </w:t>
      </w:r>
      <w:r w:rsidR="00FE3D0A">
        <w:rPr>
          <w:lang w:val="en-AU"/>
        </w:rPr>
        <w:t>430</w:t>
      </w:r>
      <w:r w:rsidR="00961C35">
        <w:rPr>
          <w:lang w:val="en-AU"/>
        </w:rPr>
        <w:t> ng L</w:t>
      </w:r>
      <w:r w:rsidR="00A209AA" w:rsidRPr="00A209AA">
        <w:rPr>
          <w:vertAlign w:val="superscript"/>
          <w:lang w:val="en-AU"/>
        </w:rPr>
        <w:noBreakHyphen/>
        <w:t>1</w:t>
      </w:r>
      <w:r w:rsidR="00613FB8">
        <w:t xml:space="preserve">. </w:t>
      </w:r>
      <w:r>
        <w:t xml:space="preserve">If these values are adopted, the pesticide exposure risk at this site </w:t>
      </w:r>
      <w:r w:rsidR="001267F6">
        <w:t>will</w:t>
      </w:r>
      <w:r>
        <w:t xml:space="preserve"> be</w:t>
      </w:r>
      <w:r w:rsidR="001267F6">
        <w:t xml:space="preserve"> interpreted</w:t>
      </w:r>
      <w:r>
        <w:t xml:space="preserve"> higher</w:t>
      </w:r>
      <w:r w:rsidRPr="00023322">
        <w:t>.</w:t>
      </w:r>
    </w:p>
    <w:p w14:paraId="60AC9F52" w14:textId="77777777" w:rsidR="00171219" w:rsidRDefault="00171219" w:rsidP="00C57149">
      <w:pPr>
        <w:spacing w:line="276" w:lineRule="auto"/>
        <w:contextualSpacing/>
        <w:jc w:val="left"/>
      </w:pPr>
    </w:p>
    <w:p w14:paraId="5968F636" w14:textId="77777777" w:rsidR="00AC2EB8" w:rsidRDefault="00C91647" w:rsidP="00C57149">
      <w:pPr>
        <w:spacing w:line="276" w:lineRule="auto"/>
        <w:contextualSpacing/>
        <w:jc w:val="left"/>
      </w:pPr>
      <w:r>
        <w:t>Also consistent with historical data</w:t>
      </w:r>
      <w:r w:rsidR="00AC2EB8" w:rsidRPr="003823E4">
        <w:t xml:space="preserve">, monitoring sites located in the Mackay Whitsunday region experienced the </w:t>
      </w:r>
      <w:r w:rsidR="00AC2EB8">
        <w:t>greatest risk of toxic effects due to pesticide exposure</w:t>
      </w:r>
      <w:r w:rsidR="00AC2EB8" w:rsidRPr="003823E4">
        <w:t xml:space="preserve">. </w:t>
      </w:r>
      <w:r w:rsidR="001807F9">
        <w:t>Conversely, t</w:t>
      </w:r>
      <w:r w:rsidR="00AC2EB8" w:rsidRPr="003823E4">
        <w:t xml:space="preserve">he Wet Tropics have consistently been at low </w:t>
      </w:r>
      <w:r w:rsidR="001807F9">
        <w:t>risk</w:t>
      </w:r>
      <w:r w:rsidR="00AC2EB8">
        <w:t>, likely due to a number of factors such as higher average rainfall and river runoff (and greater dilution of pesticide concentrations) as well as the adjacent catchment area being less developed for agriculture</w:t>
      </w:r>
      <w:r w:rsidR="00AC2EB8" w:rsidRPr="003823E4">
        <w:t xml:space="preserve">. Grab sampling within both these regions indicated that elevated concentrations were </w:t>
      </w:r>
      <w:r w:rsidR="00AC2EB8">
        <w:t xml:space="preserve">localised near river </w:t>
      </w:r>
      <w:r w:rsidR="00AC2EB8">
        <w:lastRenderedPageBreak/>
        <w:t>mouths and</w:t>
      </w:r>
      <w:r>
        <w:t>, assuming</w:t>
      </w:r>
      <w:r w:rsidR="00AC2EB8" w:rsidRPr="003823E4">
        <w:t xml:space="preserve"> </w:t>
      </w:r>
      <w:r w:rsidR="00AC2EB8" w:rsidRPr="00FA71E8">
        <w:t>conservative mixing</w:t>
      </w:r>
      <w:r w:rsidR="00AC2EB8">
        <w:t xml:space="preserve"> processes, these concentrations decreased with increasing distance from the river mouth</w:t>
      </w:r>
      <w:r w:rsidR="00AC2EB8" w:rsidRPr="003823E4">
        <w:t xml:space="preserve">. </w:t>
      </w:r>
    </w:p>
    <w:p w14:paraId="2ABA6543" w14:textId="77777777" w:rsidR="00302628" w:rsidRPr="003823E4" w:rsidRDefault="00302628" w:rsidP="00C57149">
      <w:pPr>
        <w:spacing w:line="276" w:lineRule="auto"/>
        <w:contextualSpacing/>
        <w:jc w:val="left"/>
      </w:pPr>
    </w:p>
    <w:p w14:paraId="4BCB878B" w14:textId="0D5DEC6C" w:rsidR="00055F99" w:rsidRDefault="00055F99" w:rsidP="00C57149">
      <w:pPr>
        <w:spacing w:line="276" w:lineRule="auto"/>
        <w:contextualSpacing/>
        <w:jc w:val="left"/>
        <w:rPr>
          <w:b/>
        </w:rPr>
      </w:pPr>
      <w:r w:rsidRPr="007D68A5">
        <w:t xml:space="preserve">When pesticide </w:t>
      </w:r>
      <w:r>
        <w:t xml:space="preserve">mixture </w:t>
      </w:r>
      <w:r w:rsidRPr="007D68A5">
        <w:t>concentrations are assessed with the risk metric</w:t>
      </w:r>
      <w:r w:rsidR="00210543">
        <w:t>,</w:t>
      </w:r>
      <w:r w:rsidRPr="007D68A5">
        <w:rPr>
          <w:lang w:eastAsia="en-AU"/>
        </w:rPr>
        <w:t xml:space="preserve"> </w:t>
      </w:r>
      <w:r w:rsidR="00210543">
        <w:rPr>
          <w:lang w:eastAsia="en-AU"/>
        </w:rPr>
        <w:t>a</w:t>
      </w:r>
      <w:r w:rsidRPr="007D68A5">
        <w:t xml:space="preserve">ll sites in the Wet Tropics </w:t>
      </w:r>
      <w:r w:rsidR="00796A5E">
        <w:t xml:space="preserve">(five sites) </w:t>
      </w:r>
      <w:r w:rsidRPr="007D68A5">
        <w:t xml:space="preserve">and at North Keppel Island </w:t>
      </w:r>
      <w:r w:rsidR="00796A5E">
        <w:t xml:space="preserve">(one site) </w:t>
      </w:r>
      <w:r w:rsidRPr="007D68A5">
        <w:t xml:space="preserve">met the </w:t>
      </w:r>
      <w:r w:rsidRPr="007D68A5">
        <w:rPr>
          <w:lang w:eastAsia="en-AU"/>
        </w:rPr>
        <w:t xml:space="preserve">desired </w:t>
      </w:r>
      <w:r>
        <w:t>very low risk</w:t>
      </w:r>
      <w:r w:rsidRPr="007D68A5">
        <w:t>: protective of 99</w:t>
      </w:r>
      <w:r w:rsidR="00411795" w:rsidRPr="00411795">
        <w:t xml:space="preserve"> per cent</w:t>
      </w:r>
      <w:r w:rsidRPr="007D68A5">
        <w:t xml:space="preserve"> of species (i.e. less than 1</w:t>
      </w:r>
      <w:r w:rsidR="00411795" w:rsidRPr="00411795">
        <w:t xml:space="preserve"> per cent</w:t>
      </w:r>
      <w:r w:rsidRPr="007D68A5">
        <w:t xml:space="preserve"> of species are affected)</w:t>
      </w:r>
      <w:r w:rsidR="005D4575">
        <w:t xml:space="preserve"> in 2016-17 and 2017-18</w:t>
      </w:r>
      <w:r w:rsidRPr="007D68A5">
        <w:t xml:space="preserve">. Remaining sites, other than Round Top Island (i.e. Barratta Creek, Repulse Bay, Sandy Creek, and Sarina Inlet) had a mix of </w:t>
      </w:r>
      <w:r>
        <w:t>very low risk</w:t>
      </w:r>
      <w:r w:rsidRPr="007D68A5">
        <w:t>: protective of 99</w:t>
      </w:r>
      <w:r w:rsidR="00411795" w:rsidRPr="00411795">
        <w:t xml:space="preserve"> per cent</w:t>
      </w:r>
      <w:r w:rsidRPr="007D68A5">
        <w:t xml:space="preserve"> of species (i.e. less than 1</w:t>
      </w:r>
      <w:r w:rsidR="00411795" w:rsidRPr="00411795">
        <w:t xml:space="preserve"> per cent</w:t>
      </w:r>
      <w:r w:rsidRPr="007D68A5">
        <w:t xml:space="preserve"> of species are affected) and </w:t>
      </w:r>
      <w:r>
        <w:rPr>
          <w:lang w:eastAsia="en-AU"/>
        </w:rPr>
        <w:t>low risk</w:t>
      </w:r>
      <w:r w:rsidRPr="007D68A5">
        <w:rPr>
          <w:lang w:eastAsia="en-AU"/>
        </w:rPr>
        <w:t>: protective of &gt;95</w:t>
      </w:r>
      <w:r w:rsidR="00411795" w:rsidRPr="00411795">
        <w:rPr>
          <w:lang w:eastAsia="en-AU"/>
        </w:rPr>
        <w:t xml:space="preserve"> per cent</w:t>
      </w:r>
      <w:r w:rsidRPr="007D68A5">
        <w:rPr>
          <w:lang w:eastAsia="en-AU"/>
        </w:rPr>
        <w:t xml:space="preserve"> but &lt;99</w:t>
      </w:r>
      <w:r w:rsidR="00411795" w:rsidRPr="00411795">
        <w:rPr>
          <w:lang w:eastAsia="en-AU"/>
        </w:rPr>
        <w:t xml:space="preserve"> per cent</w:t>
      </w:r>
      <w:r w:rsidRPr="007D68A5">
        <w:rPr>
          <w:lang w:eastAsia="en-AU"/>
        </w:rPr>
        <w:t xml:space="preserve"> of species (or 1 to &lt;5</w:t>
      </w:r>
      <w:r w:rsidR="00411795" w:rsidRPr="00411795">
        <w:rPr>
          <w:lang w:eastAsia="en-AU"/>
        </w:rPr>
        <w:t xml:space="preserve"> per cent</w:t>
      </w:r>
      <w:r w:rsidRPr="007D68A5">
        <w:rPr>
          <w:lang w:eastAsia="en-AU"/>
        </w:rPr>
        <w:t xml:space="preserve"> of species affected). </w:t>
      </w:r>
      <w:r w:rsidRPr="007D68A5">
        <w:t>A</w:t>
      </w:r>
      <w:r w:rsidR="003342C7">
        <w:t>lthough a</w:t>
      </w:r>
      <w:r w:rsidRPr="007D68A5">
        <w:t xml:space="preserve">t Repulse Bay (2016–17) and Sandy Creek (2017–18) </w:t>
      </w:r>
      <w:r w:rsidR="003342C7">
        <w:t xml:space="preserve">limited samples were obtained </w:t>
      </w:r>
      <w:r w:rsidRPr="007D68A5">
        <w:t>due to sampler losses and deployment issues.</w:t>
      </w:r>
      <w:r w:rsidRPr="007D68A5">
        <w:rPr>
          <w:b/>
        </w:rPr>
        <w:t xml:space="preserve"> </w:t>
      </w:r>
      <w:r w:rsidRPr="00692F59">
        <w:t>No data is available for Normanby Island for 2016–17.</w:t>
      </w:r>
      <w:r w:rsidRPr="005B1F86">
        <w:rPr>
          <w:b/>
        </w:rPr>
        <w:t xml:space="preserve"> </w:t>
      </w:r>
    </w:p>
    <w:p w14:paraId="5A1BAEEB" w14:textId="77777777" w:rsidR="00AF2877" w:rsidRDefault="00AF2877" w:rsidP="00C57149">
      <w:pPr>
        <w:spacing w:line="276" w:lineRule="auto"/>
        <w:contextualSpacing/>
        <w:jc w:val="left"/>
        <w:rPr>
          <w:b/>
        </w:rPr>
      </w:pPr>
    </w:p>
    <w:p w14:paraId="73125BE3" w14:textId="77777777" w:rsidR="00AF2877" w:rsidRPr="007D68A5" w:rsidRDefault="00AF2877" w:rsidP="00C57149">
      <w:pPr>
        <w:spacing w:line="276" w:lineRule="auto"/>
        <w:contextualSpacing/>
        <w:jc w:val="left"/>
        <w:rPr>
          <w:lang w:eastAsia="en-AU"/>
        </w:rPr>
      </w:pPr>
      <w:r w:rsidRPr="007D68A5">
        <w:rPr>
          <w:lang w:eastAsia="en-AU"/>
        </w:rPr>
        <w:t xml:space="preserve">Round Top Island </w:t>
      </w:r>
      <w:r w:rsidR="003342C7">
        <w:rPr>
          <w:lang w:eastAsia="en-AU"/>
        </w:rPr>
        <w:t>returned</w:t>
      </w:r>
      <w:r w:rsidR="003342C7" w:rsidRPr="007D68A5">
        <w:rPr>
          <w:lang w:eastAsia="en-AU"/>
        </w:rPr>
        <w:t xml:space="preserve"> </w:t>
      </w:r>
      <w:r>
        <w:rPr>
          <w:lang w:eastAsia="en-AU"/>
        </w:rPr>
        <w:t xml:space="preserve">samples </w:t>
      </w:r>
      <w:r w:rsidRPr="007D68A5">
        <w:rPr>
          <w:lang w:eastAsia="en-AU"/>
        </w:rPr>
        <w:t xml:space="preserve">across all </w:t>
      </w:r>
      <w:r>
        <w:rPr>
          <w:lang w:eastAsia="en-AU"/>
        </w:rPr>
        <w:t xml:space="preserve">risk </w:t>
      </w:r>
      <w:r w:rsidRPr="007D68A5">
        <w:rPr>
          <w:lang w:eastAsia="en-AU"/>
        </w:rPr>
        <w:t>categories:</w:t>
      </w:r>
    </w:p>
    <w:p w14:paraId="225C1099" w14:textId="22B30C7C" w:rsidR="00AF2877" w:rsidRPr="007D68A5" w:rsidRDefault="00AF2877" w:rsidP="00C57149">
      <w:pPr>
        <w:pStyle w:val="ListParagraph"/>
        <w:numPr>
          <w:ilvl w:val="0"/>
          <w:numId w:val="33"/>
        </w:numPr>
        <w:spacing w:line="276" w:lineRule="auto"/>
        <w:jc w:val="left"/>
        <w:rPr>
          <w:lang w:eastAsia="en-AU"/>
        </w:rPr>
      </w:pPr>
      <w:r>
        <w:t>Very low risk</w:t>
      </w:r>
      <w:r w:rsidRPr="007D68A5">
        <w:t>: protective of 99</w:t>
      </w:r>
      <w:r w:rsidR="00411795" w:rsidRPr="00411795">
        <w:t xml:space="preserve"> per cent</w:t>
      </w:r>
      <w:r w:rsidRPr="007D68A5">
        <w:t xml:space="preserve"> of species (i.e. less than 1</w:t>
      </w:r>
      <w:r w:rsidR="00411795" w:rsidRPr="00411795">
        <w:t xml:space="preserve"> per cent</w:t>
      </w:r>
      <w:r w:rsidRPr="007D68A5">
        <w:t xml:space="preserve"> of species are affected) </w:t>
      </w:r>
      <w:r w:rsidR="00210543">
        <w:t>–</w:t>
      </w:r>
      <w:r w:rsidR="00210543" w:rsidRPr="007D68A5">
        <w:t xml:space="preserve"> </w:t>
      </w:r>
      <w:r w:rsidRPr="007D68A5">
        <w:t xml:space="preserve">four </w:t>
      </w:r>
      <w:r w:rsidR="00210543">
        <w:t>samplers</w:t>
      </w:r>
    </w:p>
    <w:p w14:paraId="40F57E3F" w14:textId="30D46C94" w:rsidR="00AF2877" w:rsidRPr="007D68A5" w:rsidRDefault="00AF2877" w:rsidP="00C57149">
      <w:pPr>
        <w:pStyle w:val="ListParagraph"/>
        <w:numPr>
          <w:ilvl w:val="0"/>
          <w:numId w:val="33"/>
        </w:numPr>
        <w:spacing w:line="276" w:lineRule="auto"/>
        <w:jc w:val="left"/>
      </w:pPr>
      <w:r>
        <w:t>Low risk</w:t>
      </w:r>
      <w:r w:rsidRPr="007D68A5">
        <w:t>: protective of &gt;95</w:t>
      </w:r>
      <w:r w:rsidR="00411795" w:rsidRPr="00411795">
        <w:t xml:space="preserve"> per cent</w:t>
      </w:r>
      <w:r w:rsidRPr="007D68A5">
        <w:t xml:space="preserve"> but &lt;99</w:t>
      </w:r>
      <w:r w:rsidR="00411795" w:rsidRPr="00411795">
        <w:t xml:space="preserve"> per cent</w:t>
      </w:r>
      <w:r w:rsidRPr="007D68A5">
        <w:t xml:space="preserve"> of species (or 1 to &lt;5</w:t>
      </w:r>
      <w:r w:rsidR="00411795" w:rsidRPr="00411795">
        <w:t xml:space="preserve"> per cent</w:t>
      </w:r>
      <w:r w:rsidRPr="007D68A5">
        <w:t xml:space="preserve"> of species affected) </w:t>
      </w:r>
      <w:r w:rsidR="00210543">
        <w:t>–</w:t>
      </w:r>
      <w:r w:rsidRPr="007D68A5">
        <w:t xml:space="preserve"> one</w:t>
      </w:r>
      <w:r w:rsidR="00210543">
        <w:t xml:space="preserve"> sampler</w:t>
      </w:r>
    </w:p>
    <w:p w14:paraId="24F9075D" w14:textId="15FF5993" w:rsidR="00AF2877" w:rsidRPr="007D68A5" w:rsidRDefault="00AF2877" w:rsidP="00C57149">
      <w:pPr>
        <w:pStyle w:val="ListParagraph"/>
        <w:numPr>
          <w:ilvl w:val="0"/>
          <w:numId w:val="33"/>
        </w:numPr>
        <w:spacing w:line="276" w:lineRule="auto"/>
        <w:jc w:val="left"/>
      </w:pPr>
      <w:r>
        <w:t>Moderate risk</w:t>
      </w:r>
      <w:r w:rsidRPr="007D68A5">
        <w:t>: protective of &gt;90</w:t>
      </w:r>
      <w:r w:rsidR="00411795" w:rsidRPr="00411795">
        <w:t xml:space="preserve"> per cent</w:t>
      </w:r>
      <w:r w:rsidRPr="007D68A5">
        <w:t xml:space="preserve"> but &lt;95</w:t>
      </w:r>
      <w:r w:rsidR="00411795" w:rsidRPr="00411795">
        <w:t xml:space="preserve"> per cent</w:t>
      </w:r>
      <w:r w:rsidRPr="007D68A5">
        <w:t xml:space="preserve"> of species (or 5 to &lt;10</w:t>
      </w:r>
      <w:r w:rsidR="00411795" w:rsidRPr="00411795">
        <w:t xml:space="preserve"> per cent</w:t>
      </w:r>
      <w:r w:rsidRPr="007D68A5">
        <w:t xml:space="preserve"> of species affected) </w:t>
      </w:r>
      <w:r w:rsidR="00210543">
        <w:t>–</w:t>
      </w:r>
      <w:r w:rsidRPr="007D68A5">
        <w:t xml:space="preserve"> two</w:t>
      </w:r>
      <w:r w:rsidR="00210543">
        <w:t xml:space="preserve"> samplers</w:t>
      </w:r>
    </w:p>
    <w:p w14:paraId="009C3169" w14:textId="7159F9B6" w:rsidR="00AF2877" w:rsidRPr="007D68A5" w:rsidRDefault="00AF2877" w:rsidP="00C57149">
      <w:pPr>
        <w:pStyle w:val="ListParagraph"/>
        <w:numPr>
          <w:ilvl w:val="0"/>
          <w:numId w:val="33"/>
        </w:numPr>
        <w:spacing w:line="276" w:lineRule="auto"/>
        <w:jc w:val="left"/>
      </w:pPr>
      <w:r>
        <w:t>High risk</w:t>
      </w:r>
      <w:r w:rsidRPr="007D68A5">
        <w:t>: protective of &gt;80</w:t>
      </w:r>
      <w:r w:rsidR="00411795" w:rsidRPr="00411795">
        <w:t xml:space="preserve"> per cent</w:t>
      </w:r>
      <w:r w:rsidRPr="007D68A5">
        <w:t xml:space="preserve"> but &lt;90</w:t>
      </w:r>
      <w:r w:rsidR="00411795" w:rsidRPr="00411795">
        <w:t xml:space="preserve"> per cent</w:t>
      </w:r>
      <w:r w:rsidRPr="007D68A5">
        <w:t xml:space="preserve"> of species (or 10 to &lt;20</w:t>
      </w:r>
      <w:r w:rsidR="00411795" w:rsidRPr="00411795">
        <w:t xml:space="preserve"> per cent</w:t>
      </w:r>
      <w:r w:rsidRPr="007D68A5">
        <w:t xml:space="preserve"> of species affected) – two</w:t>
      </w:r>
      <w:r w:rsidR="00210543">
        <w:t xml:space="preserve"> samplers</w:t>
      </w:r>
    </w:p>
    <w:p w14:paraId="03204C96" w14:textId="3AE37B9D" w:rsidR="00AF2877" w:rsidRPr="007D68A5" w:rsidRDefault="00AF2877" w:rsidP="00C57149">
      <w:pPr>
        <w:pStyle w:val="ListParagraph"/>
        <w:numPr>
          <w:ilvl w:val="0"/>
          <w:numId w:val="33"/>
        </w:numPr>
        <w:spacing w:after="120" w:line="276" w:lineRule="auto"/>
        <w:jc w:val="left"/>
        <w:rPr>
          <w:lang w:eastAsia="en-AU"/>
        </w:rPr>
      </w:pPr>
      <w:r>
        <w:t>Very high risk</w:t>
      </w:r>
      <w:r w:rsidRPr="007D68A5">
        <w:t>: protective of ≤80</w:t>
      </w:r>
      <w:r w:rsidR="00411795" w:rsidRPr="00411795">
        <w:t xml:space="preserve"> per cent</w:t>
      </w:r>
      <w:r w:rsidRPr="007D68A5">
        <w:t xml:space="preserve"> of species (or ≥20</w:t>
      </w:r>
      <w:r w:rsidR="00411795" w:rsidRPr="00411795">
        <w:t xml:space="preserve"> per cent</w:t>
      </w:r>
      <w:r w:rsidRPr="007D68A5">
        <w:t xml:space="preserve"> of species potentially affected) </w:t>
      </w:r>
      <w:r w:rsidR="00210543">
        <w:t>–</w:t>
      </w:r>
      <w:r w:rsidRPr="007D68A5">
        <w:t xml:space="preserve"> one</w:t>
      </w:r>
      <w:r w:rsidR="00210543">
        <w:t xml:space="preserve"> sampler.</w:t>
      </w:r>
    </w:p>
    <w:p w14:paraId="0926B5E4" w14:textId="77777777" w:rsidR="00055F99" w:rsidRDefault="00055F99" w:rsidP="00C57149">
      <w:pPr>
        <w:spacing w:line="276" w:lineRule="auto"/>
        <w:contextualSpacing/>
        <w:jc w:val="left"/>
        <w:rPr>
          <w:b/>
        </w:rPr>
      </w:pPr>
    </w:p>
    <w:p w14:paraId="2D1CAEED" w14:textId="77777777" w:rsidR="00AC2EB8" w:rsidRDefault="00AC2EB8" w:rsidP="00C57149">
      <w:pPr>
        <w:spacing w:line="276" w:lineRule="auto"/>
        <w:contextualSpacing/>
        <w:jc w:val="left"/>
      </w:pPr>
      <w:r>
        <w:rPr>
          <w:lang w:eastAsia="en-AU"/>
        </w:rPr>
        <w:lastRenderedPageBreak/>
        <w:t>P</w:t>
      </w:r>
      <w:r w:rsidRPr="00023322">
        <w:t xml:space="preserve">ressures </w:t>
      </w:r>
      <w:r>
        <w:t>(i.e. rainfall and subsequent river discharge from rivers influencing passive sampler sites) affecting</w:t>
      </w:r>
      <w:r w:rsidRPr="00023322">
        <w:t xml:space="preserve"> the release of pesticides into the Reef lagoon were highly localised </w:t>
      </w:r>
      <w:r>
        <w:t>this</w:t>
      </w:r>
      <w:r w:rsidRPr="00023322">
        <w:t xml:space="preserve"> year. </w:t>
      </w:r>
      <w:r>
        <w:t>In</w:t>
      </w:r>
      <w:r w:rsidRPr="00023322">
        <w:t xml:space="preserve"> the northern </w:t>
      </w:r>
      <w:r>
        <w:t>regions</w:t>
      </w:r>
      <w:r w:rsidRPr="00023322">
        <w:t xml:space="preserve"> (Wet Tropics</w:t>
      </w:r>
      <w:r>
        <w:t xml:space="preserve"> and Burdekin</w:t>
      </w:r>
      <w:r w:rsidRPr="00023322">
        <w:t>)</w:t>
      </w:r>
      <w:r>
        <w:t>,</w:t>
      </w:r>
      <w:r w:rsidRPr="00023322">
        <w:t xml:space="preserve"> </w:t>
      </w:r>
      <w:r>
        <w:t xml:space="preserve">rainfall was above average in the dry season, and the annual river discharge was </w:t>
      </w:r>
      <w:r w:rsidR="00C91647">
        <w:t xml:space="preserve">high </w:t>
      </w:r>
      <w:r>
        <w:t>compared to the previous monitoring year (</w:t>
      </w:r>
      <w:r w:rsidR="00C91647">
        <w:t xml:space="preserve">for </w:t>
      </w:r>
      <w:r>
        <w:t xml:space="preserve">the fourth consecutive year). Further south, the </w:t>
      </w:r>
      <w:r w:rsidRPr="00023322">
        <w:t xml:space="preserve">Mackay Whitsunday and Fitzroy regions </w:t>
      </w:r>
      <w:r>
        <w:t xml:space="preserve">experienced below-average wet season rainfall, and river discharge in both regions was also significantly lower than the previous year, which </w:t>
      </w:r>
      <w:r w:rsidR="00C91647">
        <w:t xml:space="preserve">was influenced </w:t>
      </w:r>
      <w:r>
        <w:t xml:space="preserve">by high rainfall associated with </w:t>
      </w:r>
      <w:r w:rsidR="00A47643">
        <w:t>c</w:t>
      </w:r>
      <w:r w:rsidRPr="00023322">
        <w:t xml:space="preserve">yclone </w:t>
      </w:r>
      <w:r>
        <w:t>D</w:t>
      </w:r>
      <w:r w:rsidRPr="00023322">
        <w:t xml:space="preserve">ebbie. </w:t>
      </w:r>
    </w:p>
    <w:p w14:paraId="406F830D" w14:textId="77777777" w:rsidR="008E07EF" w:rsidRDefault="008E07EF" w:rsidP="00C57149">
      <w:pPr>
        <w:spacing w:line="276" w:lineRule="auto"/>
        <w:contextualSpacing/>
        <w:jc w:val="left"/>
        <w:rPr>
          <w:lang w:eastAsia="en-AU"/>
        </w:rPr>
      </w:pPr>
    </w:p>
    <w:p w14:paraId="11035900" w14:textId="77777777" w:rsidR="00AC2EB8" w:rsidRDefault="008E07EF" w:rsidP="00C57149">
      <w:pPr>
        <w:spacing w:line="276" w:lineRule="auto"/>
        <w:contextualSpacing/>
        <w:jc w:val="left"/>
      </w:pPr>
      <w:r>
        <w:t xml:space="preserve">Although no exceedances of current guidelines were </w:t>
      </w:r>
      <w:r w:rsidR="00D20312">
        <w:t>detected</w:t>
      </w:r>
      <w:r>
        <w:t>, m</w:t>
      </w:r>
      <w:r w:rsidR="00AC2EB8">
        <w:t xml:space="preserve">aximum </w:t>
      </w:r>
      <w:r w:rsidR="00AC2EB8" w:rsidRPr="00023322">
        <w:t xml:space="preserve">pesticide concentrations at </w:t>
      </w:r>
      <w:r w:rsidR="00AC2EB8">
        <w:t xml:space="preserve">almost all </w:t>
      </w:r>
      <w:r w:rsidR="00AC2EB8" w:rsidRPr="00023322">
        <w:t xml:space="preserve">fixed monitoring sites </w:t>
      </w:r>
      <w:r w:rsidR="00AC2EB8">
        <w:t>were</w:t>
      </w:r>
      <w:r w:rsidR="00AC2EB8" w:rsidRPr="00023322">
        <w:t xml:space="preserve"> higher than the previous monitoring year. </w:t>
      </w:r>
      <w:r w:rsidR="00AC2EB8">
        <w:t>A</w:t>
      </w:r>
      <w:r w:rsidR="00AC2EB8" w:rsidRPr="00023322">
        <w:t>t Round Top Island</w:t>
      </w:r>
      <w:r w:rsidR="00AC2EB8">
        <w:t xml:space="preserve">, the maximum pesticide concentration monitored this year was the highest recorded of any site </w:t>
      </w:r>
      <w:r w:rsidR="00AC2EB8" w:rsidRPr="00023322">
        <w:t xml:space="preserve">since </w:t>
      </w:r>
      <w:r w:rsidR="00AC2EB8">
        <w:t xml:space="preserve">the </w:t>
      </w:r>
      <w:r>
        <w:t xml:space="preserve">Marine Monitoring Program </w:t>
      </w:r>
      <w:r w:rsidR="00AC2EB8">
        <w:t>commenced</w:t>
      </w:r>
      <w:r w:rsidR="00AC2EB8" w:rsidRPr="00023322">
        <w:t xml:space="preserve"> </w:t>
      </w:r>
      <w:r w:rsidR="00AC2EB8">
        <w:t xml:space="preserve">in </w:t>
      </w:r>
      <w:r w:rsidR="00AC2EB8" w:rsidRPr="00023322">
        <w:t xml:space="preserve">2005. </w:t>
      </w:r>
    </w:p>
    <w:p w14:paraId="487A0F38" w14:textId="77777777" w:rsidR="008E07EF" w:rsidRDefault="008E07EF" w:rsidP="00C57149">
      <w:pPr>
        <w:spacing w:line="276" w:lineRule="auto"/>
        <w:contextualSpacing/>
        <w:jc w:val="left"/>
      </w:pPr>
    </w:p>
    <w:p w14:paraId="0DA6B65B" w14:textId="77777777" w:rsidR="00F546E9" w:rsidRDefault="00AC2EB8" w:rsidP="00C57149">
      <w:pPr>
        <w:spacing w:line="276" w:lineRule="auto"/>
        <w:contextualSpacing/>
        <w:jc w:val="left"/>
        <w:rPr>
          <w:rFonts w:eastAsia="Times New Roman" w:cs="Arial"/>
          <w:b/>
          <w:kern w:val="28"/>
          <w:sz w:val="36"/>
          <w:szCs w:val="28"/>
          <w:lang w:val="en-AU" w:bidi="ar-SA"/>
        </w:rPr>
      </w:pPr>
      <w:r w:rsidRPr="00996AC7">
        <w:t xml:space="preserve">Given the high inter- and intra-annual climatic and other pressure variability, meaningful trend comparisons require </w:t>
      </w:r>
      <w:r>
        <w:t>a l</w:t>
      </w:r>
      <w:r w:rsidRPr="00996AC7">
        <w:t>ong term and complete monitoring data</w:t>
      </w:r>
      <w:r>
        <w:t>set</w:t>
      </w:r>
      <w:r w:rsidRPr="00996AC7">
        <w:t xml:space="preserve">. </w:t>
      </w:r>
      <w:r>
        <w:t xml:space="preserve">Only five of the fixed monitoring sites have sampling records that </w:t>
      </w:r>
      <w:r w:rsidR="00C824D8">
        <w:t xml:space="preserve">predate </w:t>
      </w:r>
      <w:r>
        <w:t xml:space="preserve">2009 and </w:t>
      </w:r>
      <w:r w:rsidR="00355EB7" w:rsidRPr="00EE55FB">
        <w:t xml:space="preserve">no trends have been detected yet. </w:t>
      </w:r>
      <w:r w:rsidRPr="00EE55FB">
        <w:t xml:space="preserve">A statistical </w:t>
      </w:r>
      <w:r w:rsidR="00CB6421">
        <w:t>investigation of the data</w:t>
      </w:r>
      <w:r w:rsidR="00CB6421" w:rsidRPr="007178B0">
        <w:t xml:space="preserve"> </w:t>
      </w:r>
      <w:r w:rsidR="00D20312">
        <w:t>has</w:t>
      </w:r>
      <w:r w:rsidR="004B3C14">
        <w:t xml:space="preserve"> commenc</w:t>
      </w:r>
      <w:r w:rsidR="00D20312">
        <w:t>ed</w:t>
      </w:r>
      <w:r w:rsidR="00CB6421">
        <w:t xml:space="preserve"> </w:t>
      </w:r>
      <w:r w:rsidR="00CB6421" w:rsidRPr="00EE55FB">
        <w:t xml:space="preserve">to assess the ability of the program to </w:t>
      </w:r>
      <w:r w:rsidR="00CB6421">
        <w:t xml:space="preserve">trace the effectiveness </w:t>
      </w:r>
      <w:r w:rsidR="00CB6421" w:rsidRPr="007178B0">
        <w:t xml:space="preserve">of </w:t>
      </w:r>
      <w:r w:rsidR="00355EB7" w:rsidRPr="00EE55FB">
        <w:t>the Reef 2050 Water Quality Improvement Plan</w:t>
      </w:r>
      <w:r w:rsidRPr="00D20312">
        <w:t xml:space="preserve">. </w:t>
      </w:r>
      <w:bookmarkEnd w:id="22"/>
      <w:r w:rsidR="00F546E9">
        <w:rPr>
          <w:rFonts w:eastAsia="Times New Roman" w:cs="Arial"/>
          <w:bCs/>
          <w:caps/>
          <w:kern w:val="28"/>
          <w:sz w:val="36"/>
          <w:szCs w:val="28"/>
          <w:lang w:bidi="ar-SA"/>
        </w:rPr>
        <w:br w:type="page"/>
      </w:r>
    </w:p>
    <w:p w14:paraId="4FAE80D2" w14:textId="77777777" w:rsidR="0059608E" w:rsidRPr="00747824" w:rsidRDefault="00747824" w:rsidP="002439C8">
      <w:pPr>
        <w:pStyle w:val="Heading1"/>
        <w:jc w:val="left"/>
      </w:pPr>
      <w:bookmarkStart w:id="23" w:name="_Toc14435672"/>
      <w:r>
        <w:lastRenderedPageBreak/>
        <w:t>Introduction</w:t>
      </w:r>
      <w:bookmarkEnd w:id="23"/>
    </w:p>
    <w:p w14:paraId="7490E83B" w14:textId="6279D39D" w:rsidR="002C6000" w:rsidRDefault="0059608E" w:rsidP="002439C8">
      <w:pPr>
        <w:spacing w:line="276" w:lineRule="auto"/>
        <w:jc w:val="left"/>
        <w:rPr>
          <w:lang w:val="en-AU"/>
        </w:rPr>
      </w:pPr>
      <w:r>
        <w:rPr>
          <w:lang w:val="en-AU"/>
        </w:rPr>
        <w:t xml:space="preserve">The Great Barrier Reef </w:t>
      </w:r>
      <w:r w:rsidR="0015169D">
        <w:rPr>
          <w:lang w:val="en-AU"/>
        </w:rPr>
        <w:t xml:space="preserve">World Heritage </w:t>
      </w:r>
      <w:r>
        <w:rPr>
          <w:lang w:val="en-AU"/>
        </w:rPr>
        <w:t>covers an area of 34</w:t>
      </w:r>
      <w:r w:rsidR="00032228">
        <w:rPr>
          <w:lang w:val="en-AU"/>
        </w:rPr>
        <w:t>8</w:t>
      </w:r>
      <w:r>
        <w:rPr>
          <w:lang w:val="en-AU"/>
        </w:rPr>
        <w:t>,</w:t>
      </w:r>
      <w:r w:rsidR="00032228">
        <w:rPr>
          <w:lang w:val="en-AU"/>
        </w:rPr>
        <w:t>0</w:t>
      </w:r>
      <w:r>
        <w:rPr>
          <w:lang w:val="en-AU"/>
        </w:rPr>
        <w:t>00 km</w:t>
      </w:r>
      <w:r>
        <w:rPr>
          <w:vertAlign w:val="superscript"/>
          <w:lang w:val="en-AU"/>
        </w:rPr>
        <w:t>2</w:t>
      </w:r>
      <w:r w:rsidR="00D11B4B">
        <w:rPr>
          <w:lang w:val="en-AU"/>
        </w:rPr>
        <w:t>,</w:t>
      </w:r>
      <w:r>
        <w:rPr>
          <w:lang w:val="en-AU"/>
        </w:rPr>
        <w:t xml:space="preserve"> </w:t>
      </w:r>
      <w:r w:rsidR="00411795">
        <w:rPr>
          <w:lang w:val="en-AU"/>
        </w:rPr>
        <w:t>extending 2</w:t>
      </w:r>
      <w:r w:rsidR="000E58AD" w:rsidRPr="000E58AD">
        <w:rPr>
          <w:lang w:val="en-AU"/>
        </w:rPr>
        <w:t>000 kilometres along Queensland's coast</w:t>
      </w:r>
      <w:r w:rsidR="000E58AD">
        <w:rPr>
          <w:lang w:val="en-AU"/>
        </w:rPr>
        <w:t xml:space="preserve"> and </w:t>
      </w:r>
      <w:r w:rsidR="00D11B4B" w:rsidRPr="00D11B4B">
        <w:rPr>
          <w:lang w:val="en-AU"/>
        </w:rPr>
        <w:t>from the low water mark along the mainland coast up to 250 kilometres offshore</w:t>
      </w:r>
      <w:r w:rsidR="00D11B4B">
        <w:rPr>
          <w:lang w:val="en-AU"/>
        </w:rPr>
        <w:t xml:space="preserve"> </w:t>
      </w:r>
      <w:r w:rsidR="00D11B4B">
        <w:rPr>
          <w:lang w:val="en-AU"/>
        </w:rPr>
        <w:fldChar w:fldCharType="begin"/>
      </w:r>
      <w:r w:rsidR="0058467F">
        <w:rPr>
          <w:lang w:val="en-AU"/>
        </w:rPr>
        <w:instrText xml:space="preserve"> ADDIN EN.CITE &lt;EndNote&gt;&lt;Cite&gt;&lt;Author&gt;UNESCO&lt;/Author&gt;&lt;Year&gt;1981&lt;/Year&gt;&lt;RecNum&gt;2&lt;/RecNum&gt;&lt;DisplayText&gt;(UNESCO, 1981)&lt;/DisplayText&gt;&lt;record&gt;&lt;rec-number&gt;2&lt;/rec-number&gt;&lt;foreign-keys&gt;&lt;key app="EN" db-id="xtpvpwz0ufxa2me5tv6v2prn2ez5p9atsvtr" timestamp="1539144942"&gt;2&lt;/key&gt;&lt;/foreign-keys&gt;&lt;ref-type name="Web Page"&gt;12&lt;/ref-type&gt;&lt;contributors&gt;&lt;authors&gt;&lt;author&gt;UNESCO&lt;/author&gt;&lt;/authors&gt;&lt;/contributors&gt;&lt;titles&gt;&lt;title&gt;Great Barrier Reef&lt;/title&gt;&lt;/titles&gt;&lt;dates&gt;&lt;year&gt;1981&lt;/year&gt;&lt;/dates&gt;&lt;urls&gt;&lt;related-urls&gt;&lt;url&gt;http://whc.unesco.org/en/list/154&lt;/url&gt;&lt;/related-urls&gt;&lt;/urls&gt;&lt;/record&gt;&lt;/Cite&gt;&lt;/EndNote&gt;</w:instrText>
      </w:r>
      <w:r w:rsidR="00D11B4B">
        <w:rPr>
          <w:lang w:val="en-AU"/>
        </w:rPr>
        <w:fldChar w:fldCharType="separate"/>
      </w:r>
      <w:r w:rsidR="00B33845">
        <w:rPr>
          <w:noProof/>
          <w:lang w:val="en-AU"/>
        </w:rPr>
        <w:t>(UNESCO, 1981)</w:t>
      </w:r>
      <w:r w:rsidR="00D11B4B">
        <w:rPr>
          <w:lang w:val="en-AU"/>
        </w:rPr>
        <w:fldChar w:fldCharType="end"/>
      </w:r>
      <w:r>
        <w:rPr>
          <w:lang w:val="en-AU"/>
        </w:rPr>
        <w:t xml:space="preserve">. </w:t>
      </w:r>
      <w:r w:rsidR="00620D27">
        <w:rPr>
          <w:lang w:val="en-AU"/>
        </w:rPr>
        <w:t>Thirty-five</w:t>
      </w:r>
      <w:r w:rsidR="008F5BBD">
        <w:rPr>
          <w:lang w:val="en-AU"/>
        </w:rPr>
        <w:t xml:space="preserve"> </w:t>
      </w:r>
      <w:r w:rsidR="008F5BBD" w:rsidRPr="008F5BBD">
        <w:rPr>
          <w:lang w:val="en-AU"/>
        </w:rPr>
        <w:t>major rivers</w:t>
      </w:r>
      <w:r w:rsidR="008F5BBD">
        <w:rPr>
          <w:lang w:val="en-AU"/>
        </w:rPr>
        <w:t xml:space="preserve"> within a combined coastal catchment area of</w:t>
      </w:r>
      <w:r w:rsidR="004C0824">
        <w:rPr>
          <w:lang w:val="en-AU"/>
        </w:rPr>
        <w:t xml:space="preserve"> </w:t>
      </w:r>
      <w:r w:rsidR="00B914A5">
        <w:rPr>
          <w:lang w:val="en-AU"/>
        </w:rPr>
        <w:t xml:space="preserve">over </w:t>
      </w:r>
      <w:r w:rsidR="004C0824">
        <w:rPr>
          <w:lang w:val="en-AU"/>
        </w:rPr>
        <w:t>4</w:t>
      </w:r>
      <w:r w:rsidR="00B914A5">
        <w:rPr>
          <w:lang w:val="en-AU"/>
        </w:rPr>
        <w:t>00</w:t>
      </w:r>
      <w:r w:rsidR="004C0824">
        <w:rPr>
          <w:lang w:val="en-AU"/>
        </w:rPr>
        <w:t>,000 km</w:t>
      </w:r>
      <w:r w:rsidR="004C0824" w:rsidRPr="004C0824">
        <w:rPr>
          <w:vertAlign w:val="superscript"/>
          <w:lang w:val="en-AU"/>
        </w:rPr>
        <w:t>2</w:t>
      </w:r>
      <w:r w:rsidR="004C0824">
        <w:rPr>
          <w:lang w:val="en-AU"/>
        </w:rPr>
        <w:t xml:space="preserve"> discharge into the Great Barrier Reef lagoon</w:t>
      </w:r>
      <w:r w:rsidR="00997513">
        <w:rPr>
          <w:lang w:val="en-AU"/>
        </w:rPr>
        <w:t xml:space="preserve"> </w:t>
      </w:r>
      <w:r w:rsidR="00997513">
        <w:rPr>
          <w:lang w:val="en-AU"/>
        </w:rPr>
        <w:fldChar w:fldCharType="begin"/>
      </w:r>
      <w:r w:rsidR="0058467F">
        <w:rPr>
          <w:lang w:val="en-AU"/>
        </w:rPr>
        <w:instrText xml:space="preserve"> ADDIN EN.CITE &lt;EndNote&gt;&lt;Cite&gt;&lt;Author&gt;Brodie&lt;/Author&gt;&lt;Year&gt;2003&lt;/Year&gt;&lt;RecNum&gt;3&lt;/RecNum&gt;&lt;DisplayText&gt;(Brodie et al., 2003)&lt;/DisplayText&gt;&lt;record&gt;&lt;rec-number&gt;3&lt;/rec-number&gt;&lt;foreign-keys&gt;&lt;key app="EN" db-id="xtpvpwz0ufxa2me5tv6v2prn2ez5p9atsvtr" timestamp="1539144942"&gt;3&lt;/key&gt;&lt;/foreign-keys&gt;&lt;ref-type name="Report"&gt;27&lt;/ref-type&gt;&lt;contributors&gt;&lt;authors&gt;&lt;author&gt;Brodie, Jon E&lt;/author&gt;&lt;author&gt;McKergow, Lucy A&lt;/author&gt;&lt;author&gt;Prosser, Ian P&lt;/author&gt;&lt;author&gt;Furnas, Miles&lt;/author&gt;&lt;author&gt;Hughes, Andrew O&lt;/author&gt;&lt;author&gt;Hunter, Heather&lt;/author&gt;&lt;/authors&gt;&lt;/contributors&gt;&lt;titles&gt;&lt;title&gt;Sources of sediment and nutrient exports to the Great Barrier Reef World Heritage Area&lt;/title&gt;&lt;secondary-title&gt;Report. Australian Centre for Tropical Freshwater Research, Townsville, Australia.&lt;/secondary-title&gt;&lt;/titles&gt;&lt;dates&gt;&lt;year&gt;2003&lt;/year&gt;&lt;/dates&gt;&lt;urls&gt;&lt;/urls&gt;&lt;/record&gt;&lt;/Cite&gt;&lt;/EndNote&gt;</w:instrText>
      </w:r>
      <w:r w:rsidR="00997513">
        <w:rPr>
          <w:lang w:val="en-AU"/>
        </w:rPr>
        <w:fldChar w:fldCharType="separate"/>
      </w:r>
      <w:r w:rsidR="00B33845">
        <w:rPr>
          <w:noProof/>
          <w:lang w:val="en-AU"/>
        </w:rPr>
        <w:t>(Brodie et al., 2003)</w:t>
      </w:r>
      <w:r w:rsidR="00997513">
        <w:rPr>
          <w:lang w:val="en-AU"/>
        </w:rPr>
        <w:fldChar w:fldCharType="end"/>
      </w:r>
      <w:r w:rsidR="00997513">
        <w:rPr>
          <w:lang w:val="en-AU"/>
        </w:rPr>
        <w:t>.</w:t>
      </w:r>
      <w:r w:rsidR="004C0824">
        <w:rPr>
          <w:lang w:val="en-AU"/>
        </w:rPr>
        <w:t xml:space="preserve"> </w:t>
      </w:r>
      <w:r w:rsidR="008B29D7">
        <w:rPr>
          <w:lang w:val="en-AU"/>
        </w:rPr>
        <w:t>Poor</w:t>
      </w:r>
      <w:r w:rsidR="008B29D7" w:rsidRPr="00EC33B2">
        <w:rPr>
          <w:lang w:val="en-AU"/>
        </w:rPr>
        <w:t xml:space="preserve"> </w:t>
      </w:r>
      <w:r w:rsidR="00EC33B2" w:rsidRPr="00EC33B2">
        <w:rPr>
          <w:lang w:val="en-AU"/>
        </w:rPr>
        <w:t>quality water entering the Reef lagoon as run-off from adjacent catchments has</w:t>
      </w:r>
      <w:r w:rsidR="00620D27">
        <w:rPr>
          <w:lang w:val="en-AU"/>
        </w:rPr>
        <w:t xml:space="preserve">, however, </w:t>
      </w:r>
      <w:r w:rsidR="00EC33B2" w:rsidRPr="00EC33B2">
        <w:rPr>
          <w:lang w:val="en-AU"/>
        </w:rPr>
        <w:t xml:space="preserve">been identified as a key </w:t>
      </w:r>
      <w:r w:rsidR="00EC33B2">
        <w:rPr>
          <w:lang w:val="en-AU"/>
        </w:rPr>
        <w:t>pressure</w:t>
      </w:r>
      <w:r w:rsidR="00EC33B2" w:rsidRPr="00EC33B2">
        <w:rPr>
          <w:lang w:val="en-AU"/>
        </w:rPr>
        <w:t xml:space="preserve"> on </w:t>
      </w:r>
      <w:r w:rsidR="00110FB7">
        <w:rPr>
          <w:lang w:val="en-AU"/>
        </w:rPr>
        <w:t>the Reef’s</w:t>
      </w:r>
      <w:r w:rsidR="00110FB7" w:rsidRPr="00EC33B2">
        <w:rPr>
          <w:lang w:val="en-AU"/>
        </w:rPr>
        <w:t xml:space="preserve"> </w:t>
      </w:r>
      <w:r w:rsidR="00EC33B2" w:rsidRPr="00EC33B2">
        <w:rPr>
          <w:lang w:val="en-AU"/>
        </w:rPr>
        <w:t>long-term health and resilience</w:t>
      </w:r>
      <w:r w:rsidR="00C034BE">
        <w:rPr>
          <w:lang w:val="en-AU"/>
        </w:rPr>
        <w:t xml:space="preserve"> </w:t>
      </w:r>
      <w:r w:rsidR="00C034BE">
        <w:rPr>
          <w:lang w:val="en-AU"/>
        </w:rPr>
        <w:fldChar w:fldCharType="begin"/>
      </w:r>
      <w:r w:rsidR="0058467F">
        <w:rPr>
          <w:lang w:val="en-AU"/>
        </w:rPr>
        <w:instrText xml:space="preserve"> ADDIN EN.CITE &lt;EndNote&gt;&lt;Cite&gt;&lt;Author&gt;Reef Plan&lt;/Author&gt;&lt;Year&gt;2013&lt;/Year&gt;&lt;RecNum&gt;1&lt;/RecNum&gt;&lt;DisplayText&gt;(Reef Plan, 2013)&lt;/DisplayText&gt;&lt;record&gt;&lt;rec-number&gt;1&lt;/rec-number&gt;&lt;foreign-keys&gt;&lt;key app="EN" db-id="xtpvpwz0ufxa2me5tv6v2prn2ez5p9atsvtr" timestamp="1539144942"&gt;1&lt;/key&gt;&lt;/foreign-keys&gt;&lt;ref-type name="Report"&gt;27&lt;/ref-type&gt;&lt;contributors&gt;&lt;authors&gt;&lt;author&gt;Reef Plan,&lt;/author&gt;&lt;/authors&gt;&lt;/contributors&gt;&lt;titles&gt;&lt;title&gt;Reef Water Quality Protection Plan 2013: Securing the health and resilience of the Great Barrier Reef World Heritage Area and adjacent catchments&lt;/title&gt;&lt;/titles&gt;&lt;dates&gt;&lt;year&gt;2013&lt;/year&gt;&lt;/dates&gt;&lt;pub-location&gt;Reef Water Quality Protection Plan Secretariat, July 2013. Great Barrier Reef Marine Park Authority, Townsville.&lt;/pub-location&gt;&lt;urls&gt;&lt;/urls&gt;&lt;/record&gt;&lt;/Cite&gt;&lt;/EndNote&gt;</w:instrText>
      </w:r>
      <w:r w:rsidR="00C034BE">
        <w:rPr>
          <w:lang w:val="en-AU"/>
        </w:rPr>
        <w:fldChar w:fldCharType="separate"/>
      </w:r>
      <w:r w:rsidR="00B33845">
        <w:rPr>
          <w:noProof/>
          <w:lang w:val="en-AU"/>
        </w:rPr>
        <w:t>(Reef Plan, 2013)</w:t>
      </w:r>
      <w:r w:rsidR="00C034BE">
        <w:rPr>
          <w:lang w:val="en-AU"/>
        </w:rPr>
        <w:fldChar w:fldCharType="end"/>
      </w:r>
      <w:r w:rsidR="00C034BE">
        <w:rPr>
          <w:lang w:val="en-AU"/>
        </w:rPr>
        <w:t>.</w:t>
      </w:r>
      <w:r w:rsidR="00EC33B2">
        <w:rPr>
          <w:lang w:val="en-AU"/>
        </w:rPr>
        <w:t xml:space="preserve"> </w:t>
      </w:r>
      <w:r w:rsidR="008B29D7">
        <w:rPr>
          <w:rFonts w:cs="Arial"/>
          <w:lang w:val="en-AU"/>
        </w:rPr>
        <w:t>Other key pressures</w:t>
      </w:r>
      <w:r w:rsidR="00EE3306">
        <w:rPr>
          <w:rFonts w:cs="Arial"/>
          <w:lang w:val="en-AU"/>
        </w:rPr>
        <w:t xml:space="preserve"> </w:t>
      </w:r>
      <w:r w:rsidR="00EC33B2">
        <w:rPr>
          <w:lang w:val="en-AU"/>
        </w:rPr>
        <w:t>include c</w:t>
      </w:r>
      <w:r w:rsidR="00EC33B2" w:rsidRPr="00EC33B2">
        <w:rPr>
          <w:rFonts w:cs="Arial"/>
          <w:lang w:val="en-AU"/>
        </w:rPr>
        <w:t xml:space="preserve">limate change, </w:t>
      </w:r>
      <w:r w:rsidR="00110FB7">
        <w:rPr>
          <w:rFonts w:cs="Arial"/>
          <w:lang w:val="en-AU"/>
        </w:rPr>
        <w:t>crown</w:t>
      </w:r>
      <w:r w:rsidR="008B29D7">
        <w:rPr>
          <w:rFonts w:cs="Arial"/>
          <w:lang w:val="en-AU"/>
        </w:rPr>
        <w:t>-</w:t>
      </w:r>
      <w:r w:rsidR="00110FB7">
        <w:rPr>
          <w:rFonts w:cs="Arial"/>
          <w:lang w:val="en-AU"/>
        </w:rPr>
        <w:t>of</w:t>
      </w:r>
      <w:r w:rsidR="008B29D7">
        <w:rPr>
          <w:rFonts w:cs="Arial"/>
          <w:lang w:val="en-AU"/>
        </w:rPr>
        <w:t>-</w:t>
      </w:r>
      <w:r w:rsidR="00110FB7">
        <w:rPr>
          <w:rFonts w:cs="Arial"/>
          <w:lang w:val="en-AU"/>
        </w:rPr>
        <w:t xml:space="preserve">thorns starfish, </w:t>
      </w:r>
      <w:r w:rsidR="00EC33B2" w:rsidRPr="00EC33B2">
        <w:rPr>
          <w:rFonts w:cs="Arial"/>
          <w:lang w:val="en-AU"/>
        </w:rPr>
        <w:t xml:space="preserve">coastal development, </w:t>
      </w:r>
      <w:r w:rsidR="00D11B4B">
        <w:rPr>
          <w:rFonts w:cs="Arial"/>
          <w:lang w:val="en-AU"/>
        </w:rPr>
        <w:t>shipping</w:t>
      </w:r>
      <w:r w:rsidR="004011C4">
        <w:rPr>
          <w:rFonts w:cs="Arial"/>
          <w:lang w:val="en-AU"/>
        </w:rPr>
        <w:t xml:space="preserve"> </w:t>
      </w:r>
      <w:r w:rsidR="00EC33B2" w:rsidRPr="00EC33B2">
        <w:rPr>
          <w:rFonts w:cs="Arial"/>
          <w:lang w:val="en-AU"/>
        </w:rPr>
        <w:t xml:space="preserve">and </w:t>
      </w:r>
      <w:r w:rsidR="00EC33B2">
        <w:rPr>
          <w:rFonts w:cs="Arial"/>
          <w:lang w:val="en-AU"/>
        </w:rPr>
        <w:t xml:space="preserve">fishing </w:t>
      </w:r>
      <w:r w:rsidR="00C91BF5">
        <w:rPr>
          <w:lang w:val="en-AU"/>
        </w:rPr>
        <w:fldChar w:fldCharType="begin"/>
      </w:r>
      <w:r w:rsidR="00822F8D">
        <w:rPr>
          <w:lang w:val="en-AU"/>
        </w:rPr>
        <w:instrText xml:space="preserve"> ADDIN EN.CITE &lt;EndNote&gt;&lt;Cite&gt;&lt;Author&gt;GBRMPA&lt;/Author&gt;&lt;Year&gt;2014&lt;/Year&gt;&lt;RecNum&gt;4&lt;/RecNum&gt;&lt;DisplayText&gt;(GBRMPA, 2014a; Hairsine, 2017)&lt;/DisplayText&gt;&lt;record&gt;&lt;rec-number&gt;4&lt;/rec-number&gt;&lt;foreign-keys&gt;&lt;key app="EN" db-id="xtpvpwz0ufxa2me5tv6v2prn2ez5p9atsvtr" timestamp="1539144942"&gt;4&lt;/key&gt;&lt;/foreign-keys&gt;&lt;ref-type name="Report"&gt;27&lt;/ref-type&gt;&lt;contributors&gt;&lt;authors&gt;&lt;author&gt;GBRMPA&lt;/author&gt;&lt;/authors&gt;&lt;/contributors&gt;&lt;titles&gt;&lt;title&gt;Great Barrier Reef Outlook Report 2014&lt;/title&gt;&lt;/titles&gt;&lt;dates&gt;&lt;year&gt;2014&lt;/year&gt;&lt;/dates&gt;&lt;pub-location&gt;Great Barrier Reef Marine Park Authority, Townsville&lt;/pub-location&gt;&lt;urls&gt;&lt;/urls&gt;&lt;/record&gt;&lt;/Cite&gt;&lt;Cite&gt;&lt;Author&gt;Hairsine&lt;/Author&gt;&lt;Year&gt;2017&lt;/Year&gt;&lt;RecNum&gt;5&lt;/RecNum&gt;&lt;record&gt;&lt;rec-number&gt;5&lt;/rec-number&gt;&lt;foreign-keys&gt;&lt;key app="EN" db-id="xtpvpwz0ufxa2me5tv6v2prn2ez5p9atsvtr" timestamp="1539144942"&gt;5&lt;/key&gt;&lt;/foreign-keys&gt;&lt;ref-type name="Journal Article"&gt;17&lt;/ref-type&gt;&lt;contributors&gt;&lt;authors&gt;&lt;author&gt;Hairsine, Peter B&lt;/author&gt;&lt;/authors&gt;&lt;/contributors&gt;&lt;titles&gt;&lt;title&gt;Sediment-related controls on the health of the Great Barrier Reef&lt;/title&gt;&lt;secondary-title&gt;Vadose Zone Journal&lt;/secondary-title&gt;&lt;/titles&gt;&lt;periodical&gt;&lt;full-title&gt;Vadose Zone Journal&lt;/full-title&gt;&lt;/periodical&gt;&lt;volume&gt;16&lt;/volume&gt;&lt;number&gt;12&lt;/number&gt;&lt;dates&gt;&lt;year&gt;2017&lt;/year&gt;&lt;/dates&gt;&lt;isbn&gt;1539-1663&lt;/isbn&gt;&lt;urls&gt;&lt;/urls&gt;&lt;/record&gt;&lt;/Cite&gt;&lt;/EndNote&gt;</w:instrText>
      </w:r>
      <w:r w:rsidR="00C91BF5">
        <w:rPr>
          <w:lang w:val="en-AU"/>
        </w:rPr>
        <w:fldChar w:fldCharType="separate"/>
      </w:r>
      <w:r w:rsidR="00822F8D">
        <w:rPr>
          <w:noProof/>
          <w:lang w:val="en-AU"/>
        </w:rPr>
        <w:t>(GBRMPA, 2014a; Hairsine, 2017)</w:t>
      </w:r>
      <w:r w:rsidR="00C91BF5">
        <w:rPr>
          <w:lang w:val="en-AU"/>
        </w:rPr>
        <w:fldChar w:fldCharType="end"/>
      </w:r>
      <w:r w:rsidR="00EC33B2">
        <w:rPr>
          <w:lang w:val="en-AU"/>
        </w:rPr>
        <w:t xml:space="preserve">. </w:t>
      </w:r>
    </w:p>
    <w:p w14:paraId="762A0782" w14:textId="77777777" w:rsidR="00930572" w:rsidRDefault="00930572" w:rsidP="002439C8">
      <w:pPr>
        <w:spacing w:line="276" w:lineRule="auto"/>
        <w:jc w:val="left"/>
        <w:rPr>
          <w:lang w:val="en-AU"/>
        </w:rPr>
      </w:pPr>
    </w:p>
    <w:p w14:paraId="456EEB9B" w14:textId="77777777" w:rsidR="0015169D" w:rsidRDefault="0015169D" w:rsidP="002439C8">
      <w:pPr>
        <w:pStyle w:val="Heading30"/>
        <w:jc w:val="left"/>
      </w:pPr>
      <w:bookmarkStart w:id="24" w:name="_Toc14435673"/>
      <w:r>
        <w:t>1.1</w:t>
      </w:r>
      <w:r>
        <w:tab/>
        <w:t>Pesticide monitoring in the Marine Monitoring Program</w:t>
      </w:r>
      <w:bookmarkEnd w:id="24"/>
    </w:p>
    <w:p w14:paraId="4B516A02" w14:textId="41590493" w:rsidR="000F6FCD" w:rsidRDefault="000F6FCD" w:rsidP="002439C8">
      <w:pPr>
        <w:spacing w:line="276" w:lineRule="auto"/>
        <w:jc w:val="left"/>
        <w:rPr>
          <w:lang w:val="en-AU"/>
        </w:rPr>
      </w:pPr>
      <w:r>
        <w:rPr>
          <w:lang w:val="en-AU"/>
        </w:rPr>
        <w:t xml:space="preserve">In response to concerns about the impact of land-based run-off on water quality, </w:t>
      </w:r>
      <w:r w:rsidRPr="00E707D8">
        <w:rPr>
          <w:lang w:val="en-AU"/>
        </w:rPr>
        <w:t>the 2003</w:t>
      </w:r>
      <w:r>
        <w:rPr>
          <w:lang w:val="en-AU"/>
        </w:rPr>
        <w:t xml:space="preserve"> </w:t>
      </w:r>
      <w:r w:rsidRPr="00E707D8">
        <w:rPr>
          <w:lang w:val="en-AU"/>
        </w:rPr>
        <w:t>Reef Water Quality Protection Plan (</w:t>
      </w:r>
      <w:r w:rsidR="001C2EBB">
        <w:rPr>
          <w:lang w:val="en-AU"/>
        </w:rPr>
        <w:t>Reef Plan)</w:t>
      </w:r>
      <w:r w:rsidRPr="00814B46">
        <w:rPr>
          <w:lang w:val="en-AU"/>
        </w:rPr>
        <w:t xml:space="preserve"> </w:t>
      </w:r>
      <w:r w:rsidRPr="00E707D8">
        <w:rPr>
          <w:lang w:val="en-AU"/>
        </w:rPr>
        <w:t>was implemented</w:t>
      </w:r>
      <w:r>
        <w:rPr>
          <w:lang w:val="en-AU"/>
        </w:rPr>
        <w:t xml:space="preserve"> by the Australian and Queensland </w:t>
      </w:r>
      <w:r w:rsidR="00C62E4C">
        <w:rPr>
          <w:lang w:val="en-AU"/>
        </w:rPr>
        <w:t xml:space="preserve">governments and </w:t>
      </w:r>
      <w:r w:rsidR="001C2EBB" w:rsidRPr="00E707D8">
        <w:rPr>
          <w:lang w:val="en-AU"/>
        </w:rPr>
        <w:t>updated in 2009</w:t>
      </w:r>
      <w:r w:rsidR="0018079F">
        <w:rPr>
          <w:lang w:val="en-AU"/>
        </w:rPr>
        <w:t xml:space="preserve"> and</w:t>
      </w:r>
      <w:r w:rsidR="00752D6E">
        <w:rPr>
          <w:lang w:val="en-AU"/>
        </w:rPr>
        <w:t xml:space="preserve"> </w:t>
      </w:r>
      <w:r w:rsidR="001C2EBB" w:rsidRPr="00E707D8">
        <w:rPr>
          <w:lang w:val="en-AU"/>
        </w:rPr>
        <w:t>2013</w:t>
      </w:r>
      <w:r w:rsidR="0037553D">
        <w:rPr>
          <w:lang w:val="en-AU"/>
        </w:rPr>
        <w:t xml:space="preserve"> </w:t>
      </w:r>
      <w:r w:rsidR="0037553D">
        <w:rPr>
          <w:lang w:val="en-AU"/>
        </w:rPr>
        <w:fldChar w:fldCharType="begin"/>
      </w:r>
      <w:r w:rsidR="002D0872">
        <w:rPr>
          <w:lang w:val="en-AU"/>
        </w:rPr>
        <w:instrText xml:space="preserve"> ADDIN EN.CITE &lt;EndNote&gt;&lt;Cite&gt;&lt;Author&gt;Reef Plan&lt;/Author&gt;&lt;Year&gt;2009&lt;/Year&gt;&lt;RecNum&gt;20&lt;/RecNum&gt;&lt;DisplayText&gt;(Reef Plan, 2009, 2013)&lt;/DisplayText&gt;&lt;record&gt;&lt;rec-number&gt;20&lt;/rec-number&gt;&lt;foreign-keys&gt;&lt;key app="EN" db-id="xtpvpwz0ufxa2me5tv6v2prn2ez5p9atsvtr" timestamp="1539144943"&gt;20&lt;/key&gt;&lt;/foreign-keys&gt;&lt;ref-type name="Report"&gt;27&lt;/ref-type&gt;&lt;contributors&gt;&lt;authors&gt;&lt;author&gt;Reef Plan,&lt;/author&gt;&lt;/authors&gt;&lt;/contributors&gt;&lt;titles&gt;&lt;title&gt;Reef Water Quality Protection Plan 2009: For catchments adjacent to the Great Barrier Reef World Heritage Area&lt;/title&gt;&lt;/titles&gt;&lt;dates&gt;&lt;year&gt;2009&lt;/year&gt;&lt;/dates&gt;&lt;pub-location&gt;Reef Water Quality Protection Plan Secretariat, September 2009. Great Barrier Reef Marine Park Authority, Townsville.&lt;/pub-location&gt;&lt;urls&gt;&lt;/urls&gt;&lt;/record&gt;&lt;/Cite&gt;&lt;Cite&gt;&lt;Author&gt;Reef Plan&lt;/Author&gt;&lt;Year&gt;2013&lt;/Year&gt;&lt;RecNum&gt;1&lt;/RecNum&gt;&lt;record&gt;&lt;rec-number&gt;1&lt;/rec-number&gt;&lt;foreign-keys&gt;&lt;key app="EN" db-id="xtpvpwz0ufxa2me5tv6v2prn2ez5p9atsvtr" timestamp="1539144942"&gt;1&lt;/key&gt;&lt;/foreign-keys&gt;&lt;ref-type name="Report"&gt;27&lt;/ref-type&gt;&lt;contributors&gt;&lt;authors&gt;&lt;author&gt;Reef Plan,&lt;/author&gt;&lt;/authors&gt;&lt;/contributors&gt;&lt;titles&gt;&lt;title&gt;Reef Water Quality Protection Plan 2013: Securing the health and resilience of the Great Barrier Reef World Heritage Area and adjacent catchments&lt;/title&gt;&lt;/titles&gt;&lt;dates&gt;&lt;year&gt;2013&lt;/year&gt;&lt;/dates&gt;&lt;pub-location&gt;Reef Water Quality Protection Plan Secretariat, July 2013. Great Barrier Reef Marine Park Authority, Townsville.&lt;/pub-location&gt;&lt;urls&gt;&lt;/urls&gt;&lt;/record&gt;&lt;/Cite&gt;&lt;/EndNote&gt;</w:instrText>
      </w:r>
      <w:r w:rsidR="0037553D">
        <w:rPr>
          <w:lang w:val="en-AU"/>
        </w:rPr>
        <w:fldChar w:fldCharType="separate"/>
      </w:r>
      <w:r w:rsidR="002D0872">
        <w:rPr>
          <w:noProof/>
          <w:lang w:val="en-AU"/>
        </w:rPr>
        <w:t>(Reef Plan, 2009, 2013)</w:t>
      </w:r>
      <w:r w:rsidR="0037553D">
        <w:rPr>
          <w:lang w:val="en-AU"/>
        </w:rPr>
        <w:fldChar w:fldCharType="end"/>
      </w:r>
      <w:r w:rsidR="0037553D">
        <w:rPr>
          <w:lang w:val="en-AU"/>
        </w:rPr>
        <w:t xml:space="preserve">. In response to unprecedented pressures such as the mass coral bleaching events in 2016 and 2017 and severe </w:t>
      </w:r>
      <w:r w:rsidR="00FA3D5B">
        <w:rPr>
          <w:lang w:val="en-AU"/>
        </w:rPr>
        <w:t>c</w:t>
      </w:r>
      <w:r w:rsidR="0037553D">
        <w:rPr>
          <w:lang w:val="en-AU"/>
        </w:rPr>
        <w:t>yclone Debbie in 2017, the review of the Reef Plan was brought forward to 2017 to ensure its continued effectiveness</w:t>
      </w:r>
      <w:r w:rsidR="00C06F12">
        <w:rPr>
          <w:lang w:val="en-AU"/>
        </w:rPr>
        <w:t xml:space="preserve">, </w:t>
      </w:r>
      <w:r w:rsidR="0037553D">
        <w:rPr>
          <w:lang w:val="en-AU"/>
        </w:rPr>
        <w:t>which culminated in</w:t>
      </w:r>
      <w:r w:rsidR="00C06F12">
        <w:rPr>
          <w:lang w:val="en-AU"/>
        </w:rPr>
        <w:t xml:space="preserve"> the current version of Reef Plan, </w:t>
      </w:r>
      <w:r w:rsidR="0037553D">
        <w:rPr>
          <w:lang w:val="en-AU"/>
        </w:rPr>
        <w:t xml:space="preserve">known as </w:t>
      </w:r>
      <w:r w:rsidR="00C06F12">
        <w:rPr>
          <w:lang w:val="en-AU"/>
        </w:rPr>
        <w:t>the Reef 2050 Water Quality Improvement Plan</w:t>
      </w:r>
      <w:r w:rsidR="00411795">
        <w:rPr>
          <w:lang w:val="en-AU"/>
        </w:rPr>
        <w:t xml:space="preserve"> (Reef 2050 WQIP) </w:t>
      </w:r>
      <w:r w:rsidR="00E81A88">
        <w:rPr>
          <w:lang w:val="en-AU"/>
        </w:rPr>
        <w:fldChar w:fldCharType="begin"/>
      </w:r>
      <w:r w:rsidR="008003E3">
        <w:rPr>
          <w:lang w:val="en-AU"/>
        </w:rPr>
        <w:instrText xml:space="preserve"> ADDIN EN.CITE &lt;EndNote&gt;&lt;Cite&gt;&lt;Author&gt;Australian and Queensland governments&lt;/Author&gt;&lt;Year&gt;2018&lt;/Year&gt;&lt;RecNum&gt;106&lt;/RecNum&gt;&lt;DisplayText&gt;(Australian and Queensland governments, 2018)&lt;/DisplayText&gt;&lt;record&gt;&lt;rec-number&gt;106&lt;/rec-number&gt;&lt;foreign-keys&gt;&lt;key app="EN" db-id="xtpvpwz0ufxa2me5tv6v2prn2ez5p9atsvtr" timestamp="1539170161"&gt;106&lt;/key&gt;&lt;/foreign-keys&gt;&lt;ref-type name="Report"&gt;27&lt;/ref-type&gt;&lt;contributors&gt;&lt;authors&gt;&lt;author&gt;Australian and Queensland governments,&lt;/author&gt;&lt;/authors&gt;&lt;/contributors&gt;&lt;titles&gt;&lt;title&gt;Reef 2050 Water Quality Improvement Plan 2017 – 2022  &lt;/title&gt;&lt;/titles&gt;&lt;dates&gt;&lt;year&gt;2018&lt;/year&gt;&lt;/dates&gt;&lt;pub-location&gt;State of Queensland&lt;/pub-location&gt;&lt;urls&gt;&lt;related-urls&gt;&lt;url&gt;&lt;style face="underline" font="default" size="100%"&gt;https://www.reefplan.qld.gov.au/about/assets/reef-2050-water-quality-improvement-plan-2017-22.pdf&lt;/style&gt;&lt;/url&gt;&lt;/related-urls&gt;&lt;/urls&gt;&lt;/record&gt;&lt;/Cite&gt;&lt;/EndNote&gt;</w:instrText>
      </w:r>
      <w:r w:rsidR="00E81A88">
        <w:rPr>
          <w:lang w:val="en-AU"/>
        </w:rPr>
        <w:fldChar w:fldCharType="separate"/>
      </w:r>
      <w:r w:rsidR="008003E3">
        <w:rPr>
          <w:noProof/>
          <w:lang w:val="en-AU"/>
        </w:rPr>
        <w:t>(Australian and Queensland governments, 2018)</w:t>
      </w:r>
      <w:r w:rsidR="00E81A88">
        <w:rPr>
          <w:lang w:val="en-AU"/>
        </w:rPr>
        <w:fldChar w:fldCharType="end"/>
      </w:r>
      <w:r>
        <w:rPr>
          <w:lang w:val="en-AU"/>
        </w:rPr>
        <w:t>.</w:t>
      </w:r>
      <w:r w:rsidR="0037553D" w:rsidDel="0037553D">
        <w:rPr>
          <w:lang w:val="en-AU"/>
        </w:rPr>
        <w:t xml:space="preserve"> </w:t>
      </w:r>
    </w:p>
    <w:p w14:paraId="0D5C9A42" w14:textId="77777777" w:rsidR="0059608E" w:rsidRDefault="0059608E" w:rsidP="002439C8">
      <w:pPr>
        <w:spacing w:line="276" w:lineRule="auto"/>
        <w:jc w:val="left"/>
        <w:rPr>
          <w:lang w:val="en-AU"/>
        </w:rPr>
      </w:pPr>
    </w:p>
    <w:p w14:paraId="34968D0D" w14:textId="77777777" w:rsidR="000C78ED" w:rsidRDefault="00A34B87" w:rsidP="002439C8">
      <w:pPr>
        <w:autoSpaceDE w:val="0"/>
        <w:autoSpaceDN w:val="0"/>
        <w:adjustRightInd w:val="0"/>
        <w:spacing w:line="276" w:lineRule="auto"/>
        <w:jc w:val="left"/>
        <w:rPr>
          <w:lang w:val="en-AU"/>
        </w:rPr>
      </w:pPr>
      <w:r>
        <w:rPr>
          <w:lang w:val="en-AU"/>
        </w:rPr>
        <w:t xml:space="preserve">A key difference of the pesticide targets </w:t>
      </w:r>
      <w:r w:rsidR="00C16190">
        <w:rPr>
          <w:lang w:val="en-AU"/>
        </w:rPr>
        <w:t>in the</w:t>
      </w:r>
      <w:r>
        <w:rPr>
          <w:lang w:val="en-AU"/>
        </w:rPr>
        <w:t xml:space="preserve"> </w:t>
      </w:r>
      <w:r w:rsidR="00642A99">
        <w:rPr>
          <w:lang w:val="en-AU"/>
        </w:rPr>
        <w:t xml:space="preserve">Reef </w:t>
      </w:r>
      <w:r w:rsidR="00C06F12">
        <w:rPr>
          <w:lang w:val="en-AU"/>
        </w:rPr>
        <w:t>2050 WQIP</w:t>
      </w:r>
      <w:r w:rsidR="004C262D" w:rsidRPr="003579BB">
        <w:rPr>
          <w:lang w:val="en-AU"/>
        </w:rPr>
        <w:t xml:space="preserve"> </w:t>
      </w:r>
      <w:r>
        <w:rPr>
          <w:lang w:val="en-AU"/>
        </w:rPr>
        <w:t xml:space="preserve">is </w:t>
      </w:r>
      <w:r w:rsidR="00C16190">
        <w:rPr>
          <w:lang w:val="en-AU"/>
        </w:rPr>
        <w:t xml:space="preserve">the move away </w:t>
      </w:r>
      <w:r>
        <w:rPr>
          <w:lang w:val="en-AU"/>
        </w:rPr>
        <w:t xml:space="preserve">from a </w:t>
      </w:r>
      <w:r w:rsidR="00C16190">
        <w:rPr>
          <w:lang w:val="en-AU"/>
        </w:rPr>
        <w:t xml:space="preserve">target to </w:t>
      </w:r>
      <w:r w:rsidR="004C262D" w:rsidRPr="00E707D8">
        <w:rPr>
          <w:lang w:val="en-AU"/>
        </w:rPr>
        <w:t>reduc</w:t>
      </w:r>
      <w:r w:rsidR="00C16190">
        <w:rPr>
          <w:lang w:val="en-AU"/>
        </w:rPr>
        <w:t>e</w:t>
      </w:r>
      <w:r w:rsidR="004C262D" w:rsidRPr="00E707D8">
        <w:rPr>
          <w:lang w:val="en-AU"/>
        </w:rPr>
        <w:t xml:space="preserve"> end-of-catchment pesticide</w:t>
      </w:r>
      <w:r w:rsidR="004C262D">
        <w:rPr>
          <w:lang w:val="en-AU"/>
        </w:rPr>
        <w:t xml:space="preserve"> </w:t>
      </w:r>
      <w:r w:rsidR="004C262D" w:rsidRPr="00E707D8">
        <w:rPr>
          <w:lang w:val="en-AU"/>
        </w:rPr>
        <w:t>loads</w:t>
      </w:r>
      <w:r w:rsidR="00C16190">
        <w:rPr>
          <w:lang w:val="en-AU"/>
        </w:rPr>
        <w:t>,</w:t>
      </w:r>
      <w:r w:rsidR="004C262D" w:rsidRPr="00E707D8">
        <w:rPr>
          <w:lang w:val="en-AU"/>
        </w:rPr>
        <w:t xml:space="preserve"> </w:t>
      </w:r>
      <w:r>
        <w:rPr>
          <w:lang w:val="en-AU"/>
        </w:rPr>
        <w:t xml:space="preserve">to a new target of </w:t>
      </w:r>
      <w:r w:rsidRPr="00A34B87">
        <w:rPr>
          <w:lang w:val="en-AU"/>
        </w:rPr>
        <w:t>protect</w:t>
      </w:r>
      <w:r>
        <w:rPr>
          <w:lang w:val="en-AU"/>
        </w:rPr>
        <w:t>ing</w:t>
      </w:r>
      <w:r w:rsidRPr="00A34B87">
        <w:rPr>
          <w:lang w:val="en-AU"/>
        </w:rPr>
        <w:t xml:space="preserve"> at least 99% of aquatic species at the end-of-catchments</w:t>
      </w:r>
      <w:r>
        <w:rPr>
          <w:lang w:val="en-AU"/>
        </w:rPr>
        <w:t xml:space="preserve"> by 2025.</w:t>
      </w:r>
      <w:r w:rsidR="004C262D">
        <w:rPr>
          <w:lang w:val="en-AU"/>
        </w:rPr>
        <w:t xml:space="preserve"> </w:t>
      </w:r>
      <w:r w:rsidR="007775D3">
        <w:rPr>
          <w:lang w:val="en-AU"/>
        </w:rPr>
        <w:t>T</w:t>
      </w:r>
      <w:r w:rsidR="007775D3">
        <w:rPr>
          <w:rFonts w:cs="Arial"/>
          <w:lang w:val="en-AU"/>
        </w:rPr>
        <w:t xml:space="preserve">he </w:t>
      </w:r>
      <w:r>
        <w:rPr>
          <w:rFonts w:cs="Arial"/>
          <w:lang w:val="en-AU"/>
        </w:rPr>
        <w:t xml:space="preserve">active engagement of communities and land owners to </w:t>
      </w:r>
      <w:r w:rsidR="007775D3">
        <w:rPr>
          <w:rFonts w:cs="Arial"/>
          <w:lang w:val="en-AU"/>
        </w:rPr>
        <w:t xml:space="preserve">implement agricultural </w:t>
      </w:r>
      <w:r w:rsidR="007775D3">
        <w:rPr>
          <w:lang w:val="en-AU"/>
        </w:rPr>
        <w:t>best management practic</w:t>
      </w:r>
      <w:r w:rsidR="008B182F">
        <w:rPr>
          <w:lang w:val="en-AU"/>
        </w:rPr>
        <w:t>e</w:t>
      </w:r>
      <w:r w:rsidR="00D8721C">
        <w:rPr>
          <w:lang w:val="en-AU"/>
        </w:rPr>
        <w:t>s</w:t>
      </w:r>
      <w:r w:rsidR="007775D3">
        <w:rPr>
          <w:lang w:val="en-AU"/>
        </w:rPr>
        <w:t xml:space="preserve"> </w:t>
      </w:r>
      <w:r w:rsidR="007775D3">
        <w:rPr>
          <w:rFonts w:cs="Arial"/>
          <w:lang w:val="en-AU"/>
        </w:rPr>
        <w:t xml:space="preserve">to reduce </w:t>
      </w:r>
      <w:r w:rsidR="007775D3" w:rsidRPr="002912CE">
        <w:rPr>
          <w:rFonts w:cs="Arial"/>
          <w:lang w:val="en-AU"/>
        </w:rPr>
        <w:lastRenderedPageBreak/>
        <w:t>pesticide</w:t>
      </w:r>
      <w:r w:rsidR="007775D3">
        <w:rPr>
          <w:rFonts w:cs="Arial"/>
          <w:lang w:val="en-AU"/>
        </w:rPr>
        <w:t xml:space="preserve"> </w:t>
      </w:r>
      <w:r w:rsidR="008B182F">
        <w:rPr>
          <w:rFonts w:cs="Arial"/>
          <w:lang w:val="en-AU"/>
        </w:rPr>
        <w:t>run</w:t>
      </w:r>
      <w:r w:rsidR="00C16190">
        <w:rPr>
          <w:rFonts w:cs="Arial"/>
          <w:lang w:val="en-AU"/>
        </w:rPr>
        <w:t>-</w:t>
      </w:r>
      <w:r w:rsidR="008B182F">
        <w:rPr>
          <w:rFonts w:cs="Arial"/>
          <w:lang w:val="en-AU"/>
        </w:rPr>
        <w:t>off from agricultural land use</w:t>
      </w:r>
      <w:r>
        <w:rPr>
          <w:rFonts w:cs="Arial"/>
          <w:lang w:val="en-AU"/>
        </w:rPr>
        <w:t xml:space="preserve"> </w:t>
      </w:r>
      <w:r w:rsidR="00D8721C">
        <w:rPr>
          <w:rFonts w:cs="Arial"/>
          <w:lang w:val="en-AU"/>
        </w:rPr>
        <w:t xml:space="preserve">is expected to </w:t>
      </w:r>
      <w:r>
        <w:rPr>
          <w:rFonts w:cs="Arial"/>
          <w:lang w:val="en-AU"/>
        </w:rPr>
        <w:t>delive</w:t>
      </w:r>
      <w:r w:rsidR="00D8721C">
        <w:rPr>
          <w:rFonts w:cs="Arial"/>
          <w:lang w:val="en-AU"/>
        </w:rPr>
        <w:t xml:space="preserve">r this target and </w:t>
      </w:r>
      <w:r w:rsidR="0018079F">
        <w:rPr>
          <w:rFonts w:cs="Arial"/>
          <w:lang w:val="en-AU"/>
        </w:rPr>
        <w:t xml:space="preserve">the </w:t>
      </w:r>
      <w:r w:rsidR="00D8721C">
        <w:rPr>
          <w:rFonts w:cs="Arial"/>
          <w:lang w:val="en-AU"/>
        </w:rPr>
        <w:t>larger objective of improved ecosystem health</w:t>
      </w:r>
      <w:r w:rsidR="00C91E0A">
        <w:rPr>
          <w:rFonts w:cs="Arial"/>
          <w:lang w:val="en-AU"/>
        </w:rPr>
        <w:t>.</w:t>
      </w:r>
      <w:r w:rsidR="000C78ED">
        <w:rPr>
          <w:rFonts w:cs="Arial"/>
          <w:lang w:val="en-AU"/>
        </w:rPr>
        <w:t xml:space="preserve"> </w:t>
      </w:r>
    </w:p>
    <w:p w14:paraId="0EADF29C" w14:textId="77777777" w:rsidR="000C78ED" w:rsidRDefault="000C78ED" w:rsidP="002439C8">
      <w:pPr>
        <w:spacing w:line="276" w:lineRule="auto"/>
        <w:jc w:val="left"/>
        <w:rPr>
          <w:lang w:val="en-AU"/>
        </w:rPr>
      </w:pPr>
    </w:p>
    <w:p w14:paraId="4240F7B4" w14:textId="4D793781" w:rsidR="00356C7D" w:rsidRDefault="009054BA" w:rsidP="002439C8">
      <w:pPr>
        <w:spacing w:line="276" w:lineRule="auto"/>
        <w:jc w:val="left"/>
        <w:rPr>
          <w:lang w:val="en-AU"/>
        </w:rPr>
      </w:pPr>
      <w:r>
        <w:rPr>
          <w:lang w:val="en-AU"/>
        </w:rPr>
        <w:t xml:space="preserve">To monitor the </w:t>
      </w:r>
      <w:r w:rsidR="00A11EFB">
        <w:rPr>
          <w:lang w:val="en-AU"/>
        </w:rPr>
        <w:t>progress towards</w:t>
      </w:r>
      <w:r>
        <w:rPr>
          <w:lang w:val="en-AU"/>
        </w:rPr>
        <w:t xml:space="preserve"> </w:t>
      </w:r>
      <w:r w:rsidR="00E3552D">
        <w:rPr>
          <w:lang w:val="en-AU"/>
        </w:rPr>
        <w:t xml:space="preserve">Reef 2050 </w:t>
      </w:r>
      <w:r w:rsidR="00356C7D">
        <w:rPr>
          <w:lang w:val="en-AU"/>
        </w:rPr>
        <w:t xml:space="preserve">WQIP </w:t>
      </w:r>
      <w:r w:rsidR="00D8721C">
        <w:rPr>
          <w:lang w:val="en-AU"/>
        </w:rPr>
        <w:t>targets</w:t>
      </w:r>
      <w:r>
        <w:rPr>
          <w:lang w:val="en-AU"/>
        </w:rPr>
        <w:t xml:space="preserve">, </w:t>
      </w:r>
      <w:r w:rsidR="00516EA8">
        <w:rPr>
          <w:lang w:val="en-AU"/>
        </w:rPr>
        <w:t xml:space="preserve">the </w:t>
      </w:r>
      <w:r w:rsidR="00516EA8" w:rsidRPr="00516EA8">
        <w:rPr>
          <w:lang w:val="en-AU"/>
        </w:rPr>
        <w:t xml:space="preserve">Paddock to Reef Integrated Monitoring, Modelling and Reporting </w:t>
      </w:r>
      <w:r w:rsidR="00516EA8">
        <w:rPr>
          <w:lang w:val="en-AU"/>
        </w:rPr>
        <w:t>P</w:t>
      </w:r>
      <w:r w:rsidR="00516EA8" w:rsidRPr="00516EA8">
        <w:rPr>
          <w:lang w:val="en-AU"/>
        </w:rPr>
        <w:t xml:space="preserve">rogram </w:t>
      </w:r>
      <w:r w:rsidR="00897F99">
        <w:rPr>
          <w:lang w:val="en-AU"/>
        </w:rPr>
        <w:t xml:space="preserve">(Paddock to Reef Program) </w:t>
      </w:r>
      <w:r w:rsidR="00516EA8" w:rsidRPr="00516EA8">
        <w:rPr>
          <w:lang w:val="en-AU"/>
        </w:rPr>
        <w:t>collect</w:t>
      </w:r>
      <w:r w:rsidR="00A04B2C">
        <w:rPr>
          <w:lang w:val="en-AU"/>
        </w:rPr>
        <w:t>s</w:t>
      </w:r>
      <w:r w:rsidR="00516EA8" w:rsidRPr="00516EA8">
        <w:rPr>
          <w:lang w:val="en-AU"/>
        </w:rPr>
        <w:t xml:space="preserve"> and integrat</w:t>
      </w:r>
      <w:r w:rsidR="00897F99">
        <w:rPr>
          <w:lang w:val="en-AU"/>
        </w:rPr>
        <w:t>e</w:t>
      </w:r>
      <w:r w:rsidR="00A04B2C">
        <w:rPr>
          <w:lang w:val="en-AU"/>
        </w:rPr>
        <w:t>s</w:t>
      </w:r>
      <w:r w:rsidR="00516EA8" w:rsidRPr="00516EA8">
        <w:rPr>
          <w:lang w:val="en-AU"/>
        </w:rPr>
        <w:t xml:space="preserve"> data and information </w:t>
      </w:r>
      <w:r w:rsidR="00516EA8">
        <w:rPr>
          <w:lang w:val="en-AU"/>
        </w:rPr>
        <w:t xml:space="preserve">on the </w:t>
      </w:r>
      <w:r w:rsidR="00897F99">
        <w:rPr>
          <w:lang w:val="en-AU"/>
        </w:rPr>
        <w:t>paddock-</w:t>
      </w:r>
      <w:r w:rsidR="00516EA8">
        <w:rPr>
          <w:lang w:val="en-AU"/>
        </w:rPr>
        <w:t>catchment</w:t>
      </w:r>
      <w:r w:rsidR="00897F99">
        <w:rPr>
          <w:lang w:val="en-AU"/>
        </w:rPr>
        <w:t>-</w:t>
      </w:r>
      <w:r w:rsidR="00516EA8">
        <w:rPr>
          <w:lang w:val="en-AU"/>
        </w:rPr>
        <w:t>marine environment</w:t>
      </w:r>
      <w:r w:rsidR="00897F99">
        <w:rPr>
          <w:lang w:val="en-AU"/>
        </w:rPr>
        <w:t>s</w:t>
      </w:r>
      <w:r w:rsidR="00A04B2C">
        <w:rPr>
          <w:lang w:val="en-AU"/>
        </w:rPr>
        <w:t xml:space="preserve"> adjacent to and within the Marine Park</w:t>
      </w:r>
      <w:r w:rsidR="00BB2F58">
        <w:rPr>
          <w:lang w:val="en-AU"/>
        </w:rPr>
        <w:t xml:space="preserve"> </w:t>
      </w:r>
      <w:r w:rsidR="00997513">
        <w:rPr>
          <w:lang w:val="en-AU"/>
        </w:rPr>
        <w:fldChar w:fldCharType="begin"/>
      </w:r>
      <w:r w:rsidR="0058467F">
        <w:rPr>
          <w:lang w:val="en-AU"/>
        </w:rPr>
        <w:instrText xml:space="preserve"> ADDIN EN.CITE &lt;EndNote&gt;&lt;Cite&gt;&lt;Author&gt;Paddock to Reef&lt;/Author&gt;&lt;Year&gt;2013&lt;/Year&gt;&lt;RecNum&gt;23&lt;/RecNum&gt;&lt;DisplayText&gt;(Paddock to Reef, 2013)&lt;/DisplayText&gt;&lt;record&gt;&lt;rec-number&gt;23&lt;/rec-number&gt;&lt;foreign-keys&gt;&lt;key app="EN" db-id="xtpvpwz0ufxa2me5tv6v2prn2ez5p9atsvtr" timestamp="1539144943"&gt;23&lt;/key&gt;&lt;/foreign-keys&gt;&lt;ref-type name="Web Page"&gt;12&lt;/ref-type&gt;&lt;contributors&gt;&lt;authors&gt;&lt;author&gt;Paddock to Reef,&lt;/author&gt;&lt;/authors&gt;&lt;/contributors&gt;&lt;titles&gt;&lt;title&gt;Paddock to Reef Integrated Monitoring, Modelling and Reporting Program: Reef Water Quality Protection Plan 2013–2018&lt;/title&gt;&lt;/titles&gt;&lt;dates&gt;&lt;year&gt;2013&lt;/year&gt;&lt;/dates&gt;&lt;urls&gt;&lt;related-urls&gt;&lt;url&gt;http://www.reefplan.qld.gov.au/measuring-success/paddock-to-reef/&lt;/url&gt;&lt;/related-urls&gt;&lt;/urls&gt;&lt;/record&gt;&lt;/Cite&gt;&lt;/EndNote&gt;</w:instrText>
      </w:r>
      <w:r w:rsidR="00997513">
        <w:rPr>
          <w:lang w:val="en-AU"/>
        </w:rPr>
        <w:fldChar w:fldCharType="separate"/>
      </w:r>
      <w:r w:rsidR="00B33845">
        <w:rPr>
          <w:noProof/>
          <w:lang w:val="en-AU"/>
        </w:rPr>
        <w:t>(Paddock to Reef, 2013)</w:t>
      </w:r>
      <w:r w:rsidR="00997513">
        <w:rPr>
          <w:lang w:val="en-AU"/>
        </w:rPr>
        <w:fldChar w:fldCharType="end"/>
      </w:r>
      <w:r w:rsidR="00897F99">
        <w:rPr>
          <w:lang w:val="en-AU"/>
        </w:rPr>
        <w:t xml:space="preserve">. </w:t>
      </w:r>
    </w:p>
    <w:p w14:paraId="516B9499" w14:textId="77777777" w:rsidR="00356C7D" w:rsidRDefault="00356C7D" w:rsidP="002439C8">
      <w:pPr>
        <w:spacing w:line="276" w:lineRule="auto"/>
        <w:jc w:val="left"/>
        <w:rPr>
          <w:lang w:val="en-AU"/>
        </w:rPr>
      </w:pPr>
    </w:p>
    <w:p w14:paraId="2730941D" w14:textId="77777777" w:rsidR="00897F99" w:rsidRDefault="00897F99" w:rsidP="002439C8">
      <w:pPr>
        <w:spacing w:line="276" w:lineRule="auto"/>
        <w:jc w:val="left"/>
        <w:rPr>
          <w:lang w:val="en-AU"/>
        </w:rPr>
      </w:pPr>
      <w:r>
        <w:rPr>
          <w:lang w:val="en-AU"/>
        </w:rPr>
        <w:t xml:space="preserve">The </w:t>
      </w:r>
      <w:r w:rsidR="000B6D8A">
        <w:rPr>
          <w:lang w:val="en-AU"/>
        </w:rPr>
        <w:t>Marine Monitoring Program (</w:t>
      </w:r>
      <w:r w:rsidR="0059608E">
        <w:rPr>
          <w:lang w:val="en-AU"/>
        </w:rPr>
        <w:t>MMP</w:t>
      </w:r>
      <w:r w:rsidR="000B6D8A">
        <w:rPr>
          <w:lang w:val="en-AU"/>
        </w:rPr>
        <w:t>)</w:t>
      </w:r>
      <w:r w:rsidR="0059608E" w:rsidRPr="003A34F4">
        <w:t xml:space="preserve"> </w:t>
      </w:r>
      <w:r w:rsidR="000B6D8A">
        <w:t>is the</w:t>
      </w:r>
      <w:r w:rsidR="00E63A83">
        <w:t xml:space="preserve"> component of the Paddock to Reef Program</w:t>
      </w:r>
      <w:r w:rsidR="000B6D8A">
        <w:t xml:space="preserve"> that</w:t>
      </w:r>
      <w:r w:rsidR="00E63A83">
        <w:t xml:space="preserve"> </w:t>
      </w:r>
      <w:r w:rsidR="0059608E" w:rsidRPr="003A34F4">
        <w:rPr>
          <w:lang w:val="en-AU"/>
        </w:rPr>
        <w:t xml:space="preserve">covers </w:t>
      </w:r>
      <w:r w:rsidR="0024150B">
        <w:rPr>
          <w:lang w:val="en-AU"/>
        </w:rPr>
        <w:t xml:space="preserve">monitoring of </w:t>
      </w:r>
      <w:r w:rsidR="0059608E" w:rsidRPr="003A34F4">
        <w:rPr>
          <w:lang w:val="en-AU"/>
        </w:rPr>
        <w:t xml:space="preserve">the </w:t>
      </w:r>
      <w:r w:rsidR="0059608E">
        <w:rPr>
          <w:lang w:val="en-AU"/>
        </w:rPr>
        <w:t>Reef</w:t>
      </w:r>
      <w:r w:rsidR="0024150B">
        <w:rPr>
          <w:lang w:val="en-AU"/>
        </w:rPr>
        <w:t>’s</w:t>
      </w:r>
      <w:r w:rsidR="0059608E" w:rsidRPr="003A34F4">
        <w:rPr>
          <w:lang w:val="en-AU"/>
        </w:rPr>
        <w:t xml:space="preserve"> inshore environment</w:t>
      </w:r>
      <w:r w:rsidR="0024150B">
        <w:rPr>
          <w:lang w:val="en-AU"/>
        </w:rPr>
        <w:t>,</w:t>
      </w:r>
      <w:r w:rsidR="0059608E" w:rsidRPr="003A34F4">
        <w:rPr>
          <w:lang w:val="en-AU"/>
        </w:rPr>
        <w:t xml:space="preserve"> and </w:t>
      </w:r>
      <w:r w:rsidR="0059608E">
        <w:rPr>
          <w:lang w:val="en-AU"/>
        </w:rPr>
        <w:t xml:space="preserve">is a collaborative effort </w:t>
      </w:r>
      <w:r w:rsidR="00C36509">
        <w:rPr>
          <w:lang w:val="en-AU"/>
        </w:rPr>
        <w:t xml:space="preserve">between the Australian Government and </w:t>
      </w:r>
      <w:r w:rsidR="0059608E">
        <w:rPr>
          <w:lang w:val="en-AU"/>
        </w:rPr>
        <w:t>several research</w:t>
      </w:r>
      <w:r>
        <w:rPr>
          <w:lang w:val="en-AU"/>
        </w:rPr>
        <w:t xml:space="preserve"> group</w:t>
      </w:r>
      <w:r w:rsidR="0059608E">
        <w:rPr>
          <w:lang w:val="en-AU"/>
        </w:rPr>
        <w:t>s</w:t>
      </w:r>
      <w:r w:rsidR="00A04B2C">
        <w:rPr>
          <w:lang w:val="en-AU"/>
        </w:rPr>
        <w:t>. The program aims</w:t>
      </w:r>
      <w:r w:rsidR="0059608E">
        <w:rPr>
          <w:lang w:val="en-AU"/>
        </w:rPr>
        <w:t xml:space="preserve"> to assess </w:t>
      </w:r>
      <w:r w:rsidR="0059608E" w:rsidRPr="003A34F4">
        <w:rPr>
          <w:lang w:val="en-AU"/>
        </w:rPr>
        <w:t>long-term changes</w:t>
      </w:r>
      <w:r w:rsidR="0059608E">
        <w:rPr>
          <w:lang w:val="en-AU"/>
        </w:rPr>
        <w:t xml:space="preserve"> (trends)</w:t>
      </w:r>
      <w:r w:rsidR="0059608E" w:rsidRPr="003A34F4">
        <w:rPr>
          <w:lang w:val="en-AU"/>
        </w:rPr>
        <w:t xml:space="preserve"> in the condition of inshore water quality, </w:t>
      </w:r>
      <w:r w:rsidR="00A04B2C">
        <w:rPr>
          <w:lang w:val="en-AU"/>
        </w:rPr>
        <w:t>and</w:t>
      </w:r>
      <w:r w:rsidR="0059608E" w:rsidRPr="00302DC5">
        <w:rPr>
          <w:lang w:val="en-AU"/>
        </w:rPr>
        <w:t xml:space="preserve"> link this to changes in the health</w:t>
      </w:r>
      <w:r w:rsidR="0059608E">
        <w:rPr>
          <w:lang w:val="en-AU"/>
        </w:rPr>
        <w:t xml:space="preserve"> </w:t>
      </w:r>
      <w:r w:rsidR="0059608E" w:rsidRPr="00302DC5">
        <w:rPr>
          <w:lang w:val="en-AU"/>
        </w:rPr>
        <w:t>of key inshore environments (coral reefs and seagrass)</w:t>
      </w:r>
      <w:r w:rsidR="009A471C">
        <w:rPr>
          <w:lang w:val="en-AU"/>
        </w:rPr>
        <w:t xml:space="preserve"> </w:t>
      </w:r>
      <w:r w:rsidR="00997513">
        <w:rPr>
          <w:lang w:val="en-AU"/>
        </w:rPr>
        <w:fldChar w:fldCharType="begin"/>
      </w:r>
      <w:r w:rsidR="0058467F">
        <w:rPr>
          <w:lang w:val="en-AU"/>
        </w:rPr>
        <w:instrText xml:space="preserve"> ADDIN EN.CITE &lt;EndNote&gt;&lt;Cite&gt;&lt;Author&gt;GBRMPA&lt;/Author&gt;&lt;Year&gt;2011&lt;/Year&gt;&lt;RecNum&gt;24&lt;/RecNum&gt;&lt;DisplayText&gt;(GBRMPA, 2011)&lt;/DisplayText&gt;&lt;record&gt;&lt;rec-number&gt;24&lt;/rec-number&gt;&lt;foreign-keys&gt;&lt;key app="EN" db-id="xtpvpwz0ufxa2me5tv6v2prn2ez5p9atsvtr" timestamp="1539144943"&gt;24&lt;/key&gt;&lt;/foreign-keys&gt;&lt;ref-type name="Web Page"&gt;12&lt;/ref-type&gt;&lt;contributors&gt;&lt;authors&gt;&lt;author&gt;GBRMPA,&lt;/author&gt;&lt;/authors&gt;&lt;/contributors&gt;&lt;titles&gt;&lt;title&gt;Marine Monitoring Program&lt;/title&gt;&lt;/titles&gt;&lt;dates&gt;&lt;year&gt;2011&lt;/year&gt;&lt;/dates&gt;&lt;urls&gt;&lt;related-urls&gt;&lt;url&gt;http://www.gbrmpa.gov.au/managing-the-reef/how-the-reefs-managed/reef-2050-marine-monitoring-program&lt;/url&gt;&lt;/related-urls&gt;&lt;/urls&gt;&lt;/record&gt;&lt;/Cite&gt;&lt;/EndNote&gt;</w:instrText>
      </w:r>
      <w:r w:rsidR="00997513">
        <w:rPr>
          <w:lang w:val="en-AU"/>
        </w:rPr>
        <w:fldChar w:fldCharType="separate"/>
      </w:r>
      <w:r w:rsidR="00B33845">
        <w:rPr>
          <w:noProof/>
          <w:lang w:val="en-AU"/>
        </w:rPr>
        <w:t>(GBRMPA, 2011)</w:t>
      </w:r>
      <w:r w:rsidR="00997513">
        <w:rPr>
          <w:lang w:val="en-AU"/>
        </w:rPr>
        <w:fldChar w:fldCharType="end"/>
      </w:r>
      <w:r w:rsidR="00356C7D">
        <w:rPr>
          <w:lang w:val="en-AU"/>
        </w:rPr>
        <w:t>.</w:t>
      </w:r>
    </w:p>
    <w:p w14:paraId="0DAEF0E8" w14:textId="77777777" w:rsidR="0052590C" w:rsidRDefault="0052590C" w:rsidP="002439C8">
      <w:pPr>
        <w:spacing w:line="276" w:lineRule="auto"/>
        <w:jc w:val="left"/>
        <w:rPr>
          <w:lang w:val="en-AU"/>
        </w:rPr>
      </w:pPr>
    </w:p>
    <w:p w14:paraId="0B5CBBFE" w14:textId="77777777" w:rsidR="0059608E" w:rsidRDefault="0059608E" w:rsidP="002439C8">
      <w:pPr>
        <w:spacing w:line="276" w:lineRule="auto"/>
        <w:jc w:val="left"/>
        <w:rPr>
          <w:lang w:val="en-AU"/>
        </w:rPr>
      </w:pPr>
      <w:r>
        <w:rPr>
          <w:lang w:val="en-AU"/>
        </w:rPr>
        <w:t xml:space="preserve">The </w:t>
      </w:r>
      <w:r w:rsidR="007B5B86">
        <w:rPr>
          <w:lang w:val="en-AU"/>
        </w:rPr>
        <w:t xml:space="preserve">specific </w:t>
      </w:r>
      <w:r>
        <w:rPr>
          <w:lang w:val="en-AU"/>
        </w:rPr>
        <w:t>objectives of the</w:t>
      </w:r>
      <w:r w:rsidRPr="00CA13BA">
        <w:rPr>
          <w:lang w:val="en-AU"/>
        </w:rPr>
        <w:t xml:space="preserve"> </w:t>
      </w:r>
      <w:r w:rsidR="001B73E5">
        <w:rPr>
          <w:lang w:val="en-AU"/>
        </w:rPr>
        <w:t xml:space="preserve">2017–18 </w:t>
      </w:r>
      <w:r>
        <w:rPr>
          <w:lang w:val="en-AU"/>
        </w:rPr>
        <w:t xml:space="preserve">pesticide monitoring component of the MMP </w:t>
      </w:r>
      <w:r w:rsidR="008037B0">
        <w:rPr>
          <w:lang w:val="en-AU"/>
        </w:rPr>
        <w:t xml:space="preserve">were </w:t>
      </w:r>
      <w:r>
        <w:rPr>
          <w:lang w:val="en-AU"/>
        </w:rPr>
        <w:t>to</w:t>
      </w:r>
      <w:r w:rsidR="00293857">
        <w:rPr>
          <w:lang w:val="en-AU"/>
        </w:rPr>
        <w:t>:</w:t>
      </w:r>
    </w:p>
    <w:p w14:paraId="7FA4AC3A" w14:textId="77777777" w:rsidR="0059608E" w:rsidRPr="00287D44" w:rsidRDefault="00FA3D5B" w:rsidP="002439C8">
      <w:pPr>
        <w:pStyle w:val="ListParagraph"/>
        <w:numPr>
          <w:ilvl w:val="0"/>
          <w:numId w:val="4"/>
        </w:numPr>
        <w:spacing w:line="276" w:lineRule="auto"/>
        <w:jc w:val="left"/>
        <w:rPr>
          <w:lang w:val="en-AU"/>
        </w:rPr>
      </w:pPr>
      <w:r>
        <w:rPr>
          <w:lang w:val="en-AU"/>
        </w:rPr>
        <w:t>m</w:t>
      </w:r>
      <w:r w:rsidRPr="00287D44">
        <w:rPr>
          <w:lang w:val="en-AU"/>
        </w:rPr>
        <w:t xml:space="preserve">onitor </w:t>
      </w:r>
      <w:r w:rsidR="0059608E" w:rsidRPr="00287D44">
        <w:rPr>
          <w:lang w:val="en-AU"/>
        </w:rPr>
        <w:t xml:space="preserve">and assess trends in inshore concentrations of pesticides against </w:t>
      </w:r>
      <w:r w:rsidR="007E4CA0">
        <w:rPr>
          <w:lang w:val="en-AU"/>
        </w:rPr>
        <w:t>w</w:t>
      </w:r>
      <w:r w:rsidR="0059608E" w:rsidRPr="00287D44">
        <w:rPr>
          <w:lang w:val="en-AU"/>
        </w:rPr>
        <w:t xml:space="preserve">ater </w:t>
      </w:r>
      <w:r w:rsidR="007E4CA0">
        <w:rPr>
          <w:lang w:val="en-AU"/>
        </w:rPr>
        <w:t>q</w:t>
      </w:r>
      <w:r w:rsidR="0059608E" w:rsidRPr="00287D44">
        <w:rPr>
          <w:lang w:val="en-AU"/>
        </w:rPr>
        <w:t xml:space="preserve">uality </w:t>
      </w:r>
      <w:r w:rsidR="007E4CA0">
        <w:rPr>
          <w:lang w:val="en-AU"/>
        </w:rPr>
        <w:t>g</w:t>
      </w:r>
      <w:r w:rsidR="0059608E" w:rsidRPr="00287D44">
        <w:rPr>
          <w:lang w:val="en-AU"/>
        </w:rPr>
        <w:t>uideline</w:t>
      </w:r>
      <w:r w:rsidR="007E4CA0">
        <w:rPr>
          <w:lang w:val="en-AU"/>
        </w:rPr>
        <w:t xml:space="preserve"> value</w:t>
      </w:r>
      <w:r w:rsidR="0059608E" w:rsidRPr="00287D44">
        <w:rPr>
          <w:lang w:val="en-AU"/>
        </w:rPr>
        <w:t xml:space="preserve">s </w:t>
      </w:r>
      <w:r w:rsidR="007E4CA0">
        <w:rPr>
          <w:lang w:val="en-AU"/>
        </w:rPr>
        <w:t>relevant to</w:t>
      </w:r>
      <w:r w:rsidR="0059608E" w:rsidRPr="00287D44">
        <w:rPr>
          <w:lang w:val="en-AU"/>
        </w:rPr>
        <w:t xml:space="preserve"> the </w:t>
      </w:r>
      <w:r w:rsidR="0059608E">
        <w:rPr>
          <w:lang w:val="en-AU"/>
        </w:rPr>
        <w:t>Marine Park</w:t>
      </w:r>
    </w:p>
    <w:p w14:paraId="6B702CAC" w14:textId="77777777" w:rsidR="00FA3D5B" w:rsidRDefault="00FA3D5B" w:rsidP="002439C8">
      <w:pPr>
        <w:pStyle w:val="ListParagraph"/>
        <w:numPr>
          <w:ilvl w:val="0"/>
          <w:numId w:val="4"/>
        </w:numPr>
        <w:spacing w:line="276" w:lineRule="auto"/>
        <w:jc w:val="left"/>
        <w:rPr>
          <w:lang w:val="en-AU"/>
        </w:rPr>
      </w:pPr>
      <w:r>
        <w:rPr>
          <w:lang w:val="en-AU"/>
        </w:rPr>
        <w:t>link inshore concentrations of pesticides and their transport to end of catchment loads.</w:t>
      </w:r>
    </w:p>
    <w:p w14:paraId="496EA936" w14:textId="77777777" w:rsidR="0059608E" w:rsidRDefault="0059608E" w:rsidP="002439C8">
      <w:pPr>
        <w:pStyle w:val="ListParagraph"/>
        <w:spacing w:line="276" w:lineRule="auto"/>
        <w:jc w:val="left"/>
        <w:rPr>
          <w:lang w:val="en-AU"/>
        </w:rPr>
      </w:pPr>
    </w:p>
    <w:p w14:paraId="355E57A8" w14:textId="77777777" w:rsidR="0015169D" w:rsidRDefault="0015169D" w:rsidP="002439C8">
      <w:pPr>
        <w:pStyle w:val="Heading30"/>
        <w:jc w:val="left"/>
      </w:pPr>
      <w:bookmarkStart w:id="25" w:name="_Toc14435674"/>
      <w:r>
        <w:t>1.</w:t>
      </w:r>
      <w:r w:rsidR="0078068F">
        <w:t>2</w:t>
      </w:r>
      <w:r>
        <w:tab/>
        <w:t>The structure of this Report</w:t>
      </w:r>
      <w:bookmarkEnd w:id="25"/>
    </w:p>
    <w:p w14:paraId="7F55961A" w14:textId="4C9216ED" w:rsidR="0015169D" w:rsidRPr="00567407" w:rsidRDefault="00AC3E7C" w:rsidP="002439C8">
      <w:pPr>
        <w:spacing w:line="276" w:lineRule="auto"/>
        <w:jc w:val="left"/>
      </w:pPr>
      <w:r w:rsidRPr="00567407">
        <w:t xml:space="preserve">The next section presents a summary of the program’s </w:t>
      </w:r>
      <w:hyperlink w:anchor="_Methods" w:history="1">
        <w:r w:rsidRPr="00567407">
          <w:rPr>
            <w:rStyle w:val="Hyperlink"/>
            <w:rFonts w:cstheme="minorBidi"/>
            <w:color w:val="auto"/>
            <w:u w:val="none"/>
          </w:rPr>
          <w:t>methods</w:t>
        </w:r>
      </w:hyperlink>
      <w:r w:rsidRPr="00567407">
        <w:t xml:space="preserve">. </w:t>
      </w:r>
      <w:hyperlink w:anchor="_Drivers_and_pressures" w:history="1">
        <w:r w:rsidR="0015169D" w:rsidRPr="00567407">
          <w:rPr>
            <w:rStyle w:val="Hyperlink"/>
            <w:rFonts w:cstheme="minorBidi"/>
            <w:color w:val="auto"/>
            <w:u w:val="none"/>
          </w:rPr>
          <w:t xml:space="preserve">Section </w:t>
        </w:r>
        <w:r w:rsidR="0078068F" w:rsidRPr="00567407">
          <w:rPr>
            <w:rStyle w:val="Hyperlink"/>
            <w:rFonts w:cstheme="minorBidi"/>
            <w:color w:val="auto"/>
            <w:u w:val="none"/>
          </w:rPr>
          <w:fldChar w:fldCharType="begin"/>
        </w:r>
        <w:r w:rsidR="0078068F" w:rsidRPr="00567407">
          <w:rPr>
            <w:rStyle w:val="Hyperlink"/>
            <w:rFonts w:cstheme="minorBidi"/>
            <w:color w:val="auto"/>
            <w:u w:val="none"/>
          </w:rPr>
          <w:instrText xml:space="preserve"> REF _Ref536078125 \r \h </w:instrText>
        </w:r>
        <w:r w:rsidR="002439C8">
          <w:rPr>
            <w:rStyle w:val="Hyperlink"/>
            <w:rFonts w:cstheme="minorBidi"/>
            <w:color w:val="auto"/>
            <w:u w:val="none"/>
          </w:rPr>
          <w:instrText xml:space="preserve"> \* MERGEFORMAT </w:instrText>
        </w:r>
        <w:r w:rsidR="0078068F" w:rsidRPr="00567407">
          <w:rPr>
            <w:rStyle w:val="Hyperlink"/>
            <w:rFonts w:cstheme="minorBidi"/>
            <w:color w:val="auto"/>
            <w:u w:val="none"/>
          </w:rPr>
        </w:r>
        <w:r w:rsidR="0078068F" w:rsidRPr="00567407">
          <w:rPr>
            <w:rStyle w:val="Hyperlink"/>
            <w:rFonts w:cstheme="minorBidi"/>
            <w:color w:val="auto"/>
            <w:u w:val="none"/>
          </w:rPr>
          <w:fldChar w:fldCharType="separate"/>
        </w:r>
        <w:r w:rsidR="00251B46">
          <w:rPr>
            <w:rStyle w:val="Hyperlink"/>
            <w:rFonts w:cstheme="minorBidi"/>
            <w:color w:val="auto"/>
            <w:u w:val="none"/>
          </w:rPr>
          <w:t>3</w:t>
        </w:r>
        <w:r w:rsidR="0078068F" w:rsidRPr="00567407">
          <w:rPr>
            <w:rStyle w:val="Hyperlink"/>
            <w:rFonts w:cstheme="minorBidi"/>
            <w:color w:val="auto"/>
            <w:u w:val="none"/>
          </w:rPr>
          <w:fldChar w:fldCharType="end"/>
        </w:r>
      </w:hyperlink>
      <w:r w:rsidR="0015169D" w:rsidRPr="00567407">
        <w:t xml:space="preserve"> addresses the factors influencing pesticides delivered to marine waters, referred to as drivers and pressures in the Driver-Pressure-State-Impact-Response framework (</w:t>
      </w:r>
      <w:r w:rsidR="0015169D" w:rsidRPr="00567407">
        <w:fldChar w:fldCharType="begin"/>
      </w:r>
      <w:r w:rsidR="0015169D" w:rsidRPr="00567407">
        <w:instrText xml:space="preserve"> REF _Ref536077445 \h </w:instrText>
      </w:r>
      <w:r w:rsidR="0081138D" w:rsidRPr="00567407">
        <w:instrText xml:space="preserve"> \* MERGEFORMAT </w:instrText>
      </w:r>
      <w:r w:rsidR="0015169D" w:rsidRPr="00567407">
        <w:fldChar w:fldCharType="separate"/>
      </w:r>
      <w:r w:rsidR="00251B46" w:rsidRPr="00035468">
        <w:rPr>
          <w:szCs w:val="20"/>
        </w:rPr>
        <w:t>Figure</w:t>
      </w:r>
      <w:r w:rsidR="00251B46" w:rsidRPr="00251B46">
        <w:rPr>
          <w:b/>
          <w:szCs w:val="20"/>
        </w:rPr>
        <w:t xml:space="preserve"> </w:t>
      </w:r>
      <w:r w:rsidR="00251B46" w:rsidRPr="00251B46">
        <w:rPr>
          <w:noProof/>
          <w:szCs w:val="20"/>
        </w:rPr>
        <w:t>1</w:t>
      </w:r>
      <w:r w:rsidR="0015169D" w:rsidRPr="00567407">
        <w:fldChar w:fldCharType="end"/>
      </w:r>
      <w:r w:rsidR="0015169D" w:rsidRPr="00567407">
        <w:t>). The state, or condition and trend of pesticide</w:t>
      </w:r>
      <w:r w:rsidRPr="00567407">
        <w:t xml:space="preserve"> contamination of </w:t>
      </w:r>
      <w:r w:rsidR="0015169D" w:rsidRPr="00567407">
        <w:t xml:space="preserve">marine waters is presented in </w:t>
      </w:r>
      <w:hyperlink w:anchor="_Pesticides_detected_in" w:history="1">
        <w:r w:rsidR="0015169D" w:rsidRPr="00567407">
          <w:rPr>
            <w:rStyle w:val="Hyperlink"/>
            <w:rFonts w:cstheme="minorBidi"/>
            <w:color w:val="auto"/>
            <w:u w:val="none"/>
          </w:rPr>
          <w:t xml:space="preserve">Section </w:t>
        </w:r>
        <w:r w:rsidR="0015169D" w:rsidRPr="00567407">
          <w:rPr>
            <w:rStyle w:val="Hyperlink"/>
            <w:rFonts w:cstheme="minorBidi"/>
            <w:color w:val="auto"/>
            <w:u w:val="none"/>
          </w:rPr>
          <w:fldChar w:fldCharType="begin"/>
        </w:r>
        <w:r w:rsidR="0015169D" w:rsidRPr="00567407">
          <w:rPr>
            <w:rStyle w:val="Hyperlink"/>
            <w:rFonts w:cstheme="minorBidi"/>
            <w:color w:val="auto"/>
            <w:u w:val="none"/>
          </w:rPr>
          <w:instrText xml:space="preserve"> REF _Ref480727193 \n \h </w:instrText>
        </w:r>
        <w:r w:rsidR="002439C8">
          <w:rPr>
            <w:rStyle w:val="Hyperlink"/>
            <w:rFonts w:cstheme="minorBidi"/>
            <w:color w:val="auto"/>
            <w:u w:val="none"/>
          </w:rPr>
          <w:instrText xml:space="preserve"> \* MERGEFORMAT </w:instrText>
        </w:r>
        <w:r w:rsidR="0015169D" w:rsidRPr="00567407">
          <w:rPr>
            <w:rStyle w:val="Hyperlink"/>
            <w:rFonts w:cstheme="minorBidi"/>
            <w:color w:val="auto"/>
            <w:u w:val="none"/>
          </w:rPr>
        </w:r>
        <w:r w:rsidR="0015169D" w:rsidRPr="00567407">
          <w:rPr>
            <w:rStyle w:val="Hyperlink"/>
            <w:rFonts w:cstheme="minorBidi"/>
            <w:color w:val="auto"/>
            <w:u w:val="none"/>
          </w:rPr>
          <w:fldChar w:fldCharType="separate"/>
        </w:r>
        <w:r w:rsidR="00251B46">
          <w:rPr>
            <w:rStyle w:val="Hyperlink"/>
            <w:rFonts w:cstheme="minorBidi"/>
            <w:color w:val="auto"/>
            <w:u w:val="none"/>
          </w:rPr>
          <w:t>4</w:t>
        </w:r>
        <w:r w:rsidR="0015169D" w:rsidRPr="00567407">
          <w:rPr>
            <w:rStyle w:val="Hyperlink"/>
            <w:rFonts w:cstheme="minorBidi"/>
            <w:color w:val="auto"/>
            <w:u w:val="none"/>
          </w:rPr>
          <w:fldChar w:fldCharType="end"/>
        </w:r>
      </w:hyperlink>
      <w:r w:rsidR="0015169D" w:rsidRPr="00567407">
        <w:t xml:space="preserve">, </w:t>
      </w:r>
      <w:r w:rsidRPr="00567407">
        <w:rPr>
          <w:lang w:val="en-AU"/>
        </w:rPr>
        <w:lastRenderedPageBreak/>
        <w:t xml:space="preserve">with historical monitoring data at selected sites since 2005. Results are described by Region in </w:t>
      </w:r>
      <w:hyperlink w:anchor="_Regional_results" w:history="1">
        <w:r w:rsidRPr="00567407">
          <w:rPr>
            <w:rStyle w:val="Hyperlink"/>
            <w:rFonts w:cstheme="minorBidi"/>
            <w:color w:val="auto"/>
            <w:u w:val="none"/>
            <w:lang w:val="en-AU"/>
          </w:rPr>
          <w:t xml:space="preserve">Section </w:t>
        </w:r>
        <w:r w:rsidRPr="00567407">
          <w:rPr>
            <w:rStyle w:val="Hyperlink"/>
            <w:rFonts w:cstheme="minorBidi"/>
            <w:color w:val="auto"/>
            <w:u w:val="none"/>
            <w:lang w:val="en-AU"/>
          </w:rPr>
          <w:fldChar w:fldCharType="begin"/>
        </w:r>
        <w:r w:rsidRPr="00567407">
          <w:rPr>
            <w:rStyle w:val="Hyperlink"/>
            <w:rFonts w:cstheme="minorBidi"/>
            <w:color w:val="auto"/>
            <w:u w:val="none"/>
            <w:lang w:val="en-AU"/>
          </w:rPr>
          <w:instrText xml:space="preserve"> REF _Ref536078471 \r \h </w:instrText>
        </w:r>
        <w:r w:rsidR="002439C8">
          <w:rPr>
            <w:rStyle w:val="Hyperlink"/>
            <w:rFonts w:cstheme="minorBidi"/>
            <w:color w:val="auto"/>
            <w:u w:val="none"/>
            <w:lang w:val="en-AU"/>
          </w:rPr>
          <w:instrText xml:space="preserve"> \* MERGEFORMAT </w:instrText>
        </w:r>
        <w:r w:rsidRPr="00567407">
          <w:rPr>
            <w:rStyle w:val="Hyperlink"/>
            <w:rFonts w:cstheme="minorBidi"/>
            <w:color w:val="auto"/>
            <w:u w:val="none"/>
            <w:lang w:val="en-AU"/>
          </w:rPr>
        </w:r>
        <w:r w:rsidRPr="00567407">
          <w:rPr>
            <w:rStyle w:val="Hyperlink"/>
            <w:rFonts w:cstheme="minorBidi"/>
            <w:color w:val="auto"/>
            <w:u w:val="none"/>
            <w:lang w:val="en-AU"/>
          </w:rPr>
          <w:fldChar w:fldCharType="separate"/>
        </w:r>
        <w:r w:rsidR="00251B46">
          <w:rPr>
            <w:rStyle w:val="Hyperlink"/>
            <w:rFonts w:cstheme="minorBidi"/>
            <w:color w:val="auto"/>
            <w:u w:val="none"/>
            <w:lang w:val="en-AU"/>
          </w:rPr>
          <w:t>0</w:t>
        </w:r>
        <w:r w:rsidRPr="00567407">
          <w:rPr>
            <w:rStyle w:val="Hyperlink"/>
            <w:rFonts w:cstheme="minorBidi"/>
            <w:color w:val="auto"/>
            <w:u w:val="none"/>
            <w:lang w:val="en-AU"/>
          </w:rPr>
          <w:fldChar w:fldCharType="end"/>
        </w:r>
      </w:hyperlink>
      <w:r w:rsidRPr="00567407">
        <w:t>. F</w:t>
      </w:r>
      <w:r w:rsidR="0015169D" w:rsidRPr="00567407">
        <w:t>urther details provided at the regional scales and in the supporting Appendices.</w:t>
      </w:r>
      <w:r w:rsidRPr="00567407">
        <w:t xml:space="preserve"> The reports concludes with a </w:t>
      </w:r>
      <w:hyperlink w:anchor="_Discussion" w:history="1">
        <w:r w:rsidR="00613FB8" w:rsidRPr="00567407">
          <w:rPr>
            <w:rStyle w:val="Hyperlink"/>
            <w:rFonts w:cstheme="minorBidi"/>
            <w:color w:val="auto"/>
            <w:u w:val="none"/>
          </w:rPr>
          <w:t>d</w:t>
        </w:r>
        <w:r w:rsidRPr="00567407">
          <w:rPr>
            <w:rStyle w:val="Hyperlink"/>
            <w:rFonts w:cstheme="minorBidi"/>
            <w:color w:val="auto"/>
            <w:u w:val="none"/>
          </w:rPr>
          <w:t>iscussion</w:t>
        </w:r>
      </w:hyperlink>
      <w:r w:rsidRPr="00567407">
        <w:t xml:space="preserve">, including management </w:t>
      </w:r>
      <w:r w:rsidR="00463CB7" w:rsidRPr="00567407">
        <w:t>relevance</w:t>
      </w:r>
      <w:r w:rsidRPr="00567407">
        <w:t>.</w:t>
      </w:r>
    </w:p>
    <w:p w14:paraId="116C6DFE" w14:textId="77777777" w:rsidR="0015169D" w:rsidRDefault="0015169D" w:rsidP="002439C8">
      <w:pPr>
        <w:spacing w:line="276" w:lineRule="auto"/>
        <w:jc w:val="left"/>
      </w:pPr>
    </w:p>
    <w:p w14:paraId="07C45735" w14:textId="77777777" w:rsidR="0015169D" w:rsidRDefault="0015169D" w:rsidP="002439C8">
      <w:pPr>
        <w:spacing w:after="120" w:line="276" w:lineRule="auto"/>
        <w:ind w:left="709"/>
        <w:jc w:val="left"/>
      </w:pPr>
      <w:r>
        <w:rPr>
          <w:noProof/>
          <w:lang w:val="en-AU" w:eastAsia="en-AU" w:bidi="ar-SA"/>
        </w:rPr>
        <mc:AlternateContent>
          <mc:Choice Requires="wps">
            <w:drawing>
              <wp:anchor distT="0" distB="0" distL="114300" distR="114300" simplePos="0" relativeHeight="251658240" behindDoc="0" locked="0" layoutInCell="1" allowOverlap="1" wp14:anchorId="356683ED" wp14:editId="38DFFE4E">
                <wp:simplePos x="0" y="0"/>
                <wp:positionH relativeFrom="column">
                  <wp:posOffset>4191000</wp:posOffset>
                </wp:positionH>
                <wp:positionV relativeFrom="paragraph">
                  <wp:posOffset>527685</wp:posOffset>
                </wp:positionV>
                <wp:extent cx="629285" cy="344805"/>
                <wp:effectExtent l="0" t="0" r="0" b="0"/>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85" cy="344805"/>
                        </a:xfrm>
                        <a:prstGeom prst="rect">
                          <a:avLst/>
                        </a:prstGeom>
                        <a:solidFill>
                          <a:srgbClr val="FFFFFF"/>
                        </a:solidFill>
                        <a:ln w="9525">
                          <a:noFill/>
                          <a:miter lim="800000"/>
                          <a:headEnd/>
                          <a:tailEnd/>
                        </a:ln>
                      </wps:spPr>
                      <wps:txbx>
                        <w:txbxContent>
                          <w:p w14:paraId="36A1D1D0" w14:textId="77777777" w:rsidR="004E75D5" w:rsidRPr="004A5BF7" w:rsidRDefault="004E75D5" w:rsidP="0015169D">
                            <w:pPr>
                              <w:rPr>
                                <w:color w:val="1F497D" w:themeColor="text2"/>
                                <w:sz w:val="20"/>
                              </w:rPr>
                            </w:pPr>
                            <w:r w:rsidRPr="004A5BF7">
                              <w:rPr>
                                <w:color w:val="1F497D" w:themeColor="text2"/>
                                <w:sz w:val="20"/>
                              </w:rPr>
                              <w:t>Cause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56683ED" id="_x0000_t202" coordsize="21600,21600" o:spt="202" path="m,l,21600r21600,l21600,xe">
                <v:stroke joinstyle="miter"/>
                <v:path gradientshapeok="t" o:connecttype="rect"/>
              </v:shapetype>
              <v:shape id="Text Box 2" o:spid="_x0000_s1026" type="#_x0000_t202" style="position:absolute;left:0;text-align:left;margin-left:330pt;margin-top:41.55pt;width:49.55pt;height:2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eLSIAIAABsEAAAOAAAAZHJzL2Uyb0RvYy54bWysU9tu2zAMfR+wfxD0vtjxki4x4hRdugwD&#10;ugvQ7gMYWY6FSaInKbG7ry8lp2m2vQ3Tg0CJ5NHhIbW6HoxmR+m8Qlvx6STnTFqBtbL7in9/2L5Z&#10;cOYD2Bo0WlnxR+n59fr1q1XflbLAFnUtHSMQ68u+q3gbQldmmRetNOAn2ElLzgadgUBHt89qBz2h&#10;G50VeX6V9ejqzqGQ3tPt7ejk64TfNFKEr03jZWC64sQtpN2lfRf3bL2Ccu+ga5U40YB/YGFAWXr0&#10;DHULAdjBqb+gjBIOPTZhItBk2DRKyFQDVTPN/6jmvoVOplpIHN+dZfL/D1Z8OX5zTNUVL0geC4Z6&#10;9CCHwN7jwIooT9/5kqLuO4oLA11Tm1OpvrtD8cMzi5sW7F7eOId9K6EmetOYmV2kjjg+guz6z1jT&#10;M3AImICGxpmoHanBCJ14PJ5bE6kIurwqlsVizpkg19vZbJHP0wtQPid3zoePEg2LRsUddT6Bw/HO&#10;h0gGyueQ+JZHreqt0jod3H630Y4dgaZkm9YJ/bcwbVlf8eW8mCdkizE/DZBRgaZYK1PxRR5XTIcy&#10;ivHB1skOoPRoExNtT+pEQUZpwrAbKDBKtsP6kXRyOE4r/S4yWnS/OOtpUivufx7ASc70J0taL6ez&#10;WRztdJjN38VGukvP7tIDVhBUxQNno7kJ6TtEvhZvqCeNSnq9MDlxpQlMMp5+Sxzxy3OKevnT6ycA&#10;AAD//wMAUEsDBBQABgAIAAAAIQCUnMMl3wAAAAoBAAAPAAAAZHJzL2Rvd25yZXYueG1sTI/BTsJA&#10;EIbvJr7DZky8GNki0ELplqiJxivIA0zboW3ozjbdhZa3dzzpbSbz5Z/vz3aT7dSVBt86NjCfRaCI&#10;S1e1XBs4fn88r0H5gFxh55gM3MjDLr+/yzCt3Mh7uh5CrSSEfYoGmhD6VGtfNmTRz1xPLLeTGywG&#10;WYdaVwOOEm47/RJFsbbYsnxosKf3hsrz4WINnL7Gp9VmLD7DMdkv4zdsk8LdjHl8mF63oAJN4Q+G&#10;X31Rh1ycCnfhyqvOQBxH0iUYWC/moARIVhsZCiEXyRJ0nun/FfIfAAAA//8DAFBLAQItABQABgAI&#10;AAAAIQC2gziS/gAAAOEBAAATAAAAAAAAAAAAAAAAAAAAAABbQ29udGVudF9UeXBlc10ueG1sUEsB&#10;Ai0AFAAGAAgAAAAhADj9If/WAAAAlAEAAAsAAAAAAAAAAAAAAAAALwEAAF9yZWxzLy5yZWxzUEsB&#10;Ai0AFAAGAAgAAAAhAOjh4tIgAgAAGwQAAA4AAAAAAAAAAAAAAAAALgIAAGRycy9lMm9Eb2MueG1s&#10;UEsBAi0AFAAGAAgAAAAhAJScwyXfAAAACgEAAA8AAAAAAAAAAAAAAAAAegQAAGRycy9kb3ducmV2&#10;LnhtbFBLBQYAAAAABAAEAPMAAACGBQAAAAA=&#10;" stroked="f">
                <v:textbox>
                  <w:txbxContent>
                    <w:p w14:paraId="36A1D1D0" w14:textId="77777777" w:rsidR="004E75D5" w:rsidRPr="004A5BF7" w:rsidRDefault="004E75D5" w:rsidP="0015169D">
                      <w:pPr>
                        <w:rPr>
                          <w:color w:val="1F497D" w:themeColor="text2"/>
                          <w:sz w:val="20"/>
                        </w:rPr>
                      </w:pPr>
                      <w:r w:rsidRPr="004A5BF7">
                        <w:rPr>
                          <w:color w:val="1F497D" w:themeColor="text2"/>
                          <w:sz w:val="20"/>
                        </w:rPr>
                        <w:t>Cause</w:t>
                      </w:r>
                    </w:p>
                  </w:txbxContent>
                </v:textbox>
              </v:shape>
            </w:pict>
          </mc:Fallback>
        </mc:AlternateContent>
      </w:r>
      <w:r>
        <w:rPr>
          <w:noProof/>
          <w:lang w:val="en-AU" w:eastAsia="en-AU" w:bidi="ar-SA"/>
        </w:rPr>
        <mc:AlternateContent>
          <mc:Choice Requires="wps">
            <w:drawing>
              <wp:anchor distT="0" distB="0" distL="114300" distR="114300" simplePos="0" relativeHeight="251658241" behindDoc="0" locked="0" layoutInCell="1" allowOverlap="1" wp14:anchorId="042BBCB3" wp14:editId="1CF2C1A6">
                <wp:simplePos x="0" y="0"/>
                <wp:positionH relativeFrom="column">
                  <wp:posOffset>4276725</wp:posOffset>
                </wp:positionH>
                <wp:positionV relativeFrom="paragraph">
                  <wp:posOffset>2727960</wp:posOffset>
                </wp:positionV>
                <wp:extent cx="629285" cy="353060"/>
                <wp:effectExtent l="0" t="0" r="0" b="889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85" cy="353060"/>
                        </a:xfrm>
                        <a:prstGeom prst="rect">
                          <a:avLst/>
                        </a:prstGeom>
                        <a:solidFill>
                          <a:srgbClr val="FFFFFF"/>
                        </a:solidFill>
                        <a:ln w="9525">
                          <a:noFill/>
                          <a:miter lim="800000"/>
                          <a:headEnd/>
                          <a:tailEnd/>
                        </a:ln>
                      </wps:spPr>
                      <wps:txbx>
                        <w:txbxContent>
                          <w:p w14:paraId="4D605488" w14:textId="77777777" w:rsidR="004E75D5" w:rsidRPr="004A5BF7" w:rsidRDefault="004E75D5" w:rsidP="0015169D">
                            <w:pPr>
                              <w:rPr>
                                <w:color w:val="1F497D" w:themeColor="text2"/>
                                <w:sz w:val="20"/>
                              </w:rPr>
                            </w:pPr>
                            <w:r w:rsidRPr="004A5BF7">
                              <w:rPr>
                                <w:color w:val="1F497D" w:themeColor="text2"/>
                                <w:sz w:val="20"/>
                              </w:rPr>
                              <w:t>Affect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2BBCB3" id="Text Box 22" o:spid="_x0000_s1027" type="#_x0000_t202" style="position:absolute;left:0;text-align:left;margin-left:336.75pt;margin-top:214.8pt;width:49.55pt;height:27.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F4IgIAACMEAAAOAAAAZHJzL2Uyb0RvYy54bWysU9uO2yAQfa/Uf0C8N3a8SZpYcVbbbFNV&#10;2l6k3X4AxjhGBYYCiZ1+fQeczUbbt6o8IIYZDmfOzKxvB63IUTgvwVR0OskpEYZDI82+oj+edu+W&#10;lPjATMMUGFHRk/D0dvP2zbq3pSigA9UIRxDE+LK3Fe1CsGWWed4JzfwErDDobMFpFtB0+6xxrEd0&#10;rbIizxdZD66xDrjwHm/vRyfdJPy2FTx8a1svAlEVRW4h7S7tddyzzZqVe8dsJ/mZBvsHFppJg59e&#10;oO5ZYOTg5F9QWnIHHtow4aAzaFvJRcoBs5nmr7J57JgVKRcUx9uLTP7/wfKvx++OyKaiRUGJYRpr&#10;9CSGQD7AQPAK9emtLzHs0WJgGPAe65xy9fYB+E9PDGw7ZvbizjnoO8Ea5DeNL7OrpyOOjyB1/wUa&#10;/IcdAiSgoXU6iodyEETHOp0utYlcOF4uilWxnFPC0XUzv8kXqXYZK58fW+fDJwGaxENFHZY+gbPj&#10;gw+RDCufQ+JfHpRsdlKpZLh9vVWOHBm2yS6txP9VmDKkr+hqXswTsoH4PnWQlgHbWEld0WUe19hY&#10;UYyPpkkhgUk1npGJMmd1oiCjNGGoh1SIJF1UrobmhHI5GLsWpwwPHbjflPTYsRX1vw7MCUrUZ4OS&#10;r6azWWzxZMzm7ws03LWnvvYwwxGqooGS8bgNaSyiHAbusDStTLK9MDlTxk5Map6nJrb6tZ2iXmZ7&#10;8wcAAP//AwBQSwMEFAAGAAgAAAAhAEqS3IffAAAACwEAAA8AAABkcnMvZG93bnJldi54bWxMj89O&#10;g0AQh+8mvsNmmngxdhEL2yJLoyYar619gAGmQMruEnZb6Ns7nuxt/nz5zTf5dja9uNDoO2c1PC8j&#10;EGQrV3e20XD4+Xxag/ABbY29s6ThSh62xf1djlntJrujyz40gkOsz1BDG8KQSemrlgz6pRvI8u7o&#10;RoOB27GR9YgTh5texlGUSoOd5QstDvTRUnXan42G4/f0mGym8isc1G6VvmOnSnfV+mExv72CCDSH&#10;fxj+9FkdCnYq3dnWXvQaUvWSMKphFW9SEEwoFXNR8mSdxCCLXN7+UPwCAAD//wMAUEsBAi0AFAAG&#10;AAgAAAAhALaDOJL+AAAA4QEAABMAAAAAAAAAAAAAAAAAAAAAAFtDb250ZW50X1R5cGVzXS54bWxQ&#10;SwECLQAUAAYACAAAACEAOP0h/9YAAACUAQAACwAAAAAAAAAAAAAAAAAvAQAAX3JlbHMvLnJlbHNQ&#10;SwECLQAUAAYACAAAACEAi9fxeCICAAAjBAAADgAAAAAAAAAAAAAAAAAuAgAAZHJzL2Uyb0RvYy54&#10;bWxQSwECLQAUAAYACAAAACEASpLch98AAAALAQAADwAAAAAAAAAAAAAAAAB8BAAAZHJzL2Rvd25y&#10;ZXYueG1sUEsFBgAAAAAEAAQA8wAAAIgFAAAAAA==&#10;" stroked="f">
                <v:textbox>
                  <w:txbxContent>
                    <w:p w14:paraId="4D605488" w14:textId="77777777" w:rsidR="004E75D5" w:rsidRPr="004A5BF7" w:rsidRDefault="004E75D5" w:rsidP="0015169D">
                      <w:pPr>
                        <w:rPr>
                          <w:color w:val="1F497D" w:themeColor="text2"/>
                          <w:sz w:val="20"/>
                        </w:rPr>
                      </w:pPr>
                      <w:r w:rsidRPr="004A5BF7">
                        <w:rPr>
                          <w:color w:val="1F497D" w:themeColor="text2"/>
                          <w:sz w:val="20"/>
                        </w:rPr>
                        <w:t>Affect</w:t>
                      </w:r>
                    </w:p>
                  </w:txbxContent>
                </v:textbox>
              </v:shape>
            </w:pict>
          </mc:Fallback>
        </mc:AlternateContent>
      </w:r>
      <w:r>
        <w:rPr>
          <w:noProof/>
          <w:lang w:val="en-AU" w:eastAsia="en-AU" w:bidi="ar-SA"/>
        </w:rPr>
        <mc:AlternateContent>
          <mc:Choice Requires="wps">
            <w:drawing>
              <wp:anchor distT="0" distB="0" distL="114300" distR="114300" simplePos="0" relativeHeight="251658242" behindDoc="0" locked="0" layoutInCell="1" allowOverlap="1" wp14:anchorId="27FBADA3" wp14:editId="7D40FFC2">
                <wp:simplePos x="0" y="0"/>
                <wp:positionH relativeFrom="margin">
                  <wp:posOffset>2952750</wp:posOffset>
                </wp:positionH>
                <wp:positionV relativeFrom="paragraph">
                  <wp:posOffset>3642360</wp:posOffset>
                </wp:positionV>
                <wp:extent cx="619125" cy="356235"/>
                <wp:effectExtent l="0" t="0" r="9525" b="5715"/>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 cy="356235"/>
                        </a:xfrm>
                        <a:prstGeom prst="rect">
                          <a:avLst/>
                        </a:prstGeom>
                        <a:solidFill>
                          <a:srgbClr val="FFFFFF"/>
                        </a:solidFill>
                        <a:ln w="9525">
                          <a:noFill/>
                          <a:miter lim="800000"/>
                          <a:headEnd/>
                          <a:tailEnd/>
                        </a:ln>
                      </wps:spPr>
                      <wps:txbx>
                        <w:txbxContent>
                          <w:p w14:paraId="6E9970AE" w14:textId="77777777" w:rsidR="004E75D5" w:rsidRPr="004A5BF7" w:rsidRDefault="004E75D5" w:rsidP="0015169D">
                            <w:pPr>
                              <w:rPr>
                                <w:color w:val="1F497D" w:themeColor="text2"/>
                                <w:sz w:val="20"/>
                              </w:rPr>
                            </w:pPr>
                            <w:r>
                              <w:rPr>
                                <w:color w:val="1F497D" w:themeColor="text2"/>
                                <w:sz w:val="20"/>
                              </w:rPr>
                              <w:t>Impact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FBADA3" id="Text Box 23" o:spid="_x0000_s1028" type="#_x0000_t202" style="position:absolute;left:0;text-align:left;margin-left:232.5pt;margin-top:286.8pt;width:48.75pt;height:28.0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zekIgIAACMEAAAOAAAAZHJzL2Uyb0RvYy54bWysU9uO2yAQfa/Uf0C8N46dSzdWnNU221SV&#10;thdptx+AMY5RgaFAYqdf3wFns2n7VpUHxDAzhzNnhvXtoBU5CuclmIrmkyklwnBopNlX9NvT7s0N&#10;JT4w0zAFRlT0JDy93bx+te5tKQroQDXCEQQxvuxtRbsQbJllnndCMz8BKww6W3CaBTTdPmsc6xFd&#10;q6yYTpdZD66xDrjwHm/vRyfdJPy2FTx8aVsvAlEVRW4h7S7tddyzzZqVe8dsJ/mZBvsHFppJg49e&#10;oO5ZYOTg5F9QWnIHHtow4aAzaFvJRaoBq8mnf1Tz2DErUi0ojrcXmfz/g+Wfj18dkU1Fixklhmns&#10;0ZMYAnkHA8Er1Ke3vsSwR4uBYcB77HOq1dsH4N89MbDtmNmLO+eg7wRrkF8eM7Or1BHHR5C6/wQN&#10;vsMOARLQ0DodxUM5CKJjn06X3kQuHC+X+SovFpRwdM0Wy2K2SC+w8jnZOh8+CNAkHirqsPUJnB0f&#10;fIhkWPkcEt/yoGSzk0olw+3rrXLkyHBMdmmd0X8LU4b0FV0tkEfMMhDz0wRpGXCMldQVvZnGFdNZ&#10;GcV4b5p0Dkyq8YxMlDmrEwUZpQlDPYyNiLlRuRqaE8rlYJxa/GV46MD9pKTHia2o/3FgTlCiPhqU&#10;fJXP53HEkzFfvC3QcNee+trDDEeoigZKxuM2pG8xFnaHrWllku2FyZkyTmJS8/xr4qhf2ynq5W9v&#10;fgEAAP//AwBQSwMEFAAGAAgAAAAhAD8aZ97fAAAACwEAAA8AAABkcnMvZG93bnJldi54bWxMj8FO&#10;wzAQRO9I/IO1SFwQdQi1Q0M2FSCBuLb0AzaJm0TE6yh2m/TvMSc4jmY086bYLnYQZzP53jHCwyoB&#10;Ybh2Tc8twuHr/f4JhA/EDQ2ODcLFeNiW11cF5Y2beWfO+9CKWMI+J4QuhDGX0tedseRXbjQcvaOb&#10;LIUop1Y2E82x3A4yTRItLfUcFzoazVtn6u/9ySIcP+c7tZmrj3DIdmv9Sn1WuQvi7c3y8gwimCX8&#10;heEXP6JDGZkqd+LGiwFhrVX8EhBU9qhBxITSqQJRIeh0k4EsC/n/Q/kDAAD//wMAUEsBAi0AFAAG&#10;AAgAAAAhALaDOJL+AAAA4QEAABMAAAAAAAAAAAAAAAAAAAAAAFtDb250ZW50X1R5cGVzXS54bWxQ&#10;SwECLQAUAAYACAAAACEAOP0h/9YAAACUAQAACwAAAAAAAAAAAAAAAAAvAQAAX3JlbHMvLnJlbHNQ&#10;SwECLQAUAAYACAAAACEAPdM3pCICAAAjBAAADgAAAAAAAAAAAAAAAAAuAgAAZHJzL2Uyb0RvYy54&#10;bWxQSwECLQAUAAYACAAAACEAPxpn3t8AAAALAQAADwAAAAAAAAAAAAAAAAB8BAAAZHJzL2Rvd25y&#10;ZXYueG1sUEsFBgAAAAAEAAQA8wAAAIgFAAAAAA==&#10;" stroked="f">
                <v:textbox>
                  <w:txbxContent>
                    <w:p w14:paraId="6E9970AE" w14:textId="77777777" w:rsidR="004E75D5" w:rsidRPr="004A5BF7" w:rsidRDefault="004E75D5" w:rsidP="0015169D">
                      <w:pPr>
                        <w:rPr>
                          <w:color w:val="1F497D" w:themeColor="text2"/>
                          <w:sz w:val="20"/>
                        </w:rPr>
                      </w:pPr>
                      <w:r>
                        <w:rPr>
                          <w:color w:val="1F497D" w:themeColor="text2"/>
                          <w:sz w:val="20"/>
                        </w:rPr>
                        <w:t>Impact</w:t>
                      </w:r>
                    </w:p>
                  </w:txbxContent>
                </v:textbox>
                <w10:wrap anchorx="margin"/>
              </v:shape>
            </w:pict>
          </mc:Fallback>
        </mc:AlternateContent>
      </w:r>
      <w:r>
        <w:rPr>
          <w:noProof/>
          <w:lang w:val="en-AU" w:eastAsia="en-AU" w:bidi="ar-SA"/>
        </w:rPr>
        <w:drawing>
          <wp:inline distT="0" distB="0" distL="0" distR="0" wp14:anchorId="41A0A27F" wp14:editId="4A86C711">
            <wp:extent cx="5605153" cy="4512623"/>
            <wp:effectExtent l="0" t="0" r="0" b="0"/>
            <wp:docPr id="25" name="Diagram 25" descr="Conceptual diagram representing DPSIR framework used to guide the structure of the MMP, derived from the Great Barrier Reef Strategic Assessment, 2015. Shows drivers, impacts/pressures, condition, community benefits and management responses in a cycle."/>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60179797" w14:textId="77777777" w:rsidR="00C57149" w:rsidRPr="00CB093C" w:rsidRDefault="0015169D" w:rsidP="00C57149">
      <w:pPr>
        <w:pStyle w:val="Caption"/>
        <w:rPr>
          <w:rFonts w:cs="Arial"/>
          <w:i/>
          <w:vanish/>
          <w:color w:val="000000"/>
          <w:specVanish/>
        </w:rPr>
      </w:pPr>
      <w:bookmarkStart w:id="26" w:name="_Ref536077445"/>
      <w:bookmarkStart w:id="27" w:name="_Toc15042893"/>
      <w:r w:rsidRPr="00035468">
        <w:rPr>
          <w:b w:val="0"/>
          <w:szCs w:val="20"/>
        </w:rPr>
        <w:t xml:space="preserve">Figure </w:t>
      </w:r>
      <w:r w:rsidRPr="00035468">
        <w:rPr>
          <w:b w:val="0"/>
          <w:szCs w:val="20"/>
        </w:rPr>
        <w:fldChar w:fldCharType="begin"/>
      </w:r>
      <w:r w:rsidRPr="00035468">
        <w:rPr>
          <w:b w:val="0"/>
          <w:szCs w:val="20"/>
        </w:rPr>
        <w:instrText xml:space="preserve"> SEQ Figure \* ARABIC </w:instrText>
      </w:r>
      <w:r w:rsidRPr="00035468">
        <w:rPr>
          <w:b w:val="0"/>
          <w:szCs w:val="20"/>
        </w:rPr>
        <w:fldChar w:fldCharType="separate"/>
      </w:r>
      <w:r w:rsidR="00251B46">
        <w:rPr>
          <w:b w:val="0"/>
          <w:noProof/>
          <w:szCs w:val="20"/>
        </w:rPr>
        <w:t>1</w:t>
      </w:r>
      <w:r w:rsidRPr="00035468">
        <w:rPr>
          <w:b w:val="0"/>
          <w:szCs w:val="20"/>
        </w:rPr>
        <w:fldChar w:fldCharType="end"/>
      </w:r>
      <w:bookmarkEnd w:id="26"/>
      <w:r w:rsidRPr="00035468">
        <w:rPr>
          <w:b w:val="0"/>
          <w:szCs w:val="20"/>
        </w:rPr>
        <w:t xml:space="preserve">: DPSIR framework used to guide the structure of the </w:t>
      </w:r>
      <w:r w:rsidR="00387CDA">
        <w:rPr>
          <w:b w:val="0"/>
          <w:szCs w:val="20"/>
        </w:rPr>
        <w:t>report</w:t>
      </w:r>
      <w:bookmarkEnd w:id="27"/>
    </w:p>
    <w:p w14:paraId="12524CFF" w14:textId="77777777" w:rsidR="0015169D" w:rsidRPr="00035468" w:rsidRDefault="0015169D" w:rsidP="002439C8">
      <w:pPr>
        <w:pStyle w:val="Caption"/>
        <w:rPr>
          <w:b w:val="0"/>
          <w:szCs w:val="20"/>
        </w:rPr>
      </w:pPr>
      <w:r w:rsidRPr="00035468">
        <w:rPr>
          <w:b w:val="0"/>
          <w:szCs w:val="20"/>
        </w:rPr>
        <w:t>, derived from the Great Ba</w:t>
      </w:r>
      <w:r>
        <w:rPr>
          <w:b w:val="0"/>
          <w:szCs w:val="20"/>
        </w:rPr>
        <w:t xml:space="preserve">rrier Reef Strategic Assessment </w:t>
      </w:r>
      <w:r w:rsidR="00822F8D">
        <w:rPr>
          <w:b w:val="0"/>
          <w:szCs w:val="20"/>
        </w:rPr>
        <w:fldChar w:fldCharType="begin"/>
      </w:r>
      <w:r w:rsidR="00822F8D">
        <w:rPr>
          <w:b w:val="0"/>
          <w:szCs w:val="20"/>
        </w:rPr>
        <w:instrText xml:space="preserve"> ADDIN EN.CITE &lt;EndNote&gt;&lt;Cite&gt;&lt;Author&gt;GBRMPA&lt;/Author&gt;&lt;Year&gt;2014&lt;/Year&gt;&lt;RecNum&gt;50&lt;/RecNum&gt;&lt;DisplayText&gt;(GBRMPA, 2014b)&lt;/DisplayText&gt;&lt;record&gt;&lt;rec-number&gt;50&lt;/rec-number&gt;&lt;foreign-keys&gt;&lt;key app="EN" db-id="xtpvpwz0ufxa2me5tv6v2prn2ez5p9atsvtr" timestamp="1539144944"&gt;50&lt;/key&gt;&lt;/foreign-keys&gt;&lt;ref-type name="Report"&gt;27&lt;/ref-type&gt;&lt;contributors&gt;&lt;authors&gt;&lt;author&gt;GBRMPA&lt;/author&gt;&lt;/authors&gt;&lt;/contributors&gt;&lt;titles&gt;&lt;title&gt;Great Barrier Reef Region Strategic Assessment: Strategic assessment report&lt;/title&gt;&lt;/titles&gt;&lt;dates&gt;&lt;year&gt;2014&lt;/year&gt;&lt;/dates&gt;&lt;pub-location&gt;Great Barrier Reef Marine Park Authority, Townsville&lt;/pub-location&gt;&lt;urls&gt;&lt;/urls&gt;&lt;/record&gt;&lt;/Cite&gt;&lt;/EndNote&gt;</w:instrText>
      </w:r>
      <w:r w:rsidR="00822F8D">
        <w:rPr>
          <w:b w:val="0"/>
          <w:szCs w:val="20"/>
        </w:rPr>
        <w:fldChar w:fldCharType="separate"/>
      </w:r>
      <w:r w:rsidR="00822F8D">
        <w:rPr>
          <w:b w:val="0"/>
          <w:noProof/>
          <w:szCs w:val="20"/>
        </w:rPr>
        <w:t>(GBRMPA, 2014b)</w:t>
      </w:r>
      <w:r w:rsidR="00822F8D">
        <w:rPr>
          <w:b w:val="0"/>
          <w:szCs w:val="20"/>
        </w:rPr>
        <w:fldChar w:fldCharType="end"/>
      </w:r>
      <w:r w:rsidRPr="00874969">
        <w:rPr>
          <w:b w:val="0"/>
          <w:szCs w:val="20"/>
        </w:rPr>
        <w:t>. The aspects</w:t>
      </w:r>
      <w:r w:rsidRPr="00035468">
        <w:rPr>
          <w:b w:val="0"/>
          <w:szCs w:val="20"/>
        </w:rPr>
        <w:t xml:space="preserve"> highlighted in yellow are included in this report.</w:t>
      </w:r>
    </w:p>
    <w:p w14:paraId="7A6083B6" w14:textId="77777777" w:rsidR="0015169D" w:rsidRPr="00091FD4" w:rsidRDefault="0015169D" w:rsidP="002439C8">
      <w:pPr>
        <w:spacing w:line="276" w:lineRule="auto"/>
        <w:jc w:val="left"/>
        <w:rPr>
          <w:lang w:val="en-AU"/>
        </w:rPr>
      </w:pPr>
    </w:p>
    <w:p w14:paraId="63A9DC58" w14:textId="77777777" w:rsidR="00420835" w:rsidRDefault="00420835" w:rsidP="002439C8">
      <w:pPr>
        <w:spacing w:line="276" w:lineRule="auto"/>
        <w:jc w:val="left"/>
        <w:rPr>
          <w:lang w:val="en-AU"/>
        </w:rPr>
      </w:pPr>
      <w:r>
        <w:rPr>
          <w:lang w:val="en-AU"/>
        </w:rPr>
        <w:br w:type="page"/>
      </w:r>
    </w:p>
    <w:p w14:paraId="0677064C" w14:textId="77777777" w:rsidR="0059608E" w:rsidRPr="00747824" w:rsidRDefault="0084524B" w:rsidP="002439C8">
      <w:pPr>
        <w:pStyle w:val="Heading1"/>
        <w:jc w:val="left"/>
      </w:pPr>
      <w:bookmarkStart w:id="28" w:name="_Methods"/>
      <w:bookmarkStart w:id="29" w:name="_Toc14435675"/>
      <w:bookmarkStart w:id="30" w:name="_Toc201489873"/>
      <w:bookmarkEnd w:id="28"/>
      <w:r>
        <w:lastRenderedPageBreak/>
        <w:t>Methods</w:t>
      </w:r>
      <w:bookmarkEnd w:id="29"/>
    </w:p>
    <w:p w14:paraId="1F393B6C" w14:textId="77777777" w:rsidR="006D72DC" w:rsidRPr="006D72DC" w:rsidRDefault="006D72DC" w:rsidP="002439C8">
      <w:pPr>
        <w:pStyle w:val="Heading2"/>
        <w:jc w:val="left"/>
      </w:pPr>
      <w:bookmarkStart w:id="31" w:name="_Toc14435676"/>
      <w:r w:rsidRPr="006D72DC">
        <w:t>Overview</w:t>
      </w:r>
      <w:bookmarkEnd w:id="31"/>
    </w:p>
    <w:p w14:paraId="71A95F58" w14:textId="77777777" w:rsidR="0059608E" w:rsidRDefault="00BB11F6" w:rsidP="002439C8">
      <w:pPr>
        <w:spacing w:line="276" w:lineRule="auto"/>
        <w:jc w:val="left"/>
        <w:rPr>
          <w:lang w:val="en-AU"/>
        </w:rPr>
      </w:pPr>
      <w:r>
        <w:rPr>
          <w:lang w:val="en-AU"/>
        </w:rPr>
        <w:t>Pesticide</w:t>
      </w:r>
      <w:r w:rsidR="0059608E">
        <w:rPr>
          <w:lang w:val="en-AU"/>
        </w:rPr>
        <w:t xml:space="preserve"> monitoring </w:t>
      </w:r>
      <w:r w:rsidR="007E4CA0">
        <w:rPr>
          <w:lang w:val="en-AU"/>
        </w:rPr>
        <w:t xml:space="preserve">was conducted </w:t>
      </w:r>
      <w:r w:rsidR="0059608E">
        <w:rPr>
          <w:lang w:val="en-AU"/>
        </w:rPr>
        <w:t xml:space="preserve">at </w:t>
      </w:r>
      <w:r w:rsidR="00801185">
        <w:rPr>
          <w:lang w:val="en-AU"/>
        </w:rPr>
        <w:t xml:space="preserve">fixed </w:t>
      </w:r>
      <w:r w:rsidR="000A514F">
        <w:rPr>
          <w:lang w:val="en-AU"/>
        </w:rPr>
        <w:t xml:space="preserve">(long-term) </w:t>
      </w:r>
      <w:r w:rsidR="00801185">
        <w:rPr>
          <w:lang w:val="en-AU"/>
        </w:rPr>
        <w:t>monitoring</w:t>
      </w:r>
      <w:r w:rsidR="0059608E">
        <w:rPr>
          <w:lang w:val="en-AU"/>
        </w:rPr>
        <w:t xml:space="preserve"> sites using passive sampl</w:t>
      </w:r>
      <w:r w:rsidR="00D5461D">
        <w:rPr>
          <w:lang w:val="en-AU"/>
        </w:rPr>
        <w:t>er</w:t>
      </w:r>
      <w:r w:rsidR="0059608E">
        <w:rPr>
          <w:lang w:val="en-AU"/>
        </w:rPr>
        <w:t>s</w:t>
      </w:r>
      <w:r w:rsidR="000D7725">
        <w:rPr>
          <w:lang w:val="en-AU"/>
        </w:rPr>
        <w:t>:</w:t>
      </w:r>
      <w:r w:rsidR="000A514F">
        <w:rPr>
          <w:lang w:val="en-AU"/>
        </w:rPr>
        <w:t xml:space="preserve"> a time-integrated sampling technique that provides a time-averaged estimated concentration</w:t>
      </w:r>
      <w:r w:rsidR="0059608E">
        <w:rPr>
          <w:lang w:val="en-AU"/>
        </w:rPr>
        <w:t>.</w:t>
      </w:r>
      <w:r w:rsidR="0059608E" w:rsidRPr="00C11BBA">
        <w:rPr>
          <w:lang w:val="en-AU"/>
        </w:rPr>
        <w:t xml:space="preserve"> The</w:t>
      </w:r>
      <w:r w:rsidR="00AD1562">
        <w:rPr>
          <w:lang w:val="en-AU"/>
        </w:rPr>
        <w:t xml:space="preserve"> passive</w:t>
      </w:r>
      <w:r w:rsidR="0059608E" w:rsidRPr="00C11BBA">
        <w:rPr>
          <w:lang w:val="en-AU"/>
        </w:rPr>
        <w:t xml:space="preserve"> samplers accumulate chemicals </w:t>
      </w:r>
      <w:r w:rsidR="0059608E">
        <w:rPr>
          <w:lang w:val="en-AU"/>
        </w:rPr>
        <w:t xml:space="preserve">into a sorbing material </w:t>
      </w:r>
      <w:r w:rsidR="0059608E" w:rsidRPr="00C11BBA">
        <w:rPr>
          <w:lang w:val="en-AU"/>
        </w:rPr>
        <w:t>from water via passive diffusion</w:t>
      </w:r>
      <w:r w:rsidR="00F9409E">
        <w:rPr>
          <w:lang w:val="en-AU"/>
        </w:rPr>
        <w:t xml:space="preserve"> over a month or more</w:t>
      </w:r>
      <w:r w:rsidR="0059608E" w:rsidRPr="00C11BBA">
        <w:rPr>
          <w:lang w:val="en-AU"/>
        </w:rPr>
        <w:t>. The passive sampl</w:t>
      </w:r>
      <w:r w:rsidR="00AD1562">
        <w:rPr>
          <w:lang w:val="en-AU"/>
        </w:rPr>
        <w:t>ers used in this program</w:t>
      </w:r>
      <w:r w:rsidR="0059608E" w:rsidRPr="00C11BBA">
        <w:rPr>
          <w:lang w:val="en-AU"/>
        </w:rPr>
        <w:t xml:space="preserve"> include:</w:t>
      </w:r>
    </w:p>
    <w:p w14:paraId="09BBAD41" w14:textId="77777777" w:rsidR="0059608E" w:rsidRPr="00C11BBA" w:rsidRDefault="0059608E" w:rsidP="002439C8">
      <w:pPr>
        <w:spacing w:line="276" w:lineRule="auto"/>
        <w:jc w:val="left"/>
        <w:rPr>
          <w:lang w:val="en-AU"/>
        </w:rPr>
      </w:pPr>
    </w:p>
    <w:p w14:paraId="7FF25ADF" w14:textId="77777777" w:rsidR="0059608E" w:rsidRDefault="0059608E" w:rsidP="002439C8">
      <w:pPr>
        <w:pStyle w:val="ListParagraph"/>
        <w:numPr>
          <w:ilvl w:val="0"/>
          <w:numId w:val="2"/>
        </w:numPr>
        <w:spacing w:line="276" w:lineRule="auto"/>
        <w:ind w:left="851" w:hanging="284"/>
        <w:jc w:val="left"/>
        <w:rPr>
          <w:lang w:val="en-AU"/>
        </w:rPr>
      </w:pPr>
      <w:r w:rsidRPr="00C11BBA">
        <w:rPr>
          <w:lang w:val="en-AU"/>
        </w:rPr>
        <w:t>SDB-RPS Empore</w:t>
      </w:r>
      <w:r w:rsidRPr="00C11BBA">
        <w:rPr>
          <w:vertAlign w:val="superscript"/>
          <w:lang w:val="en-AU"/>
        </w:rPr>
        <w:t>TM</w:t>
      </w:r>
      <w:r w:rsidRPr="00C11BBA">
        <w:rPr>
          <w:lang w:val="en-AU"/>
        </w:rPr>
        <w:t xml:space="preserve"> Disk (ED) </w:t>
      </w:r>
      <w:r>
        <w:rPr>
          <w:lang w:val="en-AU"/>
        </w:rPr>
        <w:t xml:space="preserve">polar </w:t>
      </w:r>
      <w:r w:rsidRPr="00C11BBA">
        <w:rPr>
          <w:lang w:val="en-AU"/>
        </w:rPr>
        <w:t xml:space="preserve">passive samplers for relatively hydrophilic organic chemicals with relatively low octanol-water partition coefficients </w:t>
      </w:r>
      <w:r>
        <w:rPr>
          <w:lang w:val="en-AU"/>
        </w:rPr>
        <w:t>(log</w:t>
      </w:r>
      <w:r w:rsidR="000D7725">
        <w:rPr>
          <w:lang w:val="en-AU"/>
        </w:rPr>
        <w:t xml:space="preserve"> </w:t>
      </w:r>
      <w:r>
        <w:rPr>
          <w:lang w:val="en-AU"/>
        </w:rPr>
        <w:t>K</w:t>
      </w:r>
      <w:r w:rsidRPr="00F057D7">
        <w:rPr>
          <w:vertAlign w:val="subscript"/>
          <w:lang w:val="en-AU"/>
        </w:rPr>
        <w:t>OW</w:t>
      </w:r>
      <w:r w:rsidRPr="00C11BBA">
        <w:rPr>
          <w:lang w:val="en-AU"/>
        </w:rPr>
        <w:t>) such as the PSII herbicides (</w:t>
      </w:r>
      <w:r>
        <w:rPr>
          <w:lang w:val="en-AU"/>
        </w:rPr>
        <w:t>e.g.</w:t>
      </w:r>
      <w:r w:rsidRPr="00C11BBA">
        <w:rPr>
          <w:lang w:val="en-AU"/>
        </w:rPr>
        <w:t xml:space="preserve"> diuron).</w:t>
      </w:r>
    </w:p>
    <w:p w14:paraId="0F950910" w14:textId="77777777" w:rsidR="0059608E" w:rsidRDefault="0059608E" w:rsidP="002439C8">
      <w:pPr>
        <w:pStyle w:val="ListParagraph"/>
        <w:numPr>
          <w:ilvl w:val="0"/>
          <w:numId w:val="2"/>
        </w:numPr>
        <w:spacing w:line="276" w:lineRule="auto"/>
        <w:ind w:left="851" w:hanging="284"/>
        <w:jc w:val="left"/>
        <w:rPr>
          <w:lang w:val="en-AU"/>
        </w:rPr>
      </w:pPr>
      <w:r w:rsidRPr="00C11BBA">
        <w:rPr>
          <w:lang w:val="en-AU"/>
        </w:rPr>
        <w:t xml:space="preserve">Polydimethylsiloxane (PDMS) </w:t>
      </w:r>
      <w:r>
        <w:rPr>
          <w:lang w:val="en-AU"/>
        </w:rPr>
        <w:t xml:space="preserve">non-polar </w:t>
      </w:r>
      <w:r w:rsidRPr="00C11BBA">
        <w:rPr>
          <w:lang w:val="en-AU"/>
        </w:rPr>
        <w:t xml:space="preserve">passive samplers for organic chemicals </w:t>
      </w:r>
      <w:r w:rsidR="000D4335">
        <w:rPr>
          <w:lang w:val="en-AU"/>
        </w:rPr>
        <w:t>that</w:t>
      </w:r>
      <w:r w:rsidR="000D4335" w:rsidRPr="00C11BBA">
        <w:rPr>
          <w:lang w:val="en-AU"/>
        </w:rPr>
        <w:t xml:space="preserve"> </w:t>
      </w:r>
      <w:r w:rsidRPr="00C11BBA">
        <w:rPr>
          <w:lang w:val="en-AU"/>
        </w:rPr>
        <w:t>are relatively more hydrophob</w:t>
      </w:r>
      <w:r>
        <w:rPr>
          <w:lang w:val="en-AU"/>
        </w:rPr>
        <w:t>ic (higher log K</w:t>
      </w:r>
      <w:r w:rsidRPr="00F057D7">
        <w:rPr>
          <w:vertAlign w:val="subscript"/>
          <w:lang w:val="en-AU"/>
        </w:rPr>
        <w:t>OW</w:t>
      </w:r>
      <w:r w:rsidRPr="00C11BBA">
        <w:rPr>
          <w:lang w:val="en-AU"/>
        </w:rPr>
        <w:t xml:space="preserve">) such as </w:t>
      </w:r>
      <w:r w:rsidR="005B38C1">
        <w:rPr>
          <w:lang w:val="en-AU"/>
        </w:rPr>
        <w:t>organophosp</w:t>
      </w:r>
      <w:r w:rsidR="00F01A8A">
        <w:rPr>
          <w:lang w:val="en-AU"/>
        </w:rPr>
        <w:t>h</w:t>
      </w:r>
      <w:r w:rsidR="005B38C1">
        <w:rPr>
          <w:lang w:val="en-AU"/>
        </w:rPr>
        <w:t xml:space="preserve">orus </w:t>
      </w:r>
      <w:r w:rsidR="000D4335">
        <w:rPr>
          <w:lang w:val="en-AU"/>
        </w:rPr>
        <w:t xml:space="preserve">insecticides (e.g. </w:t>
      </w:r>
      <w:r w:rsidRPr="00C11BBA">
        <w:rPr>
          <w:lang w:val="en-AU"/>
        </w:rPr>
        <w:t>chlorpyrifos</w:t>
      </w:r>
      <w:r w:rsidR="000D4335">
        <w:rPr>
          <w:lang w:val="en-AU"/>
        </w:rPr>
        <w:t>)</w:t>
      </w:r>
      <w:r w:rsidRPr="00C11BBA">
        <w:rPr>
          <w:lang w:val="en-AU"/>
        </w:rPr>
        <w:t xml:space="preserve">. </w:t>
      </w:r>
    </w:p>
    <w:p w14:paraId="63895B97" w14:textId="77777777" w:rsidR="00610CA4" w:rsidRDefault="00610CA4" w:rsidP="002439C8">
      <w:pPr>
        <w:pStyle w:val="ListParagraph"/>
        <w:spacing w:line="276" w:lineRule="auto"/>
        <w:ind w:left="0"/>
        <w:jc w:val="left"/>
        <w:rPr>
          <w:lang w:val="en-AU"/>
        </w:rPr>
      </w:pPr>
    </w:p>
    <w:p w14:paraId="278B9336" w14:textId="77777777" w:rsidR="0059608E" w:rsidRDefault="00856D07" w:rsidP="002439C8">
      <w:pPr>
        <w:pStyle w:val="ListParagraph"/>
        <w:spacing w:line="276" w:lineRule="auto"/>
        <w:ind w:left="0"/>
        <w:jc w:val="left"/>
        <w:rPr>
          <w:noProof/>
          <w:lang w:val="en-AU"/>
        </w:rPr>
      </w:pPr>
      <w:r>
        <w:rPr>
          <w:lang w:val="en-AU"/>
        </w:rPr>
        <w:t xml:space="preserve">In addition to the </w:t>
      </w:r>
      <w:r w:rsidR="007E4CA0">
        <w:rPr>
          <w:lang w:val="en-AU"/>
        </w:rPr>
        <w:t>long-term</w:t>
      </w:r>
      <w:r>
        <w:rPr>
          <w:lang w:val="en-AU"/>
        </w:rPr>
        <w:t xml:space="preserve"> </w:t>
      </w:r>
      <w:r w:rsidR="00801185">
        <w:rPr>
          <w:lang w:val="en-AU"/>
        </w:rPr>
        <w:t>pesticide levels assessment</w:t>
      </w:r>
      <w:r>
        <w:rPr>
          <w:lang w:val="en-AU"/>
        </w:rPr>
        <w:t xml:space="preserve">, </w:t>
      </w:r>
      <w:r w:rsidR="0006041C">
        <w:rPr>
          <w:lang w:val="en-AU"/>
        </w:rPr>
        <w:t>flood plume monitoring</w:t>
      </w:r>
      <w:r w:rsidR="0059608E">
        <w:rPr>
          <w:lang w:val="en-AU"/>
        </w:rPr>
        <w:t xml:space="preserve"> </w:t>
      </w:r>
      <w:r w:rsidR="007E4CA0">
        <w:rPr>
          <w:lang w:val="en-AU"/>
        </w:rPr>
        <w:t>wa</w:t>
      </w:r>
      <w:r w:rsidR="0006041C">
        <w:rPr>
          <w:lang w:val="en-AU"/>
        </w:rPr>
        <w:t>s</w:t>
      </w:r>
      <w:r w:rsidR="00816B9A">
        <w:rPr>
          <w:lang w:val="en-AU"/>
        </w:rPr>
        <w:t xml:space="preserve"> </w:t>
      </w:r>
      <w:r w:rsidR="0059608E">
        <w:rPr>
          <w:lang w:val="en-AU"/>
        </w:rPr>
        <w:t>cond</w:t>
      </w:r>
      <w:r w:rsidR="00801185">
        <w:rPr>
          <w:lang w:val="en-AU"/>
        </w:rPr>
        <w:t xml:space="preserve">ucted during the wet season </w:t>
      </w:r>
      <w:r w:rsidR="00BB11F6">
        <w:rPr>
          <w:lang w:val="en-AU"/>
        </w:rPr>
        <w:t xml:space="preserve">using both passive sampling (configured for deployments &lt;7 days) and </w:t>
      </w:r>
      <w:r w:rsidR="0059608E">
        <w:rPr>
          <w:lang w:val="en-AU"/>
        </w:rPr>
        <w:t xml:space="preserve">grab sampling. Full details regarding these methodologies have been described </w:t>
      </w:r>
      <w:r w:rsidR="0059608E" w:rsidRPr="00C11BBA">
        <w:rPr>
          <w:lang w:val="en-AU"/>
        </w:rPr>
        <w:t xml:space="preserve">in </w:t>
      </w:r>
      <w:r w:rsidR="0059608E" w:rsidRPr="005F48EA">
        <w:rPr>
          <w:lang w:val="en-AU"/>
        </w:rPr>
        <w:t xml:space="preserve">the </w:t>
      </w:r>
      <w:bookmarkStart w:id="32" w:name="OLE_LINK13"/>
      <w:r w:rsidR="0059608E" w:rsidRPr="003F4EDD">
        <w:rPr>
          <w:i/>
          <w:lang w:val="en-AU"/>
        </w:rPr>
        <w:t>Ma</w:t>
      </w:r>
      <w:r w:rsidR="0059608E" w:rsidRPr="00214F05">
        <w:rPr>
          <w:i/>
          <w:lang w:val="en-AU"/>
        </w:rPr>
        <w:t xml:space="preserve">rine monitoring program quality assurance and quality control manual </w:t>
      </w:r>
      <w:r w:rsidR="001B73E5">
        <w:rPr>
          <w:i/>
          <w:lang w:val="en-AU"/>
        </w:rPr>
        <w:t>2017–18</w:t>
      </w:r>
      <w:bookmarkEnd w:id="32"/>
      <w:r w:rsidR="0059608E">
        <w:rPr>
          <w:lang w:val="en-AU"/>
        </w:rPr>
        <w:t xml:space="preserve"> </w:t>
      </w:r>
      <w:r w:rsidR="002068B4">
        <w:rPr>
          <w:lang w:val="en-AU"/>
        </w:rPr>
        <w:fldChar w:fldCharType="begin"/>
      </w:r>
      <w:r w:rsidR="002068B4">
        <w:rPr>
          <w:lang w:val="en-AU"/>
        </w:rPr>
        <w:instrText xml:space="preserve"> ADDIN EN.CITE &lt;EndNote&gt;&lt;Cite&gt;&lt;Author&gt;GBRMPA&lt;/Author&gt;&lt;Year&gt;2019&lt;/Year&gt;&lt;RecNum&gt;109&lt;/RecNum&gt;&lt;DisplayText&gt;(GBRMPA, 2019)&lt;/DisplayText&gt;&lt;record&gt;&lt;rec-number&gt;109&lt;/rec-number&gt;&lt;foreign-keys&gt;&lt;key app="EN" db-id="xtpvpwz0ufxa2me5tv6v2prn2ez5p9atsvtr" timestamp="1550039020"&gt;109&lt;/key&gt;&lt;/foreign-keys&gt;&lt;ref-type name="Report"&gt;27&lt;/ref-type&gt;&lt;contributors&gt;&lt;authors&gt;&lt;author&gt;GBRMPA,&lt;/author&gt;&lt;/authors&gt;&lt;/contributors&gt;&lt;titles&gt;&lt;title&gt;Marine Monitoring Program: Quality Assurance and Quality Control Manual 2017-2018&lt;/title&gt;&lt;/titles&gt;&lt;dates&gt;&lt;year&gt;2019&lt;/year&gt;&lt;/dates&gt;&lt;pub-location&gt;Townsville&lt;/pub-location&gt;&lt;publisher&gt;Great Barrier Reef Marine Park Authority&lt;/publisher&gt;&lt;urls&gt;&lt;/urls&gt;&lt;/record&gt;&lt;/Cite&gt;&lt;/EndNote&gt;</w:instrText>
      </w:r>
      <w:r w:rsidR="002068B4">
        <w:rPr>
          <w:lang w:val="en-AU"/>
        </w:rPr>
        <w:fldChar w:fldCharType="separate"/>
      </w:r>
      <w:r w:rsidR="002068B4">
        <w:rPr>
          <w:noProof/>
          <w:lang w:val="en-AU"/>
        </w:rPr>
        <w:t>(GBRMPA, 2019)</w:t>
      </w:r>
      <w:r w:rsidR="002068B4">
        <w:rPr>
          <w:lang w:val="en-AU"/>
        </w:rPr>
        <w:fldChar w:fldCharType="end"/>
      </w:r>
      <w:r w:rsidR="002068B4">
        <w:rPr>
          <w:lang w:val="en-AU"/>
        </w:rPr>
        <w:t xml:space="preserve"> </w:t>
      </w:r>
      <w:r w:rsidR="0059608E" w:rsidRPr="005F48EA">
        <w:rPr>
          <w:lang w:val="en-AU"/>
        </w:rPr>
        <w:t xml:space="preserve">and in previous reports </w:t>
      </w:r>
      <w:r w:rsidR="00C91BF5">
        <w:rPr>
          <w:lang w:val="en-AU"/>
        </w:rPr>
        <w:fldChar w:fldCharType="begin">
          <w:fldData xml:space="preserve">PEVuZE5vdGU+PENpdGU+PEF1dGhvcj5LZW5uZWR5PC9BdXRob3I+PFllYXI+MjAxMjwvWWVhcj48
UmVjTnVtPjI5PC9SZWNOdW0+PERpc3BsYXlUZXh0PihHYWxsZW4gZXQgYWwuLCAyMDEzOyBHYWxs
ZW4gZXQgYWwuLCAyMDE0OyBHYWxsZW4gZXQgYWwuLCAyMDE2OyBHcmFudCBldCBhbC4sIDIwMTc7
IEtlbm5lZHkgZXQgYWwuLCAyMDEyKTwvRGlzcGxheVRleHQ+PHJlY29yZD48cmVjLW51bWJlcj4y
OTwvcmVjLW51bWJlcj48Zm9yZWlnbi1rZXlzPjxrZXkgYXBwPSJFTiIgZGItaWQ9Inh0cHZwd3ow
dWZ4YTJtZTV0djZ2MnBybjJlejVwOWF0c3Z0ciIgdGltZXN0YW1wPSIxNTM5MTQ0OTQzIj4yOTwv
a2V5PjwvZm9yZWlnbi1rZXlzPjxyZWYtdHlwZSBuYW1lPSJSZXBvcnQiPjI3PC9yZWYtdHlwZT48
Y29udHJpYnV0b3JzPjxhdXRob3JzPjxhdXRob3I+S2VubmVkeSwgS2FyZW48L2F1dGhvcj48YXV0
aG9yPkRldmxpbiwgTTwvYXV0aG9yPjxhdXRob3I+QmVudGxleSwgQzwvYXV0aG9yPjxhdXRob3I+
UGF4bWFuLCBDPC9hdXRob3I+PGF1dGhvcj5DaHVlLCBLTDwvYXV0aG9yPjxhdXRob3I+TXVlbGxl
ciwgSjwvYXV0aG9yPjwvYXV0aG9ycz48L2NvbnRyaWJ1dG9ycz48dGl0bGVzPjx0aXRsZT5QZXN0
aWNpZGUgbW9uaXRvcmluZyBpbiBpbnNob3JlIHdhdGVycyBvZiB0aGUgR3JlYXQgQmFycmllciBS
ZWVmIHVzaW5nIGJvdGggdGltZS1pbnRlZ3JhdGVkIGFuZCBldmVudCBtb25pdG9yaW5nIHRlY2hu
aXF1ZXMgKDIwMTAtMjAxMSk8L3RpdGxlPjwvdGl0bGVzPjxkYXRlcz48eWVhcj4yMDEyPC95ZWFy
PjwvZGF0ZXM+PHB1Yi1sb2NhdGlvbj5UaGUgVW5pdmVyc2l0eSBvZiBRdWVlbnNsYW5kLCBUaGUg
TmF0aW9uYWwgUmVzZWFyY2ggQ2VudHJlIGZvciBFbnZpcm9ubWVudGFsIFRveGljb2xvZ3kgKEVu
dG94KTwvcHViLWxvY2F0aW9uPjx1cmxzPjwvdXJscz48L3JlY29yZD48L0NpdGU+PENpdGU+PEF1
dGhvcj5HYWxsZW48L0F1dGhvcj48WWVhcj4yMDEzPC9ZZWFyPjxSZWNOdW0+MzA8L1JlY051bT48
cmVjb3JkPjxyZWMtbnVtYmVyPjMwPC9yZWMtbnVtYmVyPjxmb3JlaWduLWtleXM+PGtleSBhcHA9
IkVOIiBkYi1pZD0ieHRwdnB3ejB1ZnhhMm1lNXR2NnYycHJuMmV6NXA5YXRzdnRyIiB0aW1lc3Rh
bXA9IjE1MzkxNDQ5NDMiPjMwPC9rZXk+PC9mb3JlaWduLWtleXM+PHJlZi10eXBlIG5hbWU9IlJl
cG9ydCI+Mjc8L3JlZi10eXBlPjxjb250cmlidXRvcnM+PGF1dGhvcnM+PGF1dGhvcj5HYWxsZW4s
IEM8L2F1dGhvcj48YXV0aG9yPkRldmxpbiwgTTwvYXV0aG9yPjxhdXRob3I+UGF4bWFuLCBDPC9h
dXRob3I+PGF1dGhvcj5CYW5rcywgQTwvYXV0aG9yPjxhdXRob3I+TXVlbGxlciwgSjwvYXV0aG9y
PjwvYXV0aG9ycz48L2NvbnRyaWJ1dG9ycz48dGl0bGVzPjx0aXRsZT5QZXN0aWNpZGUgbW9uaXRv
cmluZyBpbiBpbnNob3JlIHdhdGVycyBvZiB0aGUgR3JlYXQgQmFycmllciBSZWVmIHVzaW5nIGJv
dGggdGltZS1pbnRlZ3JhdGVkIGFuZCBldmVudCBtb25pdG9yaW5nIHRlY2huaXF1ZXMgKDIwMTIt
MjAxMyk8L3RpdGxlPjwvdGl0bGVzPjxkYXRlcz48eWVhcj4yMDEzPC95ZWFyPjwvZGF0ZXM+PHB1
Yi1sb2NhdGlvbj5UaGUgVW5pdmVyc2l0eSBvZiBRdWVlbnNsYW5kLCBUaGUgTmF0aW9uYWwgUmVz
ZWFyY2ggQ2VudHJlIGZvciBFbnZpcm9ubWVudGFsIFRveGljb2xvZ3kgKEVudG94KS48L3B1Yi1s
b2NhdGlvbj48dXJscz48L3VybHM+PC9yZWNvcmQ+PC9DaXRlPjxDaXRlPjxBdXRob3I+R2FsbGVu
PC9BdXRob3I+PFllYXI+MjAxNDwvWWVhcj48UmVjTnVtPjMxPC9SZWNOdW0+PHJlY29yZD48cmVj
LW51bWJlcj4zMTwvcmVjLW51bWJlcj48Zm9yZWlnbi1rZXlzPjxrZXkgYXBwPSJFTiIgZGItaWQ9
Inh0cHZwd3owdWZ4YTJtZTV0djZ2MnBybjJlejVwOWF0c3Z0ciIgdGltZXN0YW1wPSIxNTM5MTQ0
OTQzIj4zMTwva2V5PjwvZm9yZWlnbi1rZXlzPjxyZWYtdHlwZSBuYW1lPSJSZXBvcnQiPjI3PC9y
ZWYtdHlwZT48Y29udHJpYnV0b3JzPjxhdXRob3JzPjxhdXRob3I+R2FsbGVuLCBDPC9hdXRob3I+
PGF1dGhvcj5EZXZsaW4sIE08L2F1dGhvcj48YXV0aG9yPlRob21wc29uLCBLPC9hdXRob3I+PGF1
dGhvcj5QYXhtYW4sIEM8L2F1dGhvcj48YXV0aG9yPk11ZWxsZXIsIEo8L2F1dGhvcj48L2F1dGhv
cnM+PC9jb250cmlidXRvcnM+PHRpdGxlcz48dGl0bGU+UGVzdGljaWRlIG1vbml0b3JpbmcgaW4g
aW5zaG9yZSB3YXRlcnMgb2YgdGhlIEdyZWF0IEJhcnJpZXIgUmVlZiB1c2luZyBib3RoIHRpbWUt
aW50ZWdyYXRlZCBhbmQgZXZlbnQgbW9uaXRvcmluZyB0ZWNobmlxdWVzICgyMDEzLTIwMTQpPC90
aXRsZT48L3RpdGxlcz48ZGF0ZXM+PHllYXI+MjAxNDwveWVhcj48L2RhdGVzPjxwdWItbG9jYXRp
b24+VGhlIFVuaXZlcnNpdHkgb2YgUXVlZW5zbGFuZCwgVGhlIE5hdGlvbmFsIFJlc2VhcmNoIENl
bnRyZSBmb3IgRW52aXJvbm1lbnRhbCBUb3hpY29sb2d5IChFbnRveCk8L3B1Yi1sb2NhdGlvbj48
dXJscz48L3VybHM+PC9yZWNvcmQ+PC9DaXRlPjxDaXRlPjxBdXRob3I+R2FsbGVuPC9BdXRob3I+
PFllYXI+MjAxNjwvWWVhcj48UmVjTnVtPjMyPC9SZWNOdW0+PHJlY29yZD48cmVjLW51bWJlcj4z
MjwvcmVjLW51bWJlcj48Zm9yZWlnbi1rZXlzPjxrZXkgYXBwPSJFTiIgZGItaWQ9Inh0cHZwd3ow
dWZ4YTJtZTV0djZ2MnBybjJlejVwOWF0c3Z0ciIgdGltZXN0YW1wPSIxNTM5MTQ0OTQzIj4zMjwv
a2V5PjwvZm9yZWlnbi1rZXlzPjxyZWYtdHlwZSBuYW1lPSJSZXBvcnQiPjI3PC9yZWYtdHlwZT48
Y29udHJpYnV0b3JzPjxhdXRob3JzPjxhdXRob3I+R2FsbGVuLCBDLjwvYXV0aG9yPjxhdXRob3I+
VGhvbXBzb24sIEsuPC9hdXRob3I+PGF1dGhvcj5QYXhtYW4sIEMuPC9hdXRob3I+PGF1dGhvcj5E
ZXZsaW4sIE0uPC9hdXRob3I+PGF1dGhvcj5NdWVsbGVyLCBKLjwvYXV0aG9yPjwvYXV0aG9ycz48
L2NvbnRyaWJ1dG9ycz48dGl0bGVzPjx0aXRsZT5NYXJpbmUgTW9uaXRvcmluZyBQcm9ncmFtLiAg
QW5udWFsIFJlcG9ydCBmb3IgaW5zaG9yZSBwZXN0aWNpZGUgbW9uaXRvcmluZzogMjAxNCB0byAy
MDE1LiBSZXBvcnQgZm9yIHRoZSBHcmVhdCBCYXJyaWVyIFJlZWYgTWFyaW5lIFBhcmsgQXV0aG9y
aXR5PC90aXRsZT48L3RpdGxlcz48ZGF0ZXM+PHllYXI+MjAxNjwveWVhcj48L2RhdGVzPjxwdWJs
aXNoZXI+VGhlIFVuaXZlcnNpdHkgb2YgUXVlZW5zbGFuZCwgVGhlIE5hdGlvbmFsIFJlc2VhcmNo
IENlbnRyZSBmb3IgRW52aXJvbm1lbnRhbCBUb3hpY29sb2d5IChFbnRveCksIEJyaXNiYW5lPC9w
dWJsaXNoZXI+PHVybHM+PC91cmxzPjwvcmVjb3JkPjwvQ2l0ZT48Q2l0ZT48QXV0aG9yPkdyYW50
PC9BdXRob3I+PFllYXI+MjAxNzwvWWVhcj48UmVjTnVtPjMzPC9SZWNOdW0+PHJlY29yZD48cmVj
LW51bWJlcj4zMzwvcmVjLW51bWJlcj48Zm9yZWlnbi1rZXlzPjxrZXkgYXBwPSJFTiIgZGItaWQ9
Inh0cHZwd3owdWZ4YTJtZTV0djZ2MnBybjJlejVwOWF0c3Z0ciIgdGltZXN0YW1wPSIxNTM5MTQ0
OTQzIj4zMzwva2V5PjwvZm9yZWlnbi1rZXlzPjxyZWYtdHlwZSBuYW1lPSJSZXBvcnQiPjI3PC9y
ZWYtdHlwZT48Y29udHJpYnV0b3JzPjxhdXRob3JzPjxhdXRob3I+R3JhbnQsIFMuPC9hdXRob3I+
PGF1dGhvcj5HYWxsZW4sIEMuPC9hdXRob3I+PGF1dGhvcj5UaG9tcHNvbiwgSy48L2F1dGhvcj48
YXV0aG9yPlBheG1hbiwgQy48L2F1dGhvcj48YXV0aG9yPlRyYWNleSwgRC48L2F1dGhvcj48YXV0
aG9yPk11ZWxsZXIsIEouPC9hdXRob3I+PC9hdXRob3JzPjwvY29udHJpYnV0b3JzPjx0aXRsZXM+
PHRpdGxlPk1hcmluZSBNb25pdG9yaW5nIFByb2dyYW0uICBBbm51YWwgUmVwb3J0IGZvciBpbnNo
b3JlIHBlc3RpY2lkZSBtb25pdG9yaW5nOiAyMDE1LTIwMTYuIFJlcG9ydCBmb3IgdGhlIEdyZWF0
IEJhcnJpZXIgUmVlZiBNYXJpbmUgUGFyayBBdXRob3JpdHk8L3RpdGxlPjwvdGl0bGVzPjxwYWdl
cz5wcCAxMjc8L3BhZ2VzPjxkYXRlcz48eWVhcj4yMDE3PC95ZWFyPjwvZGF0ZXM+PHB1Ymxpc2hl
cj5HcmVhdCBCYXJyaWVyIFJlZWYgTWFyaW5lIFBhcmsgQXV0aG9yaXR5LCBUb3duc3ZpbGxlPC9w
dWJsaXNoZXI+PHVybHM+PC91cmxzPjwvcmVjb3JkPjwvQ2l0ZT48L0VuZE5vdGU+
</w:fldData>
        </w:fldChar>
      </w:r>
      <w:r w:rsidR="002D0872">
        <w:rPr>
          <w:lang w:val="en-AU"/>
        </w:rPr>
        <w:instrText xml:space="preserve"> ADDIN EN.CITE </w:instrText>
      </w:r>
      <w:r w:rsidR="002D0872">
        <w:rPr>
          <w:lang w:val="en-AU"/>
        </w:rPr>
        <w:fldChar w:fldCharType="begin">
          <w:fldData xml:space="preserve">PEVuZE5vdGU+PENpdGU+PEF1dGhvcj5LZW5uZWR5PC9BdXRob3I+PFllYXI+MjAxMjwvWWVhcj48
UmVjTnVtPjI5PC9SZWNOdW0+PERpc3BsYXlUZXh0PihHYWxsZW4gZXQgYWwuLCAyMDEzOyBHYWxs
ZW4gZXQgYWwuLCAyMDE0OyBHYWxsZW4gZXQgYWwuLCAyMDE2OyBHcmFudCBldCBhbC4sIDIwMTc7
IEtlbm5lZHkgZXQgYWwuLCAyMDEyKTwvRGlzcGxheVRleHQ+PHJlY29yZD48cmVjLW51bWJlcj4y
OTwvcmVjLW51bWJlcj48Zm9yZWlnbi1rZXlzPjxrZXkgYXBwPSJFTiIgZGItaWQ9Inh0cHZwd3ow
dWZ4YTJtZTV0djZ2MnBybjJlejVwOWF0c3Z0ciIgdGltZXN0YW1wPSIxNTM5MTQ0OTQzIj4yOTwv
a2V5PjwvZm9yZWlnbi1rZXlzPjxyZWYtdHlwZSBuYW1lPSJSZXBvcnQiPjI3PC9yZWYtdHlwZT48
Y29udHJpYnV0b3JzPjxhdXRob3JzPjxhdXRob3I+S2VubmVkeSwgS2FyZW48L2F1dGhvcj48YXV0
aG9yPkRldmxpbiwgTTwvYXV0aG9yPjxhdXRob3I+QmVudGxleSwgQzwvYXV0aG9yPjxhdXRob3I+
UGF4bWFuLCBDPC9hdXRob3I+PGF1dGhvcj5DaHVlLCBLTDwvYXV0aG9yPjxhdXRob3I+TXVlbGxl
ciwgSjwvYXV0aG9yPjwvYXV0aG9ycz48L2NvbnRyaWJ1dG9ycz48dGl0bGVzPjx0aXRsZT5QZXN0
aWNpZGUgbW9uaXRvcmluZyBpbiBpbnNob3JlIHdhdGVycyBvZiB0aGUgR3JlYXQgQmFycmllciBS
ZWVmIHVzaW5nIGJvdGggdGltZS1pbnRlZ3JhdGVkIGFuZCBldmVudCBtb25pdG9yaW5nIHRlY2hu
aXF1ZXMgKDIwMTAtMjAxMSk8L3RpdGxlPjwvdGl0bGVzPjxkYXRlcz48eWVhcj4yMDEyPC95ZWFy
PjwvZGF0ZXM+PHB1Yi1sb2NhdGlvbj5UaGUgVW5pdmVyc2l0eSBvZiBRdWVlbnNsYW5kLCBUaGUg
TmF0aW9uYWwgUmVzZWFyY2ggQ2VudHJlIGZvciBFbnZpcm9ubWVudGFsIFRveGljb2xvZ3kgKEVu
dG94KTwvcHViLWxvY2F0aW9uPjx1cmxzPjwvdXJscz48L3JlY29yZD48L0NpdGU+PENpdGU+PEF1
dGhvcj5HYWxsZW48L0F1dGhvcj48WWVhcj4yMDEzPC9ZZWFyPjxSZWNOdW0+MzA8L1JlY051bT48
cmVjb3JkPjxyZWMtbnVtYmVyPjMwPC9yZWMtbnVtYmVyPjxmb3JlaWduLWtleXM+PGtleSBhcHA9
IkVOIiBkYi1pZD0ieHRwdnB3ejB1ZnhhMm1lNXR2NnYycHJuMmV6NXA5YXRzdnRyIiB0aW1lc3Rh
bXA9IjE1MzkxNDQ5NDMiPjMwPC9rZXk+PC9mb3JlaWduLWtleXM+PHJlZi10eXBlIG5hbWU9IlJl
cG9ydCI+Mjc8L3JlZi10eXBlPjxjb250cmlidXRvcnM+PGF1dGhvcnM+PGF1dGhvcj5HYWxsZW4s
IEM8L2F1dGhvcj48YXV0aG9yPkRldmxpbiwgTTwvYXV0aG9yPjxhdXRob3I+UGF4bWFuLCBDPC9h
dXRob3I+PGF1dGhvcj5CYW5rcywgQTwvYXV0aG9yPjxhdXRob3I+TXVlbGxlciwgSjwvYXV0aG9y
PjwvYXV0aG9ycz48L2NvbnRyaWJ1dG9ycz48dGl0bGVzPjx0aXRsZT5QZXN0aWNpZGUgbW9uaXRv
cmluZyBpbiBpbnNob3JlIHdhdGVycyBvZiB0aGUgR3JlYXQgQmFycmllciBSZWVmIHVzaW5nIGJv
dGggdGltZS1pbnRlZ3JhdGVkIGFuZCBldmVudCBtb25pdG9yaW5nIHRlY2huaXF1ZXMgKDIwMTIt
MjAxMyk8L3RpdGxlPjwvdGl0bGVzPjxkYXRlcz48eWVhcj4yMDEzPC95ZWFyPjwvZGF0ZXM+PHB1
Yi1sb2NhdGlvbj5UaGUgVW5pdmVyc2l0eSBvZiBRdWVlbnNsYW5kLCBUaGUgTmF0aW9uYWwgUmVz
ZWFyY2ggQ2VudHJlIGZvciBFbnZpcm9ubWVudGFsIFRveGljb2xvZ3kgKEVudG94KS48L3B1Yi1s
b2NhdGlvbj48dXJscz48L3VybHM+PC9yZWNvcmQ+PC9DaXRlPjxDaXRlPjxBdXRob3I+R2FsbGVu
PC9BdXRob3I+PFllYXI+MjAxNDwvWWVhcj48UmVjTnVtPjMxPC9SZWNOdW0+PHJlY29yZD48cmVj
LW51bWJlcj4zMTwvcmVjLW51bWJlcj48Zm9yZWlnbi1rZXlzPjxrZXkgYXBwPSJFTiIgZGItaWQ9
Inh0cHZwd3owdWZ4YTJtZTV0djZ2MnBybjJlejVwOWF0c3Z0ciIgdGltZXN0YW1wPSIxNTM5MTQ0
OTQzIj4zMTwva2V5PjwvZm9yZWlnbi1rZXlzPjxyZWYtdHlwZSBuYW1lPSJSZXBvcnQiPjI3PC9y
ZWYtdHlwZT48Y29udHJpYnV0b3JzPjxhdXRob3JzPjxhdXRob3I+R2FsbGVuLCBDPC9hdXRob3I+
PGF1dGhvcj5EZXZsaW4sIE08L2F1dGhvcj48YXV0aG9yPlRob21wc29uLCBLPC9hdXRob3I+PGF1
dGhvcj5QYXhtYW4sIEM8L2F1dGhvcj48YXV0aG9yPk11ZWxsZXIsIEo8L2F1dGhvcj48L2F1dGhv
cnM+PC9jb250cmlidXRvcnM+PHRpdGxlcz48dGl0bGU+UGVzdGljaWRlIG1vbml0b3JpbmcgaW4g
aW5zaG9yZSB3YXRlcnMgb2YgdGhlIEdyZWF0IEJhcnJpZXIgUmVlZiB1c2luZyBib3RoIHRpbWUt
aW50ZWdyYXRlZCBhbmQgZXZlbnQgbW9uaXRvcmluZyB0ZWNobmlxdWVzICgyMDEzLTIwMTQpPC90
aXRsZT48L3RpdGxlcz48ZGF0ZXM+PHllYXI+MjAxNDwveWVhcj48L2RhdGVzPjxwdWItbG9jYXRp
b24+VGhlIFVuaXZlcnNpdHkgb2YgUXVlZW5zbGFuZCwgVGhlIE5hdGlvbmFsIFJlc2VhcmNoIENl
bnRyZSBmb3IgRW52aXJvbm1lbnRhbCBUb3hpY29sb2d5IChFbnRveCk8L3B1Yi1sb2NhdGlvbj48
dXJscz48L3VybHM+PC9yZWNvcmQ+PC9DaXRlPjxDaXRlPjxBdXRob3I+R2FsbGVuPC9BdXRob3I+
PFllYXI+MjAxNjwvWWVhcj48UmVjTnVtPjMyPC9SZWNOdW0+PHJlY29yZD48cmVjLW51bWJlcj4z
MjwvcmVjLW51bWJlcj48Zm9yZWlnbi1rZXlzPjxrZXkgYXBwPSJFTiIgZGItaWQ9Inh0cHZwd3ow
dWZ4YTJtZTV0djZ2MnBybjJlejVwOWF0c3Z0ciIgdGltZXN0YW1wPSIxNTM5MTQ0OTQzIj4zMjwv
a2V5PjwvZm9yZWlnbi1rZXlzPjxyZWYtdHlwZSBuYW1lPSJSZXBvcnQiPjI3PC9yZWYtdHlwZT48
Y29udHJpYnV0b3JzPjxhdXRob3JzPjxhdXRob3I+R2FsbGVuLCBDLjwvYXV0aG9yPjxhdXRob3I+
VGhvbXBzb24sIEsuPC9hdXRob3I+PGF1dGhvcj5QYXhtYW4sIEMuPC9hdXRob3I+PGF1dGhvcj5E
ZXZsaW4sIE0uPC9hdXRob3I+PGF1dGhvcj5NdWVsbGVyLCBKLjwvYXV0aG9yPjwvYXV0aG9ycz48
L2NvbnRyaWJ1dG9ycz48dGl0bGVzPjx0aXRsZT5NYXJpbmUgTW9uaXRvcmluZyBQcm9ncmFtLiAg
QW5udWFsIFJlcG9ydCBmb3IgaW5zaG9yZSBwZXN0aWNpZGUgbW9uaXRvcmluZzogMjAxNCB0byAy
MDE1LiBSZXBvcnQgZm9yIHRoZSBHcmVhdCBCYXJyaWVyIFJlZWYgTWFyaW5lIFBhcmsgQXV0aG9y
aXR5PC90aXRsZT48L3RpdGxlcz48ZGF0ZXM+PHllYXI+MjAxNjwveWVhcj48L2RhdGVzPjxwdWJs
aXNoZXI+VGhlIFVuaXZlcnNpdHkgb2YgUXVlZW5zbGFuZCwgVGhlIE5hdGlvbmFsIFJlc2VhcmNo
IENlbnRyZSBmb3IgRW52aXJvbm1lbnRhbCBUb3hpY29sb2d5IChFbnRveCksIEJyaXNiYW5lPC9w
dWJsaXNoZXI+PHVybHM+PC91cmxzPjwvcmVjb3JkPjwvQ2l0ZT48Q2l0ZT48QXV0aG9yPkdyYW50
PC9BdXRob3I+PFllYXI+MjAxNzwvWWVhcj48UmVjTnVtPjMzPC9SZWNOdW0+PHJlY29yZD48cmVj
LW51bWJlcj4zMzwvcmVjLW51bWJlcj48Zm9yZWlnbi1rZXlzPjxrZXkgYXBwPSJFTiIgZGItaWQ9
Inh0cHZwd3owdWZ4YTJtZTV0djZ2MnBybjJlejVwOWF0c3Z0ciIgdGltZXN0YW1wPSIxNTM5MTQ0
OTQzIj4zMzwva2V5PjwvZm9yZWlnbi1rZXlzPjxyZWYtdHlwZSBuYW1lPSJSZXBvcnQiPjI3PC9y
ZWYtdHlwZT48Y29udHJpYnV0b3JzPjxhdXRob3JzPjxhdXRob3I+R3JhbnQsIFMuPC9hdXRob3I+
PGF1dGhvcj5HYWxsZW4sIEMuPC9hdXRob3I+PGF1dGhvcj5UaG9tcHNvbiwgSy48L2F1dGhvcj48
YXV0aG9yPlBheG1hbiwgQy48L2F1dGhvcj48YXV0aG9yPlRyYWNleSwgRC48L2F1dGhvcj48YXV0
aG9yPk11ZWxsZXIsIEouPC9hdXRob3I+PC9hdXRob3JzPjwvY29udHJpYnV0b3JzPjx0aXRsZXM+
PHRpdGxlPk1hcmluZSBNb25pdG9yaW5nIFByb2dyYW0uICBBbm51YWwgUmVwb3J0IGZvciBpbnNo
b3JlIHBlc3RpY2lkZSBtb25pdG9yaW5nOiAyMDE1LTIwMTYuIFJlcG9ydCBmb3IgdGhlIEdyZWF0
IEJhcnJpZXIgUmVlZiBNYXJpbmUgUGFyayBBdXRob3JpdHk8L3RpdGxlPjwvdGl0bGVzPjxwYWdl
cz5wcCAxMjc8L3BhZ2VzPjxkYXRlcz48eWVhcj4yMDE3PC95ZWFyPjwvZGF0ZXM+PHB1Ymxpc2hl
cj5HcmVhdCBCYXJyaWVyIFJlZWYgTWFyaW5lIFBhcmsgQXV0aG9yaXR5LCBUb3duc3ZpbGxlPC9w
dWJsaXNoZXI+PHVybHM+PC91cmxzPjwvcmVjb3JkPjwvQ2l0ZT48L0VuZE5vdGU+
</w:fldData>
        </w:fldChar>
      </w:r>
      <w:r w:rsidR="002D0872">
        <w:rPr>
          <w:lang w:val="en-AU"/>
        </w:rPr>
        <w:instrText xml:space="preserve"> ADDIN EN.CITE.DATA </w:instrText>
      </w:r>
      <w:r w:rsidR="002D0872">
        <w:rPr>
          <w:lang w:val="en-AU"/>
        </w:rPr>
      </w:r>
      <w:r w:rsidR="002D0872">
        <w:rPr>
          <w:lang w:val="en-AU"/>
        </w:rPr>
        <w:fldChar w:fldCharType="end"/>
      </w:r>
      <w:r w:rsidR="00C91BF5">
        <w:rPr>
          <w:lang w:val="en-AU"/>
        </w:rPr>
      </w:r>
      <w:r w:rsidR="00C91BF5">
        <w:rPr>
          <w:lang w:val="en-AU"/>
        </w:rPr>
        <w:fldChar w:fldCharType="separate"/>
      </w:r>
      <w:r w:rsidR="002D0872">
        <w:rPr>
          <w:noProof/>
          <w:lang w:val="en-AU"/>
        </w:rPr>
        <w:t>(Gallen et al., 2013; Gallen et al., 2014; Gallen et al., 2016; Grant et al., 2017; Kennedy et al., 2012)</w:t>
      </w:r>
      <w:r w:rsidR="00C91BF5">
        <w:rPr>
          <w:lang w:val="en-AU"/>
        </w:rPr>
        <w:fldChar w:fldCharType="end"/>
      </w:r>
      <w:r w:rsidR="00D319F5">
        <w:rPr>
          <w:noProof/>
          <w:lang w:val="en-AU"/>
        </w:rPr>
        <w:t>.</w:t>
      </w:r>
      <w:r w:rsidR="002409CC">
        <w:rPr>
          <w:noProof/>
          <w:lang w:val="en-AU"/>
        </w:rPr>
        <w:t xml:space="preserve"> </w:t>
      </w:r>
    </w:p>
    <w:p w14:paraId="309B52EA" w14:textId="77777777" w:rsidR="00F36829" w:rsidRDefault="00F36829" w:rsidP="002439C8">
      <w:pPr>
        <w:pStyle w:val="ListParagraph"/>
        <w:spacing w:line="276" w:lineRule="auto"/>
        <w:ind w:left="0"/>
        <w:jc w:val="left"/>
        <w:rPr>
          <w:lang w:val="en-AU"/>
        </w:rPr>
      </w:pPr>
    </w:p>
    <w:p w14:paraId="51C89BBF" w14:textId="77777777" w:rsidR="0059608E" w:rsidRPr="004E0EF8" w:rsidRDefault="0059608E" w:rsidP="002439C8">
      <w:pPr>
        <w:pStyle w:val="Heading2"/>
        <w:jc w:val="left"/>
      </w:pPr>
      <w:bookmarkStart w:id="33" w:name="_Toc461457752"/>
      <w:bookmarkStart w:id="34" w:name="_Toc14435677"/>
      <w:r w:rsidRPr="004E0EF8">
        <w:t>S</w:t>
      </w:r>
      <w:r w:rsidR="00170EC4" w:rsidRPr="004E0EF8">
        <w:t>tudy area and s</w:t>
      </w:r>
      <w:r w:rsidRPr="004E0EF8">
        <w:t>ampling sites</w:t>
      </w:r>
      <w:bookmarkEnd w:id="33"/>
      <w:bookmarkEnd w:id="34"/>
    </w:p>
    <w:p w14:paraId="180BC5D5" w14:textId="77777777" w:rsidR="0059608E" w:rsidRPr="004E0EF8" w:rsidRDefault="0059608E" w:rsidP="002439C8">
      <w:pPr>
        <w:pStyle w:val="Heading3"/>
        <w:jc w:val="left"/>
      </w:pPr>
      <w:bookmarkStart w:id="35" w:name="_Toc461457753"/>
      <w:bookmarkStart w:id="36" w:name="_Toc14435678"/>
      <w:r w:rsidRPr="004E0EF8">
        <w:t xml:space="preserve">Fixed monitoring </w:t>
      </w:r>
      <w:r w:rsidR="003B6560" w:rsidRPr="004E0EF8">
        <w:t>site</w:t>
      </w:r>
      <w:r w:rsidR="003B6560">
        <w:t>s</w:t>
      </w:r>
      <w:r w:rsidR="003B6560" w:rsidRPr="004E0EF8">
        <w:t xml:space="preserve"> </w:t>
      </w:r>
      <w:r w:rsidRPr="004E0EF8">
        <w:t>(passive samplers)</w:t>
      </w:r>
      <w:bookmarkEnd w:id="35"/>
      <w:bookmarkEnd w:id="36"/>
    </w:p>
    <w:p w14:paraId="16B12EE2" w14:textId="77777777" w:rsidR="00056CEF" w:rsidRDefault="00E63A83" w:rsidP="002439C8">
      <w:pPr>
        <w:spacing w:line="276" w:lineRule="auto"/>
        <w:jc w:val="left"/>
        <w:rPr>
          <w:rFonts w:cs="Arial"/>
          <w:lang w:val="en-AU"/>
        </w:rPr>
      </w:pPr>
      <w:r>
        <w:rPr>
          <w:rFonts w:cs="Arial"/>
          <w:lang w:val="en-AU"/>
        </w:rPr>
        <w:lastRenderedPageBreak/>
        <w:t xml:space="preserve">Based on </w:t>
      </w:r>
      <w:r w:rsidR="0082605F" w:rsidRPr="0082605F">
        <w:rPr>
          <w:rFonts w:cs="Arial"/>
          <w:lang w:val="en-AU"/>
        </w:rPr>
        <w:t xml:space="preserve">criteria </w:t>
      </w:r>
      <w:r w:rsidR="009A590A">
        <w:rPr>
          <w:rFonts w:cs="Arial"/>
          <w:lang w:val="en-AU"/>
        </w:rPr>
        <w:t xml:space="preserve">outlined in previous reports </w:t>
      </w:r>
      <w:r w:rsidR="009A590A">
        <w:rPr>
          <w:rFonts w:cs="Arial"/>
          <w:lang w:val="en-AU"/>
        </w:rPr>
        <w:fldChar w:fldCharType="begin"/>
      </w:r>
      <w:r w:rsidR="00E81A88">
        <w:rPr>
          <w:rFonts w:cs="Arial"/>
          <w:lang w:val="en-AU"/>
        </w:rPr>
        <w:instrText xml:space="preserve"> ADDIN EN.CITE &lt;EndNote&gt;&lt;Cite&gt;&lt;Author&gt;Grant&lt;/Author&gt;&lt;Year&gt;2017&lt;/Year&gt;&lt;RecNum&gt;33&lt;/RecNum&gt;&lt;DisplayText&gt;(Grant et al., 2017)&lt;/DisplayText&gt;&lt;record&gt;&lt;rec-number&gt;33&lt;/rec-number&gt;&lt;foreign-keys&gt;&lt;key app="EN" db-id="xtpvpwz0ufxa2me5tv6v2prn2ez5p9atsvtr" timestamp="1539144943"&gt;33&lt;/key&gt;&lt;/foreign-keys&gt;&lt;ref-type name="Report"&gt;27&lt;/ref-type&gt;&lt;contributors&gt;&lt;authors&gt;&lt;author&gt;Grant, S.&lt;/author&gt;&lt;author&gt;Gallen, C.&lt;/author&gt;&lt;author&gt;Thompson, K.&lt;/author&gt;&lt;author&gt;Paxman, C.&lt;/author&gt;&lt;author&gt;Tracey, D.&lt;/author&gt;&lt;author&gt;Mueller, J.&lt;/author&gt;&lt;/authors&gt;&lt;/contributors&gt;&lt;titles&gt;&lt;title&gt;Marine Monitoring Program.  Annual Report for inshore pesticide monitoring: 2015-2016. Report for the Great Barrier Reef Marine Park Authority&lt;/title&gt;&lt;/titles&gt;&lt;pages&gt;pp 127&lt;/pages&gt;&lt;dates&gt;&lt;year&gt;2017&lt;/year&gt;&lt;/dates&gt;&lt;publisher&gt;Great Barrier Reef Marine Park Authority, Townsville&lt;/publisher&gt;&lt;urls&gt;&lt;/urls&gt;&lt;/record&gt;&lt;/Cite&gt;&lt;/EndNote&gt;</w:instrText>
      </w:r>
      <w:r w:rsidR="009A590A">
        <w:rPr>
          <w:rFonts w:cs="Arial"/>
          <w:lang w:val="en-AU"/>
        </w:rPr>
        <w:fldChar w:fldCharType="separate"/>
      </w:r>
      <w:r w:rsidR="00E81A88">
        <w:rPr>
          <w:rFonts w:cs="Arial"/>
          <w:noProof/>
          <w:lang w:val="en-AU"/>
        </w:rPr>
        <w:t>(Grant et al., 2017)</w:t>
      </w:r>
      <w:r w:rsidR="009A590A">
        <w:rPr>
          <w:rFonts w:cs="Arial"/>
          <w:lang w:val="en-AU"/>
        </w:rPr>
        <w:fldChar w:fldCharType="end"/>
      </w:r>
      <w:r>
        <w:rPr>
          <w:rFonts w:cs="Arial"/>
          <w:lang w:val="en-AU"/>
        </w:rPr>
        <w:t>, eleven i</w:t>
      </w:r>
      <w:r w:rsidR="00FE0E7D" w:rsidRPr="0062446E">
        <w:rPr>
          <w:rFonts w:cs="Arial"/>
          <w:lang w:val="en-AU"/>
        </w:rPr>
        <w:t xml:space="preserve">nshore </w:t>
      </w:r>
      <w:r w:rsidR="00FE0E7D">
        <w:rPr>
          <w:rFonts w:cs="Arial"/>
          <w:lang w:val="en-AU"/>
        </w:rPr>
        <w:t>Reef</w:t>
      </w:r>
      <w:r w:rsidR="00FE0E7D" w:rsidRPr="0062446E">
        <w:rPr>
          <w:rFonts w:cs="Arial"/>
          <w:lang w:val="en-AU"/>
        </w:rPr>
        <w:t xml:space="preserve"> </w:t>
      </w:r>
      <w:r w:rsidR="00FE0E7D" w:rsidRPr="00FE0E7D">
        <w:rPr>
          <w:rFonts w:cs="Arial"/>
          <w:lang w:val="en-AU"/>
        </w:rPr>
        <w:t>sites</w:t>
      </w:r>
      <w:r w:rsidR="009A590A">
        <w:rPr>
          <w:rFonts w:cs="Arial"/>
          <w:lang w:val="en-AU"/>
        </w:rPr>
        <w:t xml:space="preserve"> have been monitored since</w:t>
      </w:r>
      <w:r w:rsidR="00FE0E7D" w:rsidRPr="00FE0E7D">
        <w:rPr>
          <w:rFonts w:cs="Arial"/>
          <w:lang w:val="en-AU"/>
        </w:rPr>
        <w:t xml:space="preserve"> </w:t>
      </w:r>
      <w:r w:rsidR="00FE0E7D">
        <w:rPr>
          <w:rFonts w:cs="Arial"/>
          <w:lang w:val="en-AU"/>
        </w:rPr>
        <w:t>2014</w:t>
      </w:r>
      <w:r w:rsidR="001A3A18">
        <w:rPr>
          <w:rFonts w:cs="Arial"/>
          <w:lang w:val="en-AU"/>
        </w:rPr>
        <w:t>-</w:t>
      </w:r>
      <w:r w:rsidR="00FE0E7D">
        <w:rPr>
          <w:rFonts w:cs="Arial"/>
          <w:lang w:val="en-AU"/>
        </w:rPr>
        <w:t>15</w:t>
      </w:r>
      <w:r w:rsidR="00FE0E7D" w:rsidRPr="00FE0E7D">
        <w:rPr>
          <w:rFonts w:cs="Arial"/>
          <w:lang w:val="en-AU"/>
        </w:rPr>
        <w:t>, includ</w:t>
      </w:r>
      <w:r w:rsidR="00747544">
        <w:rPr>
          <w:rFonts w:cs="Arial"/>
          <w:lang w:val="en-AU"/>
        </w:rPr>
        <w:t>ing</w:t>
      </w:r>
      <w:r w:rsidR="00FE0E7D" w:rsidRPr="00FE0E7D">
        <w:rPr>
          <w:rFonts w:cs="Arial"/>
          <w:lang w:val="en-AU"/>
        </w:rPr>
        <w:t xml:space="preserve"> five </w:t>
      </w:r>
      <w:r w:rsidR="00FE0E7D">
        <w:rPr>
          <w:rFonts w:cs="Arial"/>
          <w:lang w:val="en-AU"/>
        </w:rPr>
        <w:t xml:space="preserve">sites </w:t>
      </w:r>
      <w:r w:rsidR="00747544">
        <w:rPr>
          <w:rFonts w:cs="Arial"/>
          <w:lang w:val="en-AU"/>
        </w:rPr>
        <w:t xml:space="preserve">monitored since at least 2009 </w:t>
      </w:r>
      <w:r w:rsidR="00FE0E7D">
        <w:rPr>
          <w:rFonts w:cs="Arial"/>
          <w:lang w:val="en-AU"/>
        </w:rPr>
        <w:t>(</w:t>
      </w:r>
      <w:r w:rsidR="00C91BF5">
        <w:rPr>
          <w:rFonts w:cs="Arial"/>
          <w:lang w:val="en-AU"/>
        </w:rPr>
        <w:fldChar w:fldCharType="begin"/>
      </w:r>
      <w:r w:rsidR="00210B7C">
        <w:rPr>
          <w:rFonts w:cs="Arial"/>
          <w:lang w:val="en-AU"/>
        </w:rPr>
        <w:instrText xml:space="preserve"> REF _Ref480724246 \h </w:instrText>
      </w:r>
      <w:r w:rsidR="001A3A18">
        <w:rPr>
          <w:rFonts w:cs="Arial"/>
          <w:lang w:val="en-AU"/>
        </w:rPr>
        <w:instrText xml:space="preserve"> \* MERGEFORMAT </w:instrText>
      </w:r>
      <w:r w:rsidR="00C91BF5">
        <w:rPr>
          <w:rFonts w:cs="Arial"/>
          <w:lang w:val="en-AU"/>
        </w:rPr>
      </w:r>
      <w:r w:rsidR="00C91BF5">
        <w:rPr>
          <w:rFonts w:cs="Arial"/>
          <w:lang w:val="en-AU"/>
        </w:rPr>
        <w:fldChar w:fldCharType="separate"/>
      </w:r>
      <w:r w:rsidR="00251B46" w:rsidRPr="00251B46">
        <w:rPr>
          <w:rFonts w:cs="Arial"/>
          <w:lang w:val="en-AU"/>
        </w:rPr>
        <w:t>Table 1</w:t>
      </w:r>
      <w:r w:rsidR="00C91BF5">
        <w:rPr>
          <w:rFonts w:cs="Arial"/>
          <w:lang w:val="en-AU"/>
        </w:rPr>
        <w:fldChar w:fldCharType="end"/>
      </w:r>
      <w:r w:rsidR="00FE0E7D">
        <w:rPr>
          <w:rFonts w:cs="Arial"/>
          <w:lang w:val="en-AU"/>
        </w:rPr>
        <w:t xml:space="preserve">). </w:t>
      </w:r>
      <w:r w:rsidR="00056CEF" w:rsidRPr="00FE0E7D">
        <w:rPr>
          <w:rFonts w:cs="Arial"/>
          <w:lang w:val="en-AU"/>
        </w:rPr>
        <w:t xml:space="preserve">Sites </w:t>
      </w:r>
      <w:r w:rsidR="00747544">
        <w:rPr>
          <w:rFonts w:cs="Arial"/>
          <w:lang w:val="en-AU"/>
        </w:rPr>
        <w:t>are</w:t>
      </w:r>
      <w:r w:rsidR="00747544" w:rsidRPr="00FE0E7D">
        <w:rPr>
          <w:rFonts w:cs="Arial"/>
          <w:lang w:val="en-AU"/>
        </w:rPr>
        <w:t xml:space="preserve"> </w:t>
      </w:r>
      <w:r w:rsidR="00056CEF" w:rsidRPr="00FE0E7D">
        <w:rPr>
          <w:rFonts w:cs="Arial"/>
          <w:lang w:val="en-AU"/>
        </w:rPr>
        <w:t xml:space="preserve">located within the </w:t>
      </w:r>
      <w:r w:rsidR="000B6D8A">
        <w:rPr>
          <w:rFonts w:cs="Arial"/>
          <w:lang w:val="en-AU"/>
        </w:rPr>
        <w:t xml:space="preserve">expected </w:t>
      </w:r>
      <w:r w:rsidR="00056CEF" w:rsidRPr="00FE0E7D">
        <w:rPr>
          <w:rFonts w:cs="Arial"/>
          <w:lang w:val="en-AU"/>
        </w:rPr>
        <w:t>extent of flood plumes from rivers that drain a variety of land</w:t>
      </w:r>
      <w:r w:rsidR="00E623FE">
        <w:rPr>
          <w:rFonts w:cs="Arial"/>
          <w:lang w:val="en-AU"/>
        </w:rPr>
        <w:t xml:space="preserve"> </w:t>
      </w:r>
      <w:r w:rsidR="00056CEF" w:rsidRPr="00FE0E7D">
        <w:rPr>
          <w:rFonts w:cs="Arial"/>
          <w:lang w:val="en-AU"/>
        </w:rPr>
        <w:t xml:space="preserve">uses </w:t>
      </w:r>
      <w:r w:rsidR="006E69F4">
        <w:rPr>
          <w:rFonts w:cs="Arial"/>
          <w:lang w:val="en-AU"/>
        </w:rPr>
        <w:t>on the adjacent catchment areas</w:t>
      </w:r>
      <w:r w:rsidR="00056CEF" w:rsidRPr="00FE0E7D">
        <w:rPr>
          <w:rFonts w:cs="Arial"/>
          <w:lang w:val="en-AU"/>
        </w:rPr>
        <w:t xml:space="preserve"> and discharge into the Reef lagoon (</w:t>
      </w:r>
      <w:r w:rsidR="00C91BF5">
        <w:rPr>
          <w:rFonts w:cs="Arial"/>
          <w:lang w:val="en-AU"/>
        </w:rPr>
        <w:fldChar w:fldCharType="begin"/>
      </w:r>
      <w:r w:rsidR="00210B7C">
        <w:rPr>
          <w:rFonts w:cs="Arial"/>
          <w:lang w:val="en-AU"/>
        </w:rPr>
        <w:instrText xml:space="preserve"> REF _Ref480724246 \h </w:instrText>
      </w:r>
      <w:r w:rsidR="001A3A18">
        <w:rPr>
          <w:rFonts w:cs="Arial"/>
          <w:lang w:val="en-AU"/>
        </w:rPr>
        <w:instrText xml:space="preserve"> \* MERGEFORMAT </w:instrText>
      </w:r>
      <w:r w:rsidR="00C91BF5">
        <w:rPr>
          <w:rFonts w:cs="Arial"/>
          <w:lang w:val="en-AU"/>
        </w:rPr>
      </w:r>
      <w:r w:rsidR="00C91BF5">
        <w:rPr>
          <w:rFonts w:cs="Arial"/>
          <w:lang w:val="en-AU"/>
        </w:rPr>
        <w:fldChar w:fldCharType="separate"/>
      </w:r>
      <w:r w:rsidR="00251B46" w:rsidRPr="00251B46">
        <w:rPr>
          <w:rFonts w:cs="Arial"/>
          <w:lang w:val="en-AU"/>
        </w:rPr>
        <w:t>Table 1</w:t>
      </w:r>
      <w:r w:rsidR="00C91BF5">
        <w:rPr>
          <w:rFonts w:cs="Arial"/>
          <w:lang w:val="en-AU"/>
        </w:rPr>
        <w:fldChar w:fldCharType="end"/>
      </w:r>
      <w:r w:rsidR="00056CEF" w:rsidRPr="00FE0E7D">
        <w:rPr>
          <w:rFonts w:cs="Arial"/>
          <w:lang w:val="en-AU"/>
        </w:rPr>
        <w:t xml:space="preserve">). </w:t>
      </w:r>
      <w:r w:rsidR="006E69F4">
        <w:rPr>
          <w:rFonts w:cs="Arial"/>
          <w:lang w:val="en-AU"/>
        </w:rPr>
        <w:t>Of the 11 sites monitored for pesticides, three (Low Isles, Dunk Island, and Sarina Inlet)</w:t>
      </w:r>
      <w:r w:rsidR="006E69F4" w:rsidRPr="0062446E">
        <w:rPr>
          <w:rFonts w:cs="Arial"/>
          <w:lang w:val="en-AU"/>
        </w:rPr>
        <w:t xml:space="preserve"> are </w:t>
      </w:r>
      <w:r w:rsidR="006E69F4">
        <w:rPr>
          <w:rFonts w:cs="Arial"/>
          <w:lang w:val="en-AU"/>
        </w:rPr>
        <w:t xml:space="preserve">also </w:t>
      </w:r>
      <w:r w:rsidR="006E69F4" w:rsidRPr="0062446E">
        <w:rPr>
          <w:rFonts w:cs="Arial"/>
          <w:lang w:val="en-AU"/>
        </w:rPr>
        <w:t xml:space="preserve">seagrass monitoring sites </w:t>
      </w:r>
      <w:r w:rsidR="000B6D8A">
        <w:rPr>
          <w:rFonts w:cs="Arial"/>
          <w:lang w:val="en-AU"/>
        </w:rPr>
        <w:t xml:space="preserve">under other elements of the </w:t>
      </w:r>
      <w:r w:rsidR="006E69F4" w:rsidRPr="0062446E">
        <w:rPr>
          <w:rFonts w:cs="Arial"/>
          <w:lang w:val="en-AU"/>
        </w:rPr>
        <w:t>MMP</w:t>
      </w:r>
      <w:r w:rsidR="00E623FE">
        <w:rPr>
          <w:rFonts w:cs="Arial"/>
          <w:lang w:val="en-AU"/>
        </w:rPr>
        <w:t xml:space="preserve"> </w:t>
      </w:r>
      <w:r w:rsidR="006C0AEC">
        <w:rPr>
          <w:rFonts w:cs="Arial"/>
          <w:lang w:val="en-AU"/>
        </w:rPr>
        <w:fldChar w:fldCharType="begin"/>
      </w:r>
      <w:r w:rsidR="0058467F">
        <w:rPr>
          <w:rFonts w:cs="Arial"/>
          <w:lang w:val="en-AU"/>
        </w:rPr>
        <w:instrText xml:space="preserve"> ADDIN EN.CITE &lt;EndNote&gt;&lt;Cite&gt;&lt;Author&gt;McKenzie&lt;/Author&gt;&lt;Year&gt;2017&lt;/Year&gt;&lt;RecNum&gt;35&lt;/RecNum&gt;&lt;DisplayText&gt;(McKenzie et al., 2017)&lt;/DisplayText&gt;&lt;record&gt;&lt;rec-number&gt;35&lt;/rec-number&gt;&lt;foreign-keys&gt;&lt;key app="EN" db-id="xtpvpwz0ufxa2me5tv6v2prn2ez5p9atsvtr" timestamp="1539144943"&gt;35&lt;/key&gt;&lt;/foreign-keys&gt;&lt;ref-type name="Report"&gt;27&lt;/ref-type&gt;&lt;contributors&gt;&lt;authors&gt;&lt;author&gt;McKenzie, LJ&lt;/author&gt;&lt;author&gt;Collier, CJ&lt;/author&gt;&lt;author&gt;Langlois, LA&lt;/author&gt;&lt;author&gt;Yoshida, RL&lt;/author&gt;&lt;author&gt;Smith, N&lt;/author&gt;&lt;author&gt;Waycott, M&lt;/author&gt;&lt;/authors&gt;&lt;/contributors&gt;&lt;titles&gt;&lt;title&gt;Marine Monitoring Program: Annual Report for inshore seagrass monitoring 2015-2016. Report for the Great Barrier Reef Marine Park Authority, Great Barrier Reef Marine Park Authority, Townsville, 243pp&lt;/title&gt;&lt;/titles&gt;&lt;dates&gt;&lt;year&gt;2017&lt;/year&gt;&lt;/dates&gt;&lt;urls&gt;&lt;/urls&gt;&lt;/record&gt;&lt;/Cite&gt;&lt;/EndNote&gt;</w:instrText>
      </w:r>
      <w:r w:rsidR="006C0AEC">
        <w:rPr>
          <w:rFonts w:cs="Arial"/>
          <w:lang w:val="en-AU"/>
        </w:rPr>
        <w:fldChar w:fldCharType="separate"/>
      </w:r>
      <w:r w:rsidR="00B33845">
        <w:rPr>
          <w:rFonts w:cs="Arial"/>
          <w:noProof/>
          <w:lang w:val="en-AU"/>
        </w:rPr>
        <w:t>(McKenzie et al., 2017)</w:t>
      </w:r>
      <w:r w:rsidR="006C0AEC">
        <w:rPr>
          <w:rFonts w:cs="Arial"/>
          <w:lang w:val="en-AU"/>
        </w:rPr>
        <w:fldChar w:fldCharType="end"/>
      </w:r>
      <w:r w:rsidR="006E69F4" w:rsidRPr="0062446E">
        <w:rPr>
          <w:rFonts w:cs="Arial"/>
          <w:lang w:val="en-AU"/>
        </w:rPr>
        <w:t>.</w:t>
      </w:r>
      <w:r w:rsidR="006E69F4">
        <w:rPr>
          <w:rFonts w:cs="Arial"/>
          <w:lang w:val="en-AU"/>
        </w:rPr>
        <w:t xml:space="preserve"> Five sites (Low Isles, High Island, Normanby Island, Dunk Island and North Keppel Island) </w:t>
      </w:r>
      <w:r w:rsidR="00CE700A">
        <w:rPr>
          <w:rFonts w:cs="Arial"/>
          <w:lang w:val="en-AU"/>
        </w:rPr>
        <w:t xml:space="preserve">are </w:t>
      </w:r>
      <w:r w:rsidR="000B6D8A">
        <w:rPr>
          <w:rFonts w:cs="Arial"/>
          <w:lang w:val="en-AU"/>
        </w:rPr>
        <w:t>nearby to</w:t>
      </w:r>
      <w:r w:rsidR="006E69F4">
        <w:rPr>
          <w:rFonts w:cs="Arial"/>
          <w:lang w:val="en-AU"/>
        </w:rPr>
        <w:t xml:space="preserve"> </w:t>
      </w:r>
      <w:r w:rsidR="000B6D8A">
        <w:rPr>
          <w:rFonts w:cs="Arial"/>
          <w:lang w:val="en-AU"/>
        </w:rPr>
        <w:t xml:space="preserve">monitored </w:t>
      </w:r>
      <w:r w:rsidR="006E69F4">
        <w:rPr>
          <w:rFonts w:cs="Arial"/>
          <w:lang w:val="en-AU"/>
        </w:rPr>
        <w:t xml:space="preserve">coral reefs </w:t>
      </w:r>
      <w:r w:rsidR="006C0AEC">
        <w:rPr>
          <w:rFonts w:cs="Arial"/>
          <w:lang w:val="en-AU"/>
        </w:rPr>
        <w:fldChar w:fldCharType="begin"/>
      </w:r>
      <w:r w:rsidR="0058467F">
        <w:rPr>
          <w:rFonts w:cs="Arial"/>
          <w:lang w:val="en-AU"/>
        </w:rPr>
        <w:instrText xml:space="preserve"> ADDIN EN.CITE &lt;EndNote&gt;&lt;Cite&gt;&lt;Author&gt;Thompson&lt;/Author&gt;&lt;Year&gt;2017&lt;/Year&gt;&lt;RecNum&gt;36&lt;/RecNum&gt;&lt;DisplayText&gt;(Thompson et al., 2017)&lt;/DisplayText&gt;&lt;record&gt;&lt;rec-number&gt;36&lt;/rec-number&gt;&lt;foreign-keys&gt;&lt;key app="EN" db-id="xtpvpwz0ufxa2me5tv6v2prn2ez5p9atsvtr" timestamp="1539144943"&gt;36&lt;/key&gt;&lt;/foreign-keys&gt;&lt;ref-type name="Report"&gt;27&lt;/ref-type&gt;&lt;contributors&gt;&lt;authors&gt;&lt;author&gt;Thompson, A&lt;/author&gt;&lt;author&gt;Costello, P&lt;/author&gt;&lt;author&gt;Davidson, J&lt;/author&gt;&lt;author&gt;Logan, M&lt;/author&gt;&lt;author&gt;Coleman, G&lt;/author&gt;&lt;author&gt;Gunn, K&lt;/author&gt;&lt;author&gt;Schaffelke, B&lt;/author&gt;&lt;/authors&gt;&lt;/contributors&gt;&lt;titles&gt;&lt;title&gt;Marine Monitoring Program. Annual Report for coral reef monitoring: 2015 to 2016. Australian Institute of Marine Science, Townsville.133 pp.&lt;/title&gt;&lt;/titles&gt;&lt;dates&gt;&lt;year&gt;2017&lt;/year&gt;&lt;/dates&gt;&lt;urls&gt;&lt;/urls&gt;&lt;/record&gt;&lt;/Cite&gt;&lt;/EndNote&gt;</w:instrText>
      </w:r>
      <w:r w:rsidR="006C0AEC">
        <w:rPr>
          <w:rFonts w:cs="Arial"/>
          <w:lang w:val="en-AU"/>
        </w:rPr>
        <w:fldChar w:fldCharType="separate"/>
      </w:r>
      <w:r w:rsidR="00B33845">
        <w:rPr>
          <w:rFonts w:cs="Arial"/>
          <w:noProof/>
          <w:lang w:val="en-AU"/>
        </w:rPr>
        <w:t>(Thompson et al., 2017)</w:t>
      </w:r>
      <w:r w:rsidR="006C0AEC">
        <w:rPr>
          <w:rFonts w:cs="Arial"/>
          <w:lang w:val="en-AU"/>
        </w:rPr>
        <w:fldChar w:fldCharType="end"/>
      </w:r>
      <w:r w:rsidR="006E69F4">
        <w:rPr>
          <w:rFonts w:cs="Arial"/>
          <w:lang w:val="en-AU"/>
        </w:rPr>
        <w:t>.</w:t>
      </w:r>
    </w:p>
    <w:p w14:paraId="266057EA" w14:textId="77777777" w:rsidR="009A590A" w:rsidRDefault="009A590A" w:rsidP="002439C8">
      <w:pPr>
        <w:spacing w:line="276" w:lineRule="auto"/>
        <w:jc w:val="left"/>
        <w:rPr>
          <w:rFonts w:cs="Arial"/>
          <w:lang w:val="en-AU"/>
        </w:rPr>
      </w:pPr>
    </w:p>
    <w:p w14:paraId="59196E3E" w14:textId="77777777" w:rsidR="009A590A" w:rsidRDefault="009A590A" w:rsidP="002439C8">
      <w:pPr>
        <w:spacing w:line="276" w:lineRule="auto"/>
        <w:jc w:val="left"/>
        <w:rPr>
          <w:lang w:val="en-AU" w:eastAsia="en-AU"/>
        </w:rPr>
      </w:pPr>
      <w:r>
        <w:rPr>
          <w:lang w:val="en-AU" w:eastAsia="en-AU"/>
        </w:rPr>
        <w:t xml:space="preserve">Fixed sampling sites in the Wet Tropics region in </w:t>
      </w:r>
      <w:r w:rsidR="00D8721C">
        <w:rPr>
          <w:lang w:val="en-AU" w:eastAsia="en-AU"/>
        </w:rPr>
        <w:t>2017</w:t>
      </w:r>
      <w:r>
        <w:rPr>
          <w:lang w:val="en-AU" w:eastAsia="en-AU"/>
        </w:rPr>
        <w:t>-</w:t>
      </w:r>
      <w:r w:rsidR="00D8721C">
        <w:rPr>
          <w:lang w:val="en-AU" w:eastAsia="en-AU"/>
        </w:rPr>
        <w:t xml:space="preserve">18 </w:t>
      </w:r>
      <w:r>
        <w:rPr>
          <w:lang w:val="en-AU" w:eastAsia="en-AU"/>
        </w:rPr>
        <w:t>were at Low Isles, High Island, Normanby Island, Dunk Island and Lucinda (</w:t>
      </w:r>
      <w:r w:rsidR="00C91E0A">
        <w:rPr>
          <w:lang w:val="en-AU" w:eastAsia="en-AU"/>
        </w:rPr>
        <w:fldChar w:fldCharType="begin"/>
      </w:r>
      <w:r w:rsidR="00C91E0A">
        <w:rPr>
          <w:lang w:val="en-AU" w:eastAsia="en-AU"/>
        </w:rPr>
        <w:instrText xml:space="preserve"> REF _Ref535846009 \h </w:instrText>
      </w:r>
      <w:r w:rsidR="001A3A18">
        <w:rPr>
          <w:lang w:val="en-AU" w:eastAsia="en-AU"/>
        </w:rPr>
        <w:instrText xml:space="preserve"> \* MERGEFORMAT </w:instrText>
      </w:r>
      <w:r w:rsidR="00C91E0A">
        <w:rPr>
          <w:lang w:val="en-AU" w:eastAsia="en-AU"/>
        </w:rPr>
      </w:r>
      <w:r w:rsidR="00C91E0A">
        <w:rPr>
          <w:lang w:val="en-AU" w:eastAsia="en-AU"/>
        </w:rPr>
        <w:fldChar w:fldCharType="separate"/>
      </w:r>
      <w:r w:rsidR="00251B46" w:rsidRPr="00251B46">
        <w:rPr>
          <w:lang w:val="en-AU" w:eastAsia="en-AU"/>
        </w:rPr>
        <w:t>Figure 2</w:t>
      </w:r>
      <w:r w:rsidR="00C91E0A">
        <w:rPr>
          <w:lang w:val="en-AU" w:eastAsia="en-AU"/>
        </w:rPr>
        <w:fldChar w:fldCharType="end"/>
      </w:r>
      <w:r>
        <w:rPr>
          <w:lang w:val="en-AU" w:eastAsia="en-AU"/>
        </w:rPr>
        <w:t>).</w:t>
      </w:r>
    </w:p>
    <w:p w14:paraId="3FA7303E" w14:textId="77777777" w:rsidR="001A3A18" w:rsidRDefault="001A3A18" w:rsidP="002439C8">
      <w:pPr>
        <w:spacing w:line="276" w:lineRule="auto"/>
        <w:jc w:val="left"/>
        <w:rPr>
          <w:lang w:val="en-AU" w:eastAsia="en-AU"/>
        </w:rPr>
      </w:pPr>
    </w:p>
    <w:p w14:paraId="0BF28DB3" w14:textId="77777777" w:rsidR="009A590A" w:rsidRDefault="00D318CC" w:rsidP="002439C8">
      <w:pPr>
        <w:spacing w:line="276" w:lineRule="auto"/>
        <w:jc w:val="left"/>
        <w:rPr>
          <w:lang w:val="en-AU" w:eastAsia="en-AU"/>
        </w:rPr>
      </w:pPr>
      <w:r>
        <w:rPr>
          <w:lang w:val="en-AU" w:eastAsia="en-AU"/>
        </w:rPr>
        <w:t>There is</w:t>
      </w:r>
      <w:r w:rsidR="009A590A">
        <w:rPr>
          <w:lang w:val="en-AU" w:eastAsia="en-AU"/>
        </w:rPr>
        <w:t xml:space="preserve"> one sampling site in the Burdekin region in </w:t>
      </w:r>
      <w:r w:rsidR="002B763D">
        <w:rPr>
          <w:lang w:val="en-AU" w:eastAsia="en-AU"/>
        </w:rPr>
        <w:t>2017</w:t>
      </w:r>
      <w:r w:rsidR="009A590A">
        <w:rPr>
          <w:lang w:val="en-AU" w:eastAsia="en-AU"/>
        </w:rPr>
        <w:t>-</w:t>
      </w:r>
      <w:r w:rsidR="002B763D">
        <w:rPr>
          <w:lang w:val="en-AU" w:eastAsia="en-AU"/>
        </w:rPr>
        <w:t xml:space="preserve">18 </w:t>
      </w:r>
      <w:r w:rsidR="009A590A">
        <w:rPr>
          <w:lang w:val="en-AU" w:eastAsia="en-AU"/>
        </w:rPr>
        <w:t>at Barratta Creek mouth (</w:t>
      </w:r>
      <w:r w:rsidR="00C91E0A">
        <w:rPr>
          <w:lang w:val="en-AU" w:eastAsia="en-AU"/>
        </w:rPr>
        <w:fldChar w:fldCharType="begin"/>
      </w:r>
      <w:r w:rsidR="00C91E0A">
        <w:rPr>
          <w:lang w:val="en-AU" w:eastAsia="en-AU"/>
        </w:rPr>
        <w:instrText xml:space="preserve"> REF _Ref535846009 \h </w:instrText>
      </w:r>
      <w:r w:rsidR="001A3A18">
        <w:rPr>
          <w:lang w:val="en-AU" w:eastAsia="en-AU"/>
        </w:rPr>
        <w:instrText xml:space="preserve"> \* MERGEFORMAT </w:instrText>
      </w:r>
      <w:r w:rsidR="00C91E0A">
        <w:rPr>
          <w:lang w:val="en-AU" w:eastAsia="en-AU"/>
        </w:rPr>
      </w:r>
      <w:r w:rsidR="00C91E0A">
        <w:rPr>
          <w:lang w:val="en-AU" w:eastAsia="en-AU"/>
        </w:rPr>
        <w:fldChar w:fldCharType="separate"/>
      </w:r>
      <w:r w:rsidR="00251B46" w:rsidRPr="00251B46">
        <w:rPr>
          <w:lang w:val="en-AU" w:eastAsia="en-AU"/>
        </w:rPr>
        <w:t>Figure 2</w:t>
      </w:r>
      <w:r w:rsidR="00C91E0A">
        <w:rPr>
          <w:lang w:val="en-AU" w:eastAsia="en-AU"/>
        </w:rPr>
        <w:fldChar w:fldCharType="end"/>
      </w:r>
      <w:r w:rsidR="009A590A">
        <w:rPr>
          <w:lang w:val="en-AU" w:eastAsia="en-AU"/>
        </w:rPr>
        <w:t>)</w:t>
      </w:r>
      <w:r>
        <w:rPr>
          <w:lang w:val="en-AU" w:eastAsia="en-AU"/>
        </w:rPr>
        <w:t>,</w:t>
      </w:r>
      <w:r w:rsidR="009A590A">
        <w:rPr>
          <w:lang w:val="en-AU" w:eastAsia="en-AU"/>
        </w:rPr>
        <w:t xml:space="preserve"> which was</w:t>
      </w:r>
      <w:r>
        <w:rPr>
          <w:lang w:val="en-AU" w:eastAsia="en-AU"/>
        </w:rPr>
        <w:t xml:space="preserve"> </w:t>
      </w:r>
      <w:r w:rsidR="009A590A">
        <w:rPr>
          <w:lang w:val="en-AU" w:eastAsia="en-AU"/>
        </w:rPr>
        <w:t>established in 2014</w:t>
      </w:r>
      <w:r w:rsidR="009A590A" w:rsidRPr="0090433A">
        <w:rPr>
          <w:lang w:val="en-AU" w:eastAsia="en-AU"/>
        </w:rPr>
        <w:t>.</w:t>
      </w:r>
      <w:r w:rsidR="009A590A" w:rsidRPr="001A3A18">
        <w:rPr>
          <w:lang w:val="en-AU" w:eastAsia="en-AU"/>
        </w:rPr>
        <w:t xml:space="preserve"> </w:t>
      </w:r>
    </w:p>
    <w:p w14:paraId="7332B0F7" w14:textId="77777777" w:rsidR="001A3A18" w:rsidRPr="001A3A18" w:rsidRDefault="001A3A18" w:rsidP="002439C8">
      <w:pPr>
        <w:spacing w:line="276" w:lineRule="auto"/>
        <w:jc w:val="left"/>
        <w:rPr>
          <w:lang w:val="en-AU" w:eastAsia="en-AU"/>
        </w:rPr>
      </w:pPr>
    </w:p>
    <w:p w14:paraId="7ABBE29F" w14:textId="77777777" w:rsidR="00EA52AA" w:rsidRDefault="009A590A" w:rsidP="002439C8">
      <w:pPr>
        <w:spacing w:line="276" w:lineRule="auto"/>
        <w:jc w:val="left"/>
        <w:rPr>
          <w:lang w:val="en-AU" w:eastAsia="en-AU"/>
        </w:rPr>
      </w:pPr>
      <w:r>
        <w:rPr>
          <w:lang w:val="en-AU" w:eastAsia="en-AU"/>
        </w:rPr>
        <w:t xml:space="preserve">Sampling sites in the Mackay Whitsunday region in </w:t>
      </w:r>
      <w:r w:rsidR="002B763D">
        <w:rPr>
          <w:lang w:val="en-AU" w:eastAsia="en-AU"/>
        </w:rPr>
        <w:t>2017</w:t>
      </w:r>
      <w:r>
        <w:rPr>
          <w:lang w:val="en-AU" w:eastAsia="en-AU"/>
        </w:rPr>
        <w:t>-</w:t>
      </w:r>
      <w:r w:rsidR="002B763D">
        <w:rPr>
          <w:lang w:val="en-AU" w:eastAsia="en-AU"/>
        </w:rPr>
        <w:t xml:space="preserve">18 </w:t>
      </w:r>
      <w:r>
        <w:rPr>
          <w:lang w:val="en-AU" w:eastAsia="en-AU"/>
        </w:rPr>
        <w:t>were Repulse Bay, Round Top Island, Sandy Creek and Sarina Inlet (</w:t>
      </w:r>
      <w:r w:rsidR="00C91E0A">
        <w:rPr>
          <w:lang w:val="en-AU" w:eastAsia="en-AU"/>
        </w:rPr>
        <w:fldChar w:fldCharType="begin"/>
      </w:r>
      <w:r w:rsidR="00C91E0A">
        <w:rPr>
          <w:lang w:val="en-AU" w:eastAsia="en-AU"/>
        </w:rPr>
        <w:instrText xml:space="preserve"> REF _Ref535846009 \h </w:instrText>
      </w:r>
      <w:r w:rsidR="001A3A18">
        <w:rPr>
          <w:lang w:val="en-AU" w:eastAsia="en-AU"/>
        </w:rPr>
        <w:instrText xml:space="preserve"> \* MERGEFORMAT </w:instrText>
      </w:r>
      <w:r w:rsidR="00C91E0A">
        <w:rPr>
          <w:lang w:val="en-AU" w:eastAsia="en-AU"/>
        </w:rPr>
      </w:r>
      <w:r w:rsidR="00C91E0A">
        <w:rPr>
          <w:lang w:val="en-AU" w:eastAsia="en-AU"/>
        </w:rPr>
        <w:fldChar w:fldCharType="separate"/>
      </w:r>
      <w:r w:rsidR="00251B46" w:rsidRPr="00251B46">
        <w:rPr>
          <w:lang w:val="en-AU" w:eastAsia="en-AU"/>
        </w:rPr>
        <w:t>Figure 2</w:t>
      </w:r>
      <w:r w:rsidR="00C91E0A">
        <w:rPr>
          <w:lang w:val="en-AU" w:eastAsia="en-AU"/>
        </w:rPr>
        <w:fldChar w:fldCharType="end"/>
      </w:r>
      <w:r>
        <w:rPr>
          <w:lang w:val="en-AU" w:eastAsia="en-AU"/>
        </w:rPr>
        <w:t>).</w:t>
      </w:r>
      <w:r w:rsidR="00EA52AA" w:rsidRPr="001A3A18">
        <w:rPr>
          <w:lang w:val="en-AU" w:eastAsia="en-AU"/>
        </w:rPr>
        <w:t xml:space="preserve"> </w:t>
      </w:r>
    </w:p>
    <w:p w14:paraId="14F1E760" w14:textId="77777777" w:rsidR="001A3A18" w:rsidRPr="001A3A18" w:rsidRDefault="001A3A18" w:rsidP="002439C8">
      <w:pPr>
        <w:spacing w:line="276" w:lineRule="auto"/>
        <w:jc w:val="left"/>
        <w:rPr>
          <w:lang w:val="en-AU" w:eastAsia="en-AU"/>
        </w:rPr>
      </w:pPr>
    </w:p>
    <w:p w14:paraId="1F45F9DC" w14:textId="77777777" w:rsidR="00D318CC" w:rsidRDefault="00D318CC" w:rsidP="002439C8">
      <w:pPr>
        <w:spacing w:line="276" w:lineRule="auto"/>
        <w:jc w:val="left"/>
        <w:rPr>
          <w:lang w:val="en-AU" w:eastAsia="en-AU"/>
        </w:rPr>
      </w:pPr>
      <w:r>
        <w:rPr>
          <w:lang w:val="en-AU" w:eastAsia="en-AU"/>
        </w:rPr>
        <w:t xml:space="preserve">The one site in the </w:t>
      </w:r>
      <w:r w:rsidRPr="00602BC4">
        <w:rPr>
          <w:lang w:val="en-AU" w:eastAsia="en-AU"/>
        </w:rPr>
        <w:t>Fitzroy</w:t>
      </w:r>
      <w:r>
        <w:rPr>
          <w:lang w:val="en-AU" w:eastAsia="en-AU"/>
        </w:rPr>
        <w:t xml:space="preserve"> region is at North Keppel Island </w:t>
      </w:r>
      <w:r w:rsidRPr="00210B7C">
        <w:rPr>
          <w:lang w:val="en-AU" w:eastAsia="en-AU"/>
        </w:rPr>
        <w:t>(</w:t>
      </w:r>
      <w:r>
        <w:rPr>
          <w:lang w:val="en-AU" w:eastAsia="en-AU"/>
        </w:rPr>
        <w:fldChar w:fldCharType="begin"/>
      </w:r>
      <w:r>
        <w:rPr>
          <w:lang w:val="en-AU" w:eastAsia="en-AU"/>
        </w:rPr>
        <w:instrText xml:space="preserve"> REF _Ref535846009 \h </w:instrText>
      </w:r>
      <w:r w:rsidR="001A3A18">
        <w:rPr>
          <w:lang w:val="en-AU" w:eastAsia="en-AU"/>
        </w:rPr>
        <w:instrText xml:space="preserve"> \* MERGEFORMAT </w:instrText>
      </w:r>
      <w:r>
        <w:rPr>
          <w:lang w:val="en-AU" w:eastAsia="en-AU"/>
        </w:rPr>
      </w:r>
      <w:r>
        <w:rPr>
          <w:lang w:val="en-AU" w:eastAsia="en-AU"/>
        </w:rPr>
        <w:fldChar w:fldCharType="separate"/>
      </w:r>
      <w:r w:rsidR="00251B46" w:rsidRPr="00251B46">
        <w:rPr>
          <w:lang w:val="en-AU" w:eastAsia="en-AU"/>
        </w:rPr>
        <w:t>Figure 2</w:t>
      </w:r>
      <w:r>
        <w:rPr>
          <w:lang w:val="en-AU" w:eastAsia="en-AU"/>
        </w:rPr>
        <w:fldChar w:fldCharType="end"/>
      </w:r>
      <w:r>
        <w:rPr>
          <w:lang w:val="en-AU" w:eastAsia="en-AU"/>
        </w:rPr>
        <w:t>).</w:t>
      </w:r>
    </w:p>
    <w:p w14:paraId="436FB179" w14:textId="77777777" w:rsidR="00EA52AA" w:rsidRDefault="00EA52AA" w:rsidP="002439C8">
      <w:pPr>
        <w:spacing w:line="276" w:lineRule="auto"/>
        <w:jc w:val="left"/>
        <w:rPr>
          <w:rFonts w:cs="Arial"/>
          <w:lang w:val="en-AU"/>
        </w:rPr>
      </w:pPr>
      <w:r>
        <w:rPr>
          <w:rFonts w:cs="Arial"/>
          <w:noProof/>
          <w:lang w:val="en-AU" w:eastAsia="en-AU" w:bidi="ar-SA"/>
        </w:rPr>
        <w:lastRenderedPageBreak/>
        <w:drawing>
          <wp:inline distT="0" distB="0" distL="0" distR="0" wp14:anchorId="2F8FA45A" wp14:editId="07ACCE57">
            <wp:extent cx="5538433" cy="7886700"/>
            <wp:effectExtent l="0" t="0" r="5715" b="0"/>
            <wp:docPr id="11" name="Picture 11" descr="Locations of fixed monitoring sites where time-integrated passive sampling of pesticides occurred in 2017-18. Sites are overlaid on the 2003 – 2018 water type frequency map (for more information see Section 2.5.3). Grey triangles indicate towns. (Source – Dieter Tracy, James Cook University)" title="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49936" cy="7903081"/>
                    </a:xfrm>
                    <a:prstGeom prst="rect">
                      <a:avLst/>
                    </a:prstGeom>
                    <a:noFill/>
                  </pic:spPr>
                </pic:pic>
              </a:graphicData>
            </a:graphic>
          </wp:inline>
        </w:drawing>
      </w:r>
    </w:p>
    <w:p w14:paraId="7B0E1369" w14:textId="77777777" w:rsidR="00C57149" w:rsidRPr="00CB093C" w:rsidRDefault="00EA52AA" w:rsidP="00C57149">
      <w:pPr>
        <w:pStyle w:val="Caption"/>
        <w:rPr>
          <w:rFonts w:cs="Arial"/>
          <w:i/>
          <w:vanish/>
          <w:color w:val="000000"/>
          <w:specVanish/>
        </w:rPr>
      </w:pPr>
      <w:bookmarkStart w:id="37" w:name="_Ref535846009"/>
      <w:bookmarkStart w:id="38" w:name="_Toc15042894"/>
      <w:r w:rsidRPr="00D318CC">
        <w:rPr>
          <w:b w:val="0"/>
          <w:sz w:val="20"/>
          <w:szCs w:val="20"/>
        </w:rPr>
        <w:lastRenderedPageBreak/>
        <w:t xml:space="preserve">Figure </w:t>
      </w:r>
      <w:r w:rsidRPr="00D318CC">
        <w:rPr>
          <w:b w:val="0"/>
          <w:sz w:val="20"/>
          <w:szCs w:val="20"/>
        </w:rPr>
        <w:fldChar w:fldCharType="begin"/>
      </w:r>
      <w:r w:rsidRPr="00D318CC">
        <w:rPr>
          <w:b w:val="0"/>
          <w:sz w:val="20"/>
          <w:szCs w:val="20"/>
        </w:rPr>
        <w:instrText xml:space="preserve"> SEQ Figure \* ARABIC </w:instrText>
      </w:r>
      <w:r w:rsidRPr="00D318CC">
        <w:rPr>
          <w:b w:val="0"/>
          <w:sz w:val="20"/>
          <w:szCs w:val="20"/>
        </w:rPr>
        <w:fldChar w:fldCharType="separate"/>
      </w:r>
      <w:r w:rsidR="00251B46">
        <w:rPr>
          <w:b w:val="0"/>
          <w:noProof/>
          <w:sz w:val="20"/>
          <w:szCs w:val="20"/>
        </w:rPr>
        <w:t>2</w:t>
      </w:r>
      <w:r w:rsidRPr="00D318CC">
        <w:rPr>
          <w:b w:val="0"/>
          <w:sz w:val="20"/>
          <w:szCs w:val="20"/>
        </w:rPr>
        <w:fldChar w:fldCharType="end"/>
      </w:r>
      <w:bookmarkEnd w:id="37"/>
      <w:r w:rsidRPr="00D318CC">
        <w:rPr>
          <w:b w:val="0"/>
          <w:sz w:val="20"/>
          <w:szCs w:val="20"/>
        </w:rPr>
        <w:t>: Locations of fixed monitoring sites where time-integrated passive sampling of pesticides occurred in 2017-18</w:t>
      </w:r>
      <w:bookmarkEnd w:id="38"/>
    </w:p>
    <w:p w14:paraId="2EF83E15" w14:textId="77777777" w:rsidR="00EA52AA" w:rsidRPr="00D318CC" w:rsidRDefault="00EA52AA" w:rsidP="002439C8">
      <w:pPr>
        <w:pStyle w:val="Caption"/>
        <w:keepNext/>
        <w:spacing w:before="120" w:line="276" w:lineRule="auto"/>
        <w:rPr>
          <w:b w:val="0"/>
          <w:sz w:val="20"/>
          <w:szCs w:val="20"/>
        </w:rPr>
      </w:pPr>
      <w:r w:rsidRPr="00D318CC">
        <w:rPr>
          <w:b w:val="0"/>
          <w:sz w:val="20"/>
          <w:szCs w:val="20"/>
        </w:rPr>
        <w:t xml:space="preserve">. Sites are overlaid on the 2003 – 2018 water type frequency map (for more information see Section </w:t>
      </w:r>
      <w:r w:rsidRPr="00D318CC">
        <w:rPr>
          <w:b w:val="0"/>
          <w:sz w:val="20"/>
          <w:szCs w:val="20"/>
        </w:rPr>
        <w:fldChar w:fldCharType="begin"/>
      </w:r>
      <w:r w:rsidRPr="00D318CC">
        <w:rPr>
          <w:b w:val="0"/>
          <w:sz w:val="20"/>
          <w:szCs w:val="20"/>
        </w:rPr>
        <w:instrText xml:space="preserve"> REF _Ref480911218 \n \h </w:instrText>
      </w:r>
      <w:r w:rsidR="00D318CC">
        <w:rPr>
          <w:b w:val="0"/>
          <w:sz w:val="20"/>
          <w:szCs w:val="20"/>
        </w:rPr>
        <w:instrText xml:space="preserve"> \* MERGEFORMAT </w:instrText>
      </w:r>
      <w:r w:rsidRPr="00D318CC">
        <w:rPr>
          <w:b w:val="0"/>
          <w:sz w:val="20"/>
          <w:szCs w:val="20"/>
        </w:rPr>
      </w:r>
      <w:r w:rsidRPr="00D318CC">
        <w:rPr>
          <w:b w:val="0"/>
          <w:sz w:val="20"/>
          <w:szCs w:val="20"/>
        </w:rPr>
        <w:fldChar w:fldCharType="separate"/>
      </w:r>
      <w:r w:rsidR="00251B46">
        <w:rPr>
          <w:b w:val="0"/>
          <w:sz w:val="20"/>
          <w:szCs w:val="20"/>
        </w:rPr>
        <w:t>2.5.3</w:t>
      </w:r>
      <w:r w:rsidRPr="00D318CC">
        <w:rPr>
          <w:b w:val="0"/>
          <w:sz w:val="20"/>
          <w:szCs w:val="20"/>
        </w:rPr>
        <w:fldChar w:fldCharType="end"/>
      </w:r>
      <w:r w:rsidRPr="00D318CC">
        <w:rPr>
          <w:b w:val="0"/>
          <w:sz w:val="20"/>
          <w:szCs w:val="20"/>
        </w:rPr>
        <w:t>). Grey triangles indicate towns. (Source – Dieter Tracy, James Cook University)</w:t>
      </w:r>
    </w:p>
    <w:p w14:paraId="04727E47" w14:textId="77777777" w:rsidR="00EA52AA" w:rsidRPr="00747824" w:rsidRDefault="00EA52AA" w:rsidP="002439C8">
      <w:pPr>
        <w:jc w:val="left"/>
      </w:pPr>
    </w:p>
    <w:p w14:paraId="37632AAF" w14:textId="77777777" w:rsidR="009A590A" w:rsidRDefault="009A590A" w:rsidP="002439C8">
      <w:pPr>
        <w:spacing w:line="276" w:lineRule="auto"/>
        <w:jc w:val="left"/>
        <w:rPr>
          <w:rFonts w:cs="Arial"/>
          <w:lang w:val="en-AU"/>
        </w:rPr>
      </w:pPr>
    </w:p>
    <w:p w14:paraId="72693A96" w14:textId="77777777" w:rsidR="00056CEF" w:rsidRPr="00D318CC" w:rsidRDefault="00210B7C" w:rsidP="002439C8">
      <w:pPr>
        <w:pStyle w:val="Caption"/>
        <w:keepNext/>
        <w:spacing w:after="120"/>
        <w:rPr>
          <w:b w:val="0"/>
          <w:sz w:val="20"/>
        </w:rPr>
      </w:pPr>
      <w:bookmarkStart w:id="39" w:name="_Ref480724246"/>
      <w:bookmarkStart w:id="40" w:name="_Toc527468593"/>
      <w:bookmarkStart w:id="41" w:name="_Toc14435322"/>
      <w:r w:rsidRPr="00411795">
        <w:rPr>
          <w:b w:val="0"/>
          <w:sz w:val="20"/>
        </w:rPr>
        <w:t xml:space="preserve">Table </w:t>
      </w:r>
      <w:r w:rsidR="00C91BF5" w:rsidRPr="00411795">
        <w:rPr>
          <w:b w:val="0"/>
          <w:sz w:val="20"/>
        </w:rPr>
        <w:fldChar w:fldCharType="begin"/>
      </w:r>
      <w:r w:rsidRPr="00411795">
        <w:rPr>
          <w:b w:val="0"/>
          <w:sz w:val="20"/>
        </w:rPr>
        <w:instrText xml:space="preserve"> SEQ Table \* ARABIC </w:instrText>
      </w:r>
      <w:r w:rsidR="00C91BF5" w:rsidRPr="00411795">
        <w:rPr>
          <w:b w:val="0"/>
          <w:sz w:val="20"/>
        </w:rPr>
        <w:fldChar w:fldCharType="separate"/>
      </w:r>
      <w:r w:rsidR="00251B46">
        <w:rPr>
          <w:b w:val="0"/>
          <w:noProof/>
          <w:sz w:val="20"/>
        </w:rPr>
        <w:t>1</w:t>
      </w:r>
      <w:r w:rsidR="00C91BF5" w:rsidRPr="00411795">
        <w:rPr>
          <w:b w:val="0"/>
          <w:sz w:val="20"/>
        </w:rPr>
        <w:fldChar w:fldCharType="end"/>
      </w:r>
      <w:bookmarkEnd w:id="39"/>
      <w:r w:rsidRPr="00411795">
        <w:rPr>
          <w:b w:val="0"/>
          <w:sz w:val="20"/>
        </w:rPr>
        <w:t>:</w:t>
      </w:r>
      <w:r w:rsidR="00056CEF" w:rsidRPr="00D318CC">
        <w:rPr>
          <w:b w:val="0"/>
          <w:sz w:val="20"/>
        </w:rPr>
        <w:t xml:space="preserve"> Location </w:t>
      </w:r>
      <w:r w:rsidR="00801185" w:rsidRPr="00D318CC">
        <w:rPr>
          <w:b w:val="0"/>
          <w:sz w:val="20"/>
        </w:rPr>
        <w:t xml:space="preserve">of fixed passive sampling sites, </w:t>
      </w:r>
      <w:r w:rsidR="00056CEF" w:rsidRPr="00D318CC">
        <w:rPr>
          <w:b w:val="0"/>
          <w:sz w:val="20"/>
        </w:rPr>
        <w:t xml:space="preserve">closest influencing </w:t>
      </w:r>
      <w:r w:rsidR="00801185" w:rsidRPr="00D318CC">
        <w:rPr>
          <w:b w:val="0"/>
          <w:sz w:val="20"/>
        </w:rPr>
        <w:t>river and date that sampling first commenced</w:t>
      </w:r>
      <w:bookmarkEnd w:id="40"/>
      <w:bookmarkEnd w:id="41"/>
    </w:p>
    <w:tbl>
      <w:tblPr>
        <w:tblStyle w:val="TableGrid"/>
        <w:tblW w:w="10348" w:type="dxa"/>
        <w:jc w:val="center"/>
        <w:tblBorders>
          <w:left w:val="none" w:sz="0" w:space="0" w:color="auto"/>
          <w:insideH w:val="none" w:sz="0" w:space="0" w:color="auto"/>
          <w:insideV w:val="none" w:sz="0" w:space="0" w:color="auto"/>
        </w:tblBorders>
        <w:tblLook w:val="04A0" w:firstRow="1" w:lastRow="0" w:firstColumn="1" w:lastColumn="0" w:noHBand="0" w:noVBand="1"/>
        <w:tblCaption w:val="Location of fixed passive sampling sites, closest influencing river and date that MMP sampling first commenced"/>
        <w:tblDescription w:val="Location of fixed passive sampling sites by NRM, Basin, closest influencing river and date that MMP sampling first commenced"/>
      </w:tblPr>
      <w:tblGrid>
        <w:gridCol w:w="1418"/>
        <w:gridCol w:w="1559"/>
        <w:gridCol w:w="1985"/>
        <w:gridCol w:w="2126"/>
        <w:gridCol w:w="1276"/>
        <w:gridCol w:w="1984"/>
      </w:tblGrid>
      <w:tr w:rsidR="00944940" w:rsidRPr="00056CEF" w14:paraId="750412A1" w14:textId="77777777" w:rsidTr="00B70F16">
        <w:trPr>
          <w:trHeight w:val="377"/>
          <w:tblHeader/>
          <w:jc w:val="center"/>
        </w:trPr>
        <w:tc>
          <w:tcPr>
            <w:tcW w:w="1418" w:type="dxa"/>
            <w:tcBorders>
              <w:top w:val="single" w:sz="4" w:space="0" w:color="auto"/>
              <w:bottom w:val="single" w:sz="4" w:space="0" w:color="auto"/>
            </w:tcBorders>
            <w:shd w:val="clear" w:color="auto" w:fill="F2F2F2" w:themeFill="background1" w:themeFillShade="F2"/>
            <w:vAlign w:val="center"/>
          </w:tcPr>
          <w:p w14:paraId="49F9837A" w14:textId="77777777" w:rsidR="00944940" w:rsidRPr="00056CEF" w:rsidRDefault="00944940" w:rsidP="002439C8">
            <w:pPr>
              <w:spacing w:line="276" w:lineRule="auto"/>
              <w:jc w:val="left"/>
              <w:rPr>
                <w:rFonts w:cs="Arial"/>
                <w:b/>
                <w:sz w:val="20"/>
                <w:szCs w:val="20"/>
                <w:lang w:val="en-AU"/>
              </w:rPr>
            </w:pPr>
            <w:r w:rsidRPr="00056CEF">
              <w:rPr>
                <w:rFonts w:cs="Arial"/>
                <w:b/>
                <w:sz w:val="20"/>
                <w:szCs w:val="20"/>
                <w:lang w:val="en-AU"/>
              </w:rPr>
              <w:t>NRM region</w:t>
            </w:r>
          </w:p>
        </w:tc>
        <w:tc>
          <w:tcPr>
            <w:tcW w:w="1559" w:type="dxa"/>
            <w:tcBorders>
              <w:top w:val="single" w:sz="4" w:space="0" w:color="auto"/>
              <w:bottom w:val="single" w:sz="4" w:space="0" w:color="auto"/>
            </w:tcBorders>
            <w:shd w:val="clear" w:color="auto" w:fill="F2F2F2" w:themeFill="background1" w:themeFillShade="F2"/>
            <w:vAlign w:val="center"/>
          </w:tcPr>
          <w:p w14:paraId="0435CA3F" w14:textId="77777777" w:rsidR="00944940" w:rsidRPr="00056CEF" w:rsidRDefault="00944940" w:rsidP="002439C8">
            <w:pPr>
              <w:spacing w:line="276" w:lineRule="auto"/>
              <w:jc w:val="left"/>
              <w:rPr>
                <w:rFonts w:cs="Arial"/>
                <w:b/>
                <w:sz w:val="20"/>
                <w:szCs w:val="20"/>
                <w:lang w:val="en-AU"/>
              </w:rPr>
            </w:pPr>
            <w:r w:rsidRPr="00056CEF">
              <w:rPr>
                <w:rFonts w:cs="Arial"/>
                <w:b/>
                <w:sz w:val="20"/>
                <w:szCs w:val="20"/>
                <w:lang w:val="en-AU"/>
              </w:rPr>
              <w:t>Basin</w:t>
            </w:r>
          </w:p>
        </w:tc>
        <w:tc>
          <w:tcPr>
            <w:tcW w:w="1985" w:type="dxa"/>
            <w:tcBorders>
              <w:top w:val="single" w:sz="4" w:space="0" w:color="auto"/>
              <w:bottom w:val="single" w:sz="4" w:space="0" w:color="auto"/>
            </w:tcBorders>
            <w:shd w:val="clear" w:color="auto" w:fill="F2F2F2" w:themeFill="background1" w:themeFillShade="F2"/>
            <w:vAlign w:val="center"/>
          </w:tcPr>
          <w:p w14:paraId="1E9C8E15" w14:textId="77777777" w:rsidR="00944940" w:rsidRPr="00056CEF" w:rsidRDefault="00944940" w:rsidP="002439C8">
            <w:pPr>
              <w:spacing w:line="276" w:lineRule="auto"/>
              <w:jc w:val="left"/>
              <w:rPr>
                <w:rFonts w:cs="Arial"/>
                <w:b/>
                <w:sz w:val="20"/>
                <w:szCs w:val="20"/>
                <w:lang w:val="en-AU"/>
              </w:rPr>
            </w:pPr>
            <w:r w:rsidRPr="00056CEF">
              <w:rPr>
                <w:rFonts w:cs="Arial"/>
                <w:b/>
                <w:sz w:val="20"/>
                <w:szCs w:val="20"/>
                <w:lang w:val="en-AU"/>
              </w:rPr>
              <w:t>Major River/ Creek</w:t>
            </w:r>
          </w:p>
        </w:tc>
        <w:tc>
          <w:tcPr>
            <w:tcW w:w="2126" w:type="dxa"/>
            <w:tcBorders>
              <w:top w:val="single" w:sz="4" w:space="0" w:color="auto"/>
              <w:bottom w:val="single" w:sz="4" w:space="0" w:color="auto"/>
            </w:tcBorders>
            <w:shd w:val="clear" w:color="auto" w:fill="F2F2F2" w:themeFill="background1" w:themeFillShade="F2"/>
            <w:vAlign w:val="center"/>
          </w:tcPr>
          <w:p w14:paraId="77038222" w14:textId="77777777" w:rsidR="00944940" w:rsidRPr="00056CEF" w:rsidRDefault="00944940" w:rsidP="002439C8">
            <w:pPr>
              <w:spacing w:line="276" w:lineRule="auto"/>
              <w:jc w:val="left"/>
              <w:rPr>
                <w:rFonts w:cs="Arial"/>
                <w:b/>
                <w:sz w:val="20"/>
                <w:szCs w:val="20"/>
                <w:lang w:val="en-AU"/>
              </w:rPr>
            </w:pPr>
            <w:r w:rsidRPr="00056CEF">
              <w:rPr>
                <w:rFonts w:cs="Arial"/>
                <w:b/>
                <w:sz w:val="20"/>
                <w:szCs w:val="20"/>
                <w:lang w:val="en-AU"/>
              </w:rPr>
              <w:t>Fixed site name</w:t>
            </w:r>
          </w:p>
        </w:tc>
        <w:tc>
          <w:tcPr>
            <w:tcW w:w="1276" w:type="dxa"/>
            <w:tcBorders>
              <w:top w:val="single" w:sz="4" w:space="0" w:color="auto"/>
              <w:bottom w:val="single" w:sz="4" w:space="0" w:color="auto"/>
              <w:right w:val="nil"/>
            </w:tcBorders>
            <w:shd w:val="clear" w:color="auto" w:fill="F2F2F2" w:themeFill="background1" w:themeFillShade="F2"/>
          </w:tcPr>
          <w:p w14:paraId="5CA44FA1" w14:textId="77777777" w:rsidR="00944940" w:rsidRPr="00056CEF" w:rsidRDefault="00944940" w:rsidP="002439C8">
            <w:pPr>
              <w:spacing w:line="276" w:lineRule="auto"/>
              <w:jc w:val="left"/>
              <w:rPr>
                <w:rFonts w:cs="Arial"/>
                <w:b/>
                <w:sz w:val="20"/>
                <w:szCs w:val="20"/>
                <w:lang w:val="en-AU"/>
              </w:rPr>
            </w:pPr>
            <w:r>
              <w:rPr>
                <w:rFonts w:cs="Arial"/>
                <w:b/>
                <w:sz w:val="20"/>
                <w:szCs w:val="20"/>
                <w:lang w:val="en-AU"/>
              </w:rPr>
              <w:t>Sampled since</w:t>
            </w:r>
          </w:p>
        </w:tc>
        <w:tc>
          <w:tcPr>
            <w:tcW w:w="1984" w:type="dxa"/>
            <w:tcBorders>
              <w:top w:val="single" w:sz="4" w:space="0" w:color="auto"/>
              <w:bottom w:val="single" w:sz="4" w:space="0" w:color="auto"/>
              <w:right w:val="nil"/>
            </w:tcBorders>
            <w:shd w:val="clear" w:color="auto" w:fill="F2F2F2" w:themeFill="background1" w:themeFillShade="F2"/>
          </w:tcPr>
          <w:p w14:paraId="268FC84E" w14:textId="77777777" w:rsidR="00944940" w:rsidRDefault="00944940" w:rsidP="002439C8">
            <w:pPr>
              <w:spacing w:line="276" w:lineRule="auto"/>
              <w:jc w:val="left"/>
              <w:rPr>
                <w:rFonts w:cs="Arial"/>
                <w:b/>
                <w:sz w:val="20"/>
                <w:szCs w:val="20"/>
                <w:lang w:val="en-AU"/>
              </w:rPr>
            </w:pPr>
            <w:r>
              <w:rPr>
                <w:rFonts w:cs="Arial"/>
                <w:b/>
                <w:sz w:val="20"/>
                <w:szCs w:val="20"/>
                <w:lang w:val="en-AU"/>
              </w:rPr>
              <w:t>Approx. distance from river mouth (km)</w:t>
            </w:r>
          </w:p>
        </w:tc>
      </w:tr>
      <w:tr w:rsidR="00944940" w:rsidRPr="00056CEF" w14:paraId="502C5A23" w14:textId="77777777" w:rsidTr="00503D38">
        <w:trPr>
          <w:trHeight w:val="377"/>
          <w:jc w:val="center"/>
        </w:trPr>
        <w:tc>
          <w:tcPr>
            <w:tcW w:w="1418" w:type="dxa"/>
            <w:vMerge w:val="restart"/>
            <w:tcBorders>
              <w:top w:val="single" w:sz="4" w:space="0" w:color="auto"/>
            </w:tcBorders>
            <w:vAlign w:val="center"/>
          </w:tcPr>
          <w:p w14:paraId="384B9077" w14:textId="77777777" w:rsidR="00944940" w:rsidRPr="00056CEF" w:rsidRDefault="00944940" w:rsidP="002439C8">
            <w:pPr>
              <w:spacing w:line="276" w:lineRule="auto"/>
              <w:jc w:val="left"/>
              <w:rPr>
                <w:rFonts w:cs="Arial"/>
                <w:sz w:val="20"/>
                <w:szCs w:val="20"/>
                <w:lang w:val="en-AU"/>
              </w:rPr>
            </w:pPr>
            <w:r w:rsidRPr="00056CEF">
              <w:rPr>
                <w:rFonts w:cs="Arial"/>
                <w:sz w:val="20"/>
                <w:szCs w:val="20"/>
                <w:lang w:val="en-AU"/>
              </w:rPr>
              <w:t>Wet Tropics</w:t>
            </w:r>
          </w:p>
        </w:tc>
        <w:tc>
          <w:tcPr>
            <w:tcW w:w="1559" w:type="dxa"/>
            <w:tcBorders>
              <w:top w:val="single" w:sz="4" w:space="0" w:color="auto"/>
              <w:bottom w:val="single" w:sz="4" w:space="0" w:color="D9D9D9" w:themeColor="background1" w:themeShade="D9"/>
            </w:tcBorders>
            <w:vAlign w:val="center"/>
          </w:tcPr>
          <w:p w14:paraId="45F20750" w14:textId="77777777" w:rsidR="00944940" w:rsidRPr="006E69F4" w:rsidRDefault="00944940" w:rsidP="002439C8">
            <w:pPr>
              <w:spacing w:line="276" w:lineRule="auto"/>
              <w:jc w:val="left"/>
              <w:rPr>
                <w:rFonts w:cs="Arial"/>
                <w:sz w:val="20"/>
                <w:szCs w:val="20"/>
                <w:lang w:val="en-AU"/>
              </w:rPr>
            </w:pPr>
            <w:r w:rsidRPr="006E69F4">
              <w:rPr>
                <w:rFonts w:cs="Arial"/>
                <w:sz w:val="20"/>
                <w:szCs w:val="20"/>
              </w:rPr>
              <w:t>Mossman</w:t>
            </w:r>
          </w:p>
        </w:tc>
        <w:tc>
          <w:tcPr>
            <w:tcW w:w="1985" w:type="dxa"/>
            <w:tcBorders>
              <w:top w:val="single" w:sz="4" w:space="0" w:color="auto"/>
              <w:bottom w:val="single" w:sz="4" w:space="0" w:color="D9D9D9" w:themeColor="background1" w:themeShade="D9"/>
            </w:tcBorders>
            <w:vAlign w:val="center"/>
          </w:tcPr>
          <w:p w14:paraId="710F58FB" w14:textId="77777777" w:rsidR="00944940" w:rsidRPr="006E69F4" w:rsidRDefault="00944940" w:rsidP="002439C8">
            <w:pPr>
              <w:spacing w:line="276" w:lineRule="auto"/>
              <w:jc w:val="left"/>
              <w:rPr>
                <w:rFonts w:cs="Arial"/>
                <w:sz w:val="20"/>
                <w:szCs w:val="20"/>
                <w:lang w:val="en-AU"/>
              </w:rPr>
            </w:pPr>
            <w:r w:rsidRPr="006E69F4">
              <w:rPr>
                <w:rFonts w:cs="Arial"/>
                <w:sz w:val="20"/>
                <w:szCs w:val="20"/>
              </w:rPr>
              <w:t>Mossman River</w:t>
            </w:r>
          </w:p>
        </w:tc>
        <w:tc>
          <w:tcPr>
            <w:tcW w:w="2126" w:type="dxa"/>
            <w:tcBorders>
              <w:top w:val="single" w:sz="4" w:space="0" w:color="auto"/>
              <w:bottom w:val="single" w:sz="4" w:space="0" w:color="D9D9D9" w:themeColor="background1" w:themeShade="D9"/>
            </w:tcBorders>
            <w:vAlign w:val="center"/>
          </w:tcPr>
          <w:p w14:paraId="74D59BFA"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Low Isles</w:t>
            </w:r>
          </w:p>
        </w:tc>
        <w:tc>
          <w:tcPr>
            <w:tcW w:w="1276" w:type="dxa"/>
            <w:tcBorders>
              <w:top w:val="single" w:sz="4" w:space="0" w:color="auto"/>
              <w:bottom w:val="single" w:sz="4" w:space="0" w:color="D9D9D9" w:themeColor="background1" w:themeShade="D9"/>
              <w:right w:val="nil"/>
            </w:tcBorders>
            <w:vAlign w:val="center"/>
          </w:tcPr>
          <w:p w14:paraId="41CDBD55" w14:textId="77777777" w:rsidR="00944940" w:rsidRPr="00056CEF" w:rsidRDefault="00944940" w:rsidP="002439C8">
            <w:pPr>
              <w:spacing w:line="276" w:lineRule="auto"/>
              <w:jc w:val="left"/>
              <w:rPr>
                <w:rFonts w:cs="Arial"/>
                <w:sz w:val="20"/>
                <w:szCs w:val="20"/>
                <w:lang w:val="en-AU"/>
              </w:rPr>
            </w:pPr>
            <w:r>
              <w:rPr>
                <w:rFonts w:cs="Arial"/>
                <w:sz w:val="20"/>
                <w:szCs w:val="20"/>
                <w:lang w:val="en-AU"/>
              </w:rPr>
              <w:t>Aug-2005</w:t>
            </w:r>
          </w:p>
        </w:tc>
        <w:tc>
          <w:tcPr>
            <w:tcW w:w="1984" w:type="dxa"/>
            <w:tcBorders>
              <w:top w:val="single" w:sz="4" w:space="0" w:color="auto"/>
              <w:bottom w:val="single" w:sz="4" w:space="0" w:color="D9D9D9" w:themeColor="background1" w:themeShade="D9"/>
              <w:right w:val="nil"/>
            </w:tcBorders>
            <w:vAlign w:val="center"/>
          </w:tcPr>
          <w:p w14:paraId="0CE534EF" w14:textId="77777777" w:rsidR="00944940" w:rsidRDefault="00944940" w:rsidP="002439C8">
            <w:pPr>
              <w:spacing w:line="276" w:lineRule="auto"/>
              <w:jc w:val="left"/>
              <w:rPr>
                <w:rFonts w:cs="Arial"/>
                <w:sz w:val="20"/>
                <w:szCs w:val="20"/>
                <w:lang w:val="en-AU"/>
              </w:rPr>
            </w:pPr>
            <w:r>
              <w:rPr>
                <w:rFonts w:cs="Arial"/>
                <w:sz w:val="20"/>
                <w:szCs w:val="20"/>
                <w:lang w:val="en-AU"/>
              </w:rPr>
              <w:t>18</w:t>
            </w:r>
          </w:p>
        </w:tc>
      </w:tr>
      <w:tr w:rsidR="00944940" w:rsidRPr="00056CEF" w14:paraId="4E565836" w14:textId="77777777" w:rsidTr="00503D38">
        <w:trPr>
          <w:trHeight w:val="377"/>
          <w:jc w:val="center"/>
        </w:trPr>
        <w:tc>
          <w:tcPr>
            <w:tcW w:w="1418" w:type="dxa"/>
            <w:vMerge/>
            <w:vAlign w:val="center"/>
          </w:tcPr>
          <w:p w14:paraId="508ADC16" w14:textId="77777777" w:rsidR="00944940" w:rsidRPr="00056CEF" w:rsidRDefault="00944940" w:rsidP="002439C8">
            <w:pPr>
              <w:spacing w:line="276" w:lineRule="auto"/>
              <w:jc w:val="left"/>
              <w:rPr>
                <w:rFonts w:cs="Arial"/>
                <w:sz w:val="20"/>
                <w:szCs w:val="20"/>
                <w:lang w:val="en-AU"/>
              </w:rPr>
            </w:pPr>
          </w:p>
        </w:tc>
        <w:tc>
          <w:tcPr>
            <w:tcW w:w="1559" w:type="dxa"/>
            <w:vMerge w:val="restart"/>
            <w:tcBorders>
              <w:top w:val="single" w:sz="4" w:space="0" w:color="D9D9D9" w:themeColor="background1" w:themeShade="D9"/>
              <w:bottom w:val="nil"/>
            </w:tcBorders>
            <w:vAlign w:val="center"/>
          </w:tcPr>
          <w:p w14:paraId="7A2A1CFE" w14:textId="77777777" w:rsidR="00944940" w:rsidRPr="006E69F4" w:rsidRDefault="00944940" w:rsidP="002439C8">
            <w:pPr>
              <w:spacing w:line="276" w:lineRule="auto"/>
              <w:jc w:val="left"/>
              <w:rPr>
                <w:rFonts w:cs="Arial"/>
                <w:sz w:val="20"/>
                <w:szCs w:val="20"/>
              </w:rPr>
            </w:pPr>
            <w:r w:rsidRPr="006E69F4">
              <w:rPr>
                <w:rFonts w:cs="Arial"/>
                <w:sz w:val="20"/>
                <w:szCs w:val="20"/>
              </w:rPr>
              <w:t>Mulgrave-Russell</w:t>
            </w:r>
          </w:p>
        </w:tc>
        <w:tc>
          <w:tcPr>
            <w:tcW w:w="1985" w:type="dxa"/>
            <w:vMerge w:val="restart"/>
            <w:tcBorders>
              <w:top w:val="single" w:sz="4" w:space="0" w:color="D9D9D9" w:themeColor="background1" w:themeShade="D9"/>
              <w:bottom w:val="nil"/>
            </w:tcBorders>
            <w:vAlign w:val="center"/>
          </w:tcPr>
          <w:p w14:paraId="3CA736C8" w14:textId="77777777" w:rsidR="00944940" w:rsidRDefault="00944940" w:rsidP="002439C8">
            <w:pPr>
              <w:spacing w:line="276" w:lineRule="auto"/>
              <w:jc w:val="left"/>
              <w:rPr>
                <w:rFonts w:cs="Arial"/>
                <w:sz w:val="20"/>
                <w:szCs w:val="20"/>
              </w:rPr>
            </w:pPr>
            <w:r w:rsidRPr="006E69F4">
              <w:rPr>
                <w:rFonts w:cs="Arial"/>
                <w:sz w:val="20"/>
                <w:szCs w:val="20"/>
              </w:rPr>
              <w:t xml:space="preserve">Mulgrave River/ </w:t>
            </w:r>
          </w:p>
          <w:p w14:paraId="75ED6FE5" w14:textId="77777777" w:rsidR="00944940" w:rsidRPr="006E69F4" w:rsidRDefault="00944940" w:rsidP="002439C8">
            <w:pPr>
              <w:spacing w:line="276" w:lineRule="auto"/>
              <w:jc w:val="left"/>
              <w:rPr>
                <w:rFonts w:cs="Arial"/>
                <w:sz w:val="20"/>
                <w:szCs w:val="20"/>
              </w:rPr>
            </w:pPr>
            <w:r w:rsidRPr="006E69F4">
              <w:rPr>
                <w:rFonts w:cs="Arial"/>
                <w:sz w:val="20"/>
                <w:szCs w:val="20"/>
              </w:rPr>
              <w:t>Russell River</w:t>
            </w:r>
          </w:p>
        </w:tc>
        <w:tc>
          <w:tcPr>
            <w:tcW w:w="2126" w:type="dxa"/>
            <w:tcBorders>
              <w:top w:val="single" w:sz="4" w:space="0" w:color="D9D9D9" w:themeColor="background1" w:themeShade="D9"/>
              <w:bottom w:val="nil"/>
            </w:tcBorders>
            <w:vAlign w:val="center"/>
          </w:tcPr>
          <w:p w14:paraId="30EA8AD8"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High Island</w:t>
            </w:r>
          </w:p>
        </w:tc>
        <w:tc>
          <w:tcPr>
            <w:tcW w:w="1276" w:type="dxa"/>
            <w:tcBorders>
              <w:top w:val="single" w:sz="4" w:space="0" w:color="D9D9D9" w:themeColor="background1" w:themeShade="D9"/>
              <w:bottom w:val="nil"/>
              <w:right w:val="nil"/>
            </w:tcBorders>
            <w:vAlign w:val="center"/>
          </w:tcPr>
          <w:p w14:paraId="30DD549D" w14:textId="77777777" w:rsidR="00944940" w:rsidRPr="00056CEF" w:rsidRDefault="00944940" w:rsidP="002439C8">
            <w:pPr>
              <w:spacing w:line="276" w:lineRule="auto"/>
              <w:jc w:val="left"/>
              <w:rPr>
                <w:rFonts w:cs="Arial"/>
                <w:sz w:val="20"/>
                <w:szCs w:val="20"/>
                <w:lang w:val="en-AU"/>
              </w:rPr>
            </w:pPr>
            <w:r>
              <w:rPr>
                <w:rFonts w:cs="Arial"/>
                <w:sz w:val="20"/>
                <w:szCs w:val="20"/>
                <w:lang w:val="en-AU"/>
              </w:rPr>
              <w:t>May-2015*</w:t>
            </w:r>
          </w:p>
        </w:tc>
        <w:tc>
          <w:tcPr>
            <w:tcW w:w="1984" w:type="dxa"/>
            <w:tcBorders>
              <w:top w:val="single" w:sz="4" w:space="0" w:color="D9D9D9" w:themeColor="background1" w:themeShade="D9"/>
              <w:bottom w:val="nil"/>
              <w:right w:val="nil"/>
            </w:tcBorders>
            <w:vAlign w:val="center"/>
          </w:tcPr>
          <w:p w14:paraId="3603E433" w14:textId="77777777" w:rsidR="00944940" w:rsidRDefault="00944940" w:rsidP="002439C8">
            <w:pPr>
              <w:spacing w:line="276" w:lineRule="auto"/>
              <w:jc w:val="left"/>
              <w:rPr>
                <w:rFonts w:cs="Arial"/>
                <w:sz w:val="20"/>
                <w:szCs w:val="20"/>
                <w:lang w:val="en-AU"/>
              </w:rPr>
            </w:pPr>
            <w:r>
              <w:rPr>
                <w:rFonts w:cs="Arial"/>
                <w:sz w:val="20"/>
                <w:szCs w:val="20"/>
                <w:lang w:val="en-AU"/>
              </w:rPr>
              <w:t>8.0</w:t>
            </w:r>
          </w:p>
        </w:tc>
      </w:tr>
      <w:tr w:rsidR="00944940" w:rsidRPr="00056CEF" w14:paraId="0CCF4187" w14:textId="77777777" w:rsidTr="00503D38">
        <w:trPr>
          <w:trHeight w:val="377"/>
          <w:jc w:val="center"/>
        </w:trPr>
        <w:tc>
          <w:tcPr>
            <w:tcW w:w="1418" w:type="dxa"/>
            <w:vMerge/>
            <w:vAlign w:val="center"/>
          </w:tcPr>
          <w:p w14:paraId="6182E7BB" w14:textId="77777777" w:rsidR="00944940" w:rsidRPr="00056CEF" w:rsidRDefault="00944940" w:rsidP="002439C8">
            <w:pPr>
              <w:spacing w:line="276" w:lineRule="auto"/>
              <w:jc w:val="left"/>
              <w:rPr>
                <w:rFonts w:cs="Arial"/>
                <w:sz w:val="20"/>
                <w:szCs w:val="20"/>
                <w:lang w:val="en-AU"/>
              </w:rPr>
            </w:pPr>
          </w:p>
        </w:tc>
        <w:tc>
          <w:tcPr>
            <w:tcW w:w="1559" w:type="dxa"/>
            <w:vMerge/>
            <w:tcBorders>
              <w:top w:val="nil"/>
              <w:bottom w:val="single" w:sz="4" w:space="0" w:color="D9D9D9" w:themeColor="background1" w:themeShade="D9"/>
            </w:tcBorders>
            <w:vAlign w:val="center"/>
          </w:tcPr>
          <w:p w14:paraId="7600E226" w14:textId="77777777" w:rsidR="00944940" w:rsidRPr="006E69F4" w:rsidRDefault="00944940" w:rsidP="002439C8">
            <w:pPr>
              <w:spacing w:line="276" w:lineRule="auto"/>
              <w:jc w:val="left"/>
              <w:rPr>
                <w:rFonts w:cs="Arial"/>
                <w:sz w:val="20"/>
                <w:szCs w:val="20"/>
                <w:lang w:val="en-AU"/>
              </w:rPr>
            </w:pPr>
          </w:p>
        </w:tc>
        <w:tc>
          <w:tcPr>
            <w:tcW w:w="1985" w:type="dxa"/>
            <w:vMerge/>
            <w:tcBorders>
              <w:top w:val="nil"/>
              <w:bottom w:val="single" w:sz="4" w:space="0" w:color="D9D9D9" w:themeColor="background1" w:themeShade="D9"/>
            </w:tcBorders>
            <w:vAlign w:val="center"/>
          </w:tcPr>
          <w:p w14:paraId="1AF0B741" w14:textId="77777777" w:rsidR="00944940" w:rsidRPr="006E69F4" w:rsidRDefault="00944940" w:rsidP="002439C8">
            <w:pPr>
              <w:spacing w:line="276" w:lineRule="auto"/>
              <w:jc w:val="left"/>
              <w:rPr>
                <w:rFonts w:cs="Arial"/>
                <w:sz w:val="20"/>
                <w:szCs w:val="20"/>
                <w:lang w:val="en-AU"/>
              </w:rPr>
            </w:pPr>
          </w:p>
        </w:tc>
        <w:tc>
          <w:tcPr>
            <w:tcW w:w="2126" w:type="dxa"/>
            <w:tcBorders>
              <w:top w:val="nil"/>
              <w:bottom w:val="single" w:sz="4" w:space="0" w:color="D9D9D9" w:themeColor="background1" w:themeShade="D9"/>
            </w:tcBorders>
            <w:vAlign w:val="center"/>
          </w:tcPr>
          <w:p w14:paraId="1FB2FE60"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Normanby Island</w:t>
            </w:r>
          </w:p>
        </w:tc>
        <w:tc>
          <w:tcPr>
            <w:tcW w:w="1276" w:type="dxa"/>
            <w:tcBorders>
              <w:top w:val="nil"/>
              <w:bottom w:val="single" w:sz="4" w:space="0" w:color="D9D9D9" w:themeColor="background1" w:themeShade="D9"/>
              <w:right w:val="nil"/>
            </w:tcBorders>
            <w:vAlign w:val="center"/>
          </w:tcPr>
          <w:p w14:paraId="30D56079" w14:textId="77777777" w:rsidR="00944940" w:rsidRPr="00056CEF" w:rsidRDefault="00944940" w:rsidP="002439C8">
            <w:pPr>
              <w:spacing w:line="276" w:lineRule="auto"/>
              <w:jc w:val="left"/>
              <w:rPr>
                <w:rFonts w:cs="Arial"/>
                <w:sz w:val="20"/>
                <w:szCs w:val="20"/>
                <w:lang w:val="en-AU"/>
              </w:rPr>
            </w:pPr>
            <w:r>
              <w:rPr>
                <w:rFonts w:cs="Arial"/>
                <w:sz w:val="20"/>
                <w:szCs w:val="20"/>
                <w:lang w:val="en-AU"/>
              </w:rPr>
              <w:t>Jul-2005</w:t>
            </w:r>
          </w:p>
        </w:tc>
        <w:tc>
          <w:tcPr>
            <w:tcW w:w="1984" w:type="dxa"/>
            <w:tcBorders>
              <w:top w:val="nil"/>
              <w:bottom w:val="single" w:sz="4" w:space="0" w:color="D9D9D9" w:themeColor="background1" w:themeShade="D9"/>
              <w:right w:val="nil"/>
            </w:tcBorders>
            <w:vAlign w:val="center"/>
          </w:tcPr>
          <w:p w14:paraId="04E2D342" w14:textId="77777777" w:rsidR="00944940" w:rsidRDefault="00944940" w:rsidP="002439C8">
            <w:pPr>
              <w:spacing w:line="276" w:lineRule="auto"/>
              <w:jc w:val="left"/>
              <w:rPr>
                <w:rFonts w:cs="Arial"/>
                <w:sz w:val="20"/>
                <w:szCs w:val="20"/>
                <w:lang w:val="en-AU"/>
              </w:rPr>
            </w:pPr>
            <w:r>
              <w:rPr>
                <w:rFonts w:cs="Arial"/>
                <w:sz w:val="20"/>
                <w:szCs w:val="20"/>
                <w:lang w:val="en-AU"/>
              </w:rPr>
              <w:t>11</w:t>
            </w:r>
          </w:p>
        </w:tc>
      </w:tr>
      <w:tr w:rsidR="00944940" w:rsidRPr="00056CEF" w14:paraId="204E64BC" w14:textId="77777777" w:rsidTr="00503D38">
        <w:trPr>
          <w:trHeight w:val="377"/>
          <w:jc w:val="center"/>
        </w:trPr>
        <w:tc>
          <w:tcPr>
            <w:tcW w:w="1418" w:type="dxa"/>
            <w:vMerge/>
            <w:vAlign w:val="center"/>
          </w:tcPr>
          <w:p w14:paraId="06119484" w14:textId="77777777" w:rsidR="00944940" w:rsidRPr="00056CEF" w:rsidRDefault="00944940" w:rsidP="002439C8">
            <w:pPr>
              <w:spacing w:line="276" w:lineRule="auto"/>
              <w:jc w:val="left"/>
              <w:rPr>
                <w:rFonts w:cs="Arial"/>
                <w:sz w:val="20"/>
                <w:szCs w:val="20"/>
                <w:lang w:val="en-AU"/>
              </w:rPr>
            </w:pPr>
          </w:p>
        </w:tc>
        <w:tc>
          <w:tcPr>
            <w:tcW w:w="1559" w:type="dxa"/>
            <w:tcBorders>
              <w:top w:val="single" w:sz="4" w:space="0" w:color="D9D9D9" w:themeColor="background1" w:themeShade="D9"/>
              <w:bottom w:val="single" w:sz="4" w:space="0" w:color="D9D9D9" w:themeColor="background1" w:themeShade="D9"/>
            </w:tcBorders>
            <w:vAlign w:val="center"/>
          </w:tcPr>
          <w:p w14:paraId="6B7B2F78" w14:textId="77777777" w:rsidR="00944940" w:rsidRPr="006E69F4" w:rsidRDefault="00944940" w:rsidP="002439C8">
            <w:pPr>
              <w:spacing w:line="276" w:lineRule="auto"/>
              <w:jc w:val="left"/>
              <w:rPr>
                <w:rFonts w:cs="Arial"/>
                <w:sz w:val="20"/>
                <w:szCs w:val="20"/>
                <w:lang w:val="en-AU"/>
              </w:rPr>
            </w:pPr>
            <w:r w:rsidRPr="006E69F4">
              <w:rPr>
                <w:rFonts w:cs="Arial"/>
                <w:sz w:val="20"/>
                <w:szCs w:val="20"/>
              </w:rPr>
              <w:t>Tully</w:t>
            </w:r>
          </w:p>
        </w:tc>
        <w:tc>
          <w:tcPr>
            <w:tcW w:w="1985" w:type="dxa"/>
            <w:tcBorders>
              <w:top w:val="single" w:sz="4" w:space="0" w:color="D9D9D9" w:themeColor="background1" w:themeShade="D9"/>
              <w:bottom w:val="single" w:sz="4" w:space="0" w:color="D9D9D9" w:themeColor="background1" w:themeShade="D9"/>
            </w:tcBorders>
            <w:vAlign w:val="center"/>
          </w:tcPr>
          <w:p w14:paraId="6FD8EC2D" w14:textId="77777777" w:rsidR="00944940" w:rsidRPr="006E69F4" w:rsidRDefault="00944940" w:rsidP="002439C8">
            <w:pPr>
              <w:spacing w:line="276" w:lineRule="auto"/>
              <w:jc w:val="left"/>
              <w:rPr>
                <w:rFonts w:cs="Arial"/>
                <w:sz w:val="20"/>
                <w:szCs w:val="20"/>
                <w:lang w:val="en-AU"/>
              </w:rPr>
            </w:pPr>
            <w:r w:rsidRPr="006E69F4">
              <w:rPr>
                <w:rFonts w:cs="Arial"/>
                <w:sz w:val="20"/>
                <w:szCs w:val="20"/>
              </w:rPr>
              <w:t>Tully River</w:t>
            </w:r>
          </w:p>
        </w:tc>
        <w:tc>
          <w:tcPr>
            <w:tcW w:w="2126" w:type="dxa"/>
            <w:tcBorders>
              <w:top w:val="single" w:sz="4" w:space="0" w:color="D9D9D9" w:themeColor="background1" w:themeShade="D9"/>
              <w:bottom w:val="single" w:sz="4" w:space="0" w:color="D9D9D9" w:themeColor="background1" w:themeShade="D9"/>
            </w:tcBorders>
            <w:vAlign w:val="center"/>
          </w:tcPr>
          <w:p w14:paraId="6FE9759A"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Dunk Island</w:t>
            </w:r>
          </w:p>
        </w:tc>
        <w:tc>
          <w:tcPr>
            <w:tcW w:w="1276" w:type="dxa"/>
            <w:tcBorders>
              <w:top w:val="single" w:sz="4" w:space="0" w:color="D9D9D9" w:themeColor="background1" w:themeShade="D9"/>
              <w:bottom w:val="single" w:sz="4" w:space="0" w:color="D9D9D9" w:themeColor="background1" w:themeShade="D9"/>
              <w:right w:val="nil"/>
            </w:tcBorders>
            <w:vAlign w:val="center"/>
          </w:tcPr>
          <w:p w14:paraId="6A518D81" w14:textId="77777777" w:rsidR="00944940" w:rsidRPr="00056CEF" w:rsidRDefault="00944940" w:rsidP="002439C8">
            <w:pPr>
              <w:spacing w:line="276" w:lineRule="auto"/>
              <w:jc w:val="left"/>
              <w:rPr>
                <w:rFonts w:cs="Arial"/>
                <w:sz w:val="20"/>
                <w:szCs w:val="20"/>
                <w:lang w:val="en-AU"/>
              </w:rPr>
            </w:pPr>
            <w:r>
              <w:rPr>
                <w:rFonts w:cs="Arial"/>
                <w:sz w:val="20"/>
                <w:szCs w:val="20"/>
                <w:lang w:val="en-AU"/>
              </w:rPr>
              <w:t>Sep-2008</w:t>
            </w:r>
          </w:p>
        </w:tc>
        <w:tc>
          <w:tcPr>
            <w:tcW w:w="1984" w:type="dxa"/>
            <w:tcBorders>
              <w:top w:val="single" w:sz="4" w:space="0" w:color="D9D9D9" w:themeColor="background1" w:themeShade="D9"/>
              <w:bottom w:val="single" w:sz="4" w:space="0" w:color="D9D9D9" w:themeColor="background1" w:themeShade="D9"/>
              <w:right w:val="nil"/>
            </w:tcBorders>
            <w:vAlign w:val="center"/>
          </w:tcPr>
          <w:p w14:paraId="55AE71BE" w14:textId="77777777" w:rsidR="00944940" w:rsidRDefault="00944940" w:rsidP="002439C8">
            <w:pPr>
              <w:spacing w:line="276" w:lineRule="auto"/>
              <w:jc w:val="left"/>
              <w:rPr>
                <w:rFonts w:cs="Arial"/>
                <w:sz w:val="20"/>
                <w:szCs w:val="20"/>
                <w:lang w:val="en-AU"/>
              </w:rPr>
            </w:pPr>
            <w:r>
              <w:rPr>
                <w:rFonts w:cs="Arial"/>
                <w:sz w:val="20"/>
                <w:szCs w:val="20"/>
                <w:lang w:val="en-AU"/>
              </w:rPr>
              <w:t>13</w:t>
            </w:r>
          </w:p>
        </w:tc>
      </w:tr>
      <w:tr w:rsidR="00944940" w:rsidRPr="00056CEF" w14:paraId="1FAFD447" w14:textId="77777777" w:rsidTr="00503D38">
        <w:trPr>
          <w:trHeight w:val="377"/>
          <w:jc w:val="center"/>
        </w:trPr>
        <w:tc>
          <w:tcPr>
            <w:tcW w:w="1418" w:type="dxa"/>
            <w:vMerge/>
            <w:tcBorders>
              <w:bottom w:val="single" w:sz="4" w:space="0" w:color="auto"/>
            </w:tcBorders>
            <w:vAlign w:val="center"/>
          </w:tcPr>
          <w:p w14:paraId="7A7B4A8C" w14:textId="77777777" w:rsidR="00944940" w:rsidRPr="00056CEF" w:rsidRDefault="00944940" w:rsidP="002439C8">
            <w:pPr>
              <w:spacing w:line="276" w:lineRule="auto"/>
              <w:jc w:val="left"/>
              <w:rPr>
                <w:rFonts w:cs="Arial"/>
                <w:sz w:val="20"/>
                <w:szCs w:val="20"/>
                <w:lang w:val="en-AU"/>
              </w:rPr>
            </w:pPr>
          </w:p>
        </w:tc>
        <w:tc>
          <w:tcPr>
            <w:tcW w:w="1559" w:type="dxa"/>
            <w:tcBorders>
              <w:top w:val="single" w:sz="4" w:space="0" w:color="D9D9D9" w:themeColor="background1" w:themeShade="D9"/>
              <w:bottom w:val="single" w:sz="4" w:space="0" w:color="auto"/>
            </w:tcBorders>
            <w:vAlign w:val="center"/>
          </w:tcPr>
          <w:p w14:paraId="66E7DD49"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Herbert</w:t>
            </w:r>
          </w:p>
        </w:tc>
        <w:tc>
          <w:tcPr>
            <w:tcW w:w="1985" w:type="dxa"/>
            <w:tcBorders>
              <w:top w:val="single" w:sz="4" w:space="0" w:color="D9D9D9" w:themeColor="background1" w:themeShade="D9"/>
              <w:bottom w:val="single" w:sz="4" w:space="0" w:color="auto"/>
            </w:tcBorders>
            <w:vAlign w:val="center"/>
          </w:tcPr>
          <w:p w14:paraId="6821203E"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Herbert River</w:t>
            </w:r>
          </w:p>
        </w:tc>
        <w:tc>
          <w:tcPr>
            <w:tcW w:w="2126" w:type="dxa"/>
            <w:tcBorders>
              <w:top w:val="single" w:sz="4" w:space="0" w:color="D9D9D9" w:themeColor="background1" w:themeShade="D9"/>
              <w:bottom w:val="single" w:sz="4" w:space="0" w:color="auto"/>
            </w:tcBorders>
            <w:vAlign w:val="center"/>
          </w:tcPr>
          <w:p w14:paraId="59DEEBD9"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Lucinda</w:t>
            </w:r>
          </w:p>
        </w:tc>
        <w:tc>
          <w:tcPr>
            <w:tcW w:w="1276" w:type="dxa"/>
            <w:tcBorders>
              <w:top w:val="single" w:sz="4" w:space="0" w:color="D9D9D9" w:themeColor="background1" w:themeShade="D9"/>
              <w:bottom w:val="single" w:sz="4" w:space="0" w:color="auto"/>
              <w:right w:val="nil"/>
            </w:tcBorders>
            <w:vAlign w:val="center"/>
          </w:tcPr>
          <w:p w14:paraId="580AD14D" w14:textId="77777777" w:rsidR="00944940" w:rsidRPr="00056CEF" w:rsidRDefault="00944940" w:rsidP="002439C8">
            <w:pPr>
              <w:spacing w:line="276" w:lineRule="auto"/>
              <w:jc w:val="left"/>
              <w:rPr>
                <w:rFonts w:cs="Arial"/>
                <w:sz w:val="20"/>
                <w:szCs w:val="20"/>
                <w:lang w:val="en-AU"/>
              </w:rPr>
            </w:pPr>
            <w:r>
              <w:rPr>
                <w:rFonts w:cs="Arial"/>
                <w:sz w:val="20"/>
                <w:szCs w:val="20"/>
                <w:lang w:val="en-AU"/>
              </w:rPr>
              <w:t>Jul-2014</w:t>
            </w:r>
          </w:p>
        </w:tc>
        <w:tc>
          <w:tcPr>
            <w:tcW w:w="1984" w:type="dxa"/>
            <w:tcBorders>
              <w:top w:val="single" w:sz="4" w:space="0" w:color="D9D9D9" w:themeColor="background1" w:themeShade="D9"/>
              <w:bottom w:val="single" w:sz="4" w:space="0" w:color="auto"/>
              <w:right w:val="nil"/>
            </w:tcBorders>
            <w:vAlign w:val="center"/>
          </w:tcPr>
          <w:p w14:paraId="320C5F46" w14:textId="77777777" w:rsidR="00944940" w:rsidRDefault="00944940" w:rsidP="002439C8">
            <w:pPr>
              <w:spacing w:line="276" w:lineRule="auto"/>
              <w:jc w:val="left"/>
              <w:rPr>
                <w:rFonts w:cs="Arial"/>
                <w:sz w:val="20"/>
                <w:szCs w:val="20"/>
                <w:lang w:val="en-AU"/>
              </w:rPr>
            </w:pPr>
            <w:r>
              <w:rPr>
                <w:rFonts w:cs="Arial"/>
                <w:sz w:val="20"/>
                <w:szCs w:val="20"/>
                <w:lang w:val="en-AU"/>
              </w:rPr>
              <w:t>12</w:t>
            </w:r>
          </w:p>
        </w:tc>
      </w:tr>
      <w:tr w:rsidR="00944940" w:rsidRPr="00056CEF" w14:paraId="6098C01B" w14:textId="77777777" w:rsidTr="00503D38">
        <w:trPr>
          <w:trHeight w:val="377"/>
          <w:jc w:val="center"/>
        </w:trPr>
        <w:tc>
          <w:tcPr>
            <w:tcW w:w="1418" w:type="dxa"/>
            <w:tcBorders>
              <w:top w:val="single" w:sz="4" w:space="0" w:color="auto"/>
              <w:bottom w:val="single" w:sz="4" w:space="0" w:color="auto"/>
            </w:tcBorders>
            <w:vAlign w:val="center"/>
          </w:tcPr>
          <w:p w14:paraId="376F6516" w14:textId="77777777" w:rsidR="00944940" w:rsidRPr="00056CEF" w:rsidRDefault="00944940" w:rsidP="002439C8">
            <w:pPr>
              <w:spacing w:line="276" w:lineRule="auto"/>
              <w:jc w:val="left"/>
              <w:rPr>
                <w:rFonts w:cs="Arial"/>
                <w:sz w:val="20"/>
                <w:szCs w:val="20"/>
                <w:lang w:val="en-AU"/>
              </w:rPr>
            </w:pPr>
            <w:r w:rsidRPr="00056CEF">
              <w:rPr>
                <w:rFonts w:cs="Arial"/>
                <w:sz w:val="20"/>
                <w:szCs w:val="20"/>
                <w:lang w:val="en-AU"/>
              </w:rPr>
              <w:t>Burdekin</w:t>
            </w:r>
          </w:p>
        </w:tc>
        <w:tc>
          <w:tcPr>
            <w:tcW w:w="1559" w:type="dxa"/>
            <w:tcBorders>
              <w:top w:val="single" w:sz="4" w:space="0" w:color="auto"/>
              <w:bottom w:val="single" w:sz="4" w:space="0" w:color="auto"/>
            </w:tcBorders>
            <w:vAlign w:val="center"/>
          </w:tcPr>
          <w:p w14:paraId="4785C6CC"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Burdekin</w:t>
            </w:r>
          </w:p>
        </w:tc>
        <w:tc>
          <w:tcPr>
            <w:tcW w:w="1985" w:type="dxa"/>
            <w:tcBorders>
              <w:top w:val="single" w:sz="4" w:space="0" w:color="auto"/>
              <w:bottom w:val="single" w:sz="4" w:space="0" w:color="auto"/>
            </w:tcBorders>
            <w:vAlign w:val="center"/>
          </w:tcPr>
          <w:p w14:paraId="722856B9"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Barratta Creek</w:t>
            </w:r>
          </w:p>
        </w:tc>
        <w:tc>
          <w:tcPr>
            <w:tcW w:w="2126" w:type="dxa"/>
            <w:tcBorders>
              <w:top w:val="single" w:sz="4" w:space="0" w:color="auto"/>
              <w:bottom w:val="single" w:sz="4" w:space="0" w:color="auto"/>
            </w:tcBorders>
            <w:vAlign w:val="center"/>
          </w:tcPr>
          <w:p w14:paraId="1093F683"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Barratta Creek mouth</w:t>
            </w:r>
          </w:p>
        </w:tc>
        <w:tc>
          <w:tcPr>
            <w:tcW w:w="1276" w:type="dxa"/>
            <w:tcBorders>
              <w:top w:val="single" w:sz="4" w:space="0" w:color="auto"/>
              <w:bottom w:val="single" w:sz="4" w:space="0" w:color="auto"/>
              <w:right w:val="nil"/>
            </w:tcBorders>
            <w:vAlign w:val="center"/>
          </w:tcPr>
          <w:p w14:paraId="1764CA72" w14:textId="77777777" w:rsidR="00944940" w:rsidRPr="00056CEF" w:rsidRDefault="00944940" w:rsidP="002439C8">
            <w:pPr>
              <w:spacing w:line="276" w:lineRule="auto"/>
              <w:jc w:val="left"/>
              <w:rPr>
                <w:rFonts w:cs="Arial"/>
                <w:sz w:val="20"/>
                <w:szCs w:val="20"/>
                <w:lang w:val="en-AU"/>
              </w:rPr>
            </w:pPr>
            <w:r>
              <w:rPr>
                <w:rFonts w:cs="Arial"/>
                <w:sz w:val="20"/>
                <w:szCs w:val="20"/>
                <w:lang w:val="en-AU"/>
              </w:rPr>
              <w:t>Mar-2014</w:t>
            </w:r>
          </w:p>
        </w:tc>
        <w:tc>
          <w:tcPr>
            <w:tcW w:w="1984" w:type="dxa"/>
            <w:tcBorders>
              <w:top w:val="single" w:sz="4" w:space="0" w:color="auto"/>
              <w:bottom w:val="single" w:sz="4" w:space="0" w:color="auto"/>
              <w:right w:val="nil"/>
            </w:tcBorders>
            <w:vAlign w:val="center"/>
          </w:tcPr>
          <w:p w14:paraId="10B73C80" w14:textId="77777777" w:rsidR="00944940" w:rsidRDefault="00944940" w:rsidP="002439C8">
            <w:pPr>
              <w:spacing w:line="276" w:lineRule="auto"/>
              <w:jc w:val="left"/>
              <w:rPr>
                <w:rFonts w:cs="Arial"/>
                <w:sz w:val="20"/>
                <w:szCs w:val="20"/>
                <w:lang w:val="en-AU"/>
              </w:rPr>
            </w:pPr>
            <w:r>
              <w:rPr>
                <w:rFonts w:cs="Arial"/>
                <w:sz w:val="20"/>
                <w:szCs w:val="20"/>
                <w:lang w:val="en-AU"/>
              </w:rPr>
              <w:t>1.5</w:t>
            </w:r>
          </w:p>
        </w:tc>
      </w:tr>
      <w:tr w:rsidR="00944940" w:rsidRPr="00056CEF" w14:paraId="4A9659BA" w14:textId="77777777" w:rsidTr="00503D38">
        <w:trPr>
          <w:trHeight w:val="377"/>
          <w:jc w:val="center"/>
        </w:trPr>
        <w:tc>
          <w:tcPr>
            <w:tcW w:w="1418" w:type="dxa"/>
            <w:vMerge w:val="restart"/>
            <w:tcBorders>
              <w:top w:val="single" w:sz="4" w:space="0" w:color="auto"/>
              <w:bottom w:val="nil"/>
            </w:tcBorders>
            <w:vAlign w:val="center"/>
          </w:tcPr>
          <w:p w14:paraId="5F0EC232" w14:textId="77777777" w:rsidR="00944940" w:rsidRPr="00056CEF" w:rsidRDefault="00944940" w:rsidP="002439C8">
            <w:pPr>
              <w:spacing w:line="276" w:lineRule="auto"/>
              <w:jc w:val="left"/>
              <w:rPr>
                <w:rFonts w:cs="Arial"/>
                <w:sz w:val="20"/>
                <w:szCs w:val="20"/>
                <w:lang w:val="en-AU"/>
              </w:rPr>
            </w:pPr>
            <w:r w:rsidRPr="00056CEF">
              <w:rPr>
                <w:rFonts w:cs="Arial"/>
                <w:sz w:val="20"/>
                <w:szCs w:val="20"/>
                <w:lang w:val="en-AU"/>
              </w:rPr>
              <w:t>Mackay Whitsunday</w:t>
            </w:r>
          </w:p>
        </w:tc>
        <w:tc>
          <w:tcPr>
            <w:tcW w:w="1559" w:type="dxa"/>
            <w:tcBorders>
              <w:top w:val="single" w:sz="4" w:space="0" w:color="auto"/>
              <w:bottom w:val="single" w:sz="4" w:space="0" w:color="D9D9D9" w:themeColor="background1" w:themeShade="D9"/>
            </w:tcBorders>
            <w:vAlign w:val="center"/>
          </w:tcPr>
          <w:p w14:paraId="543CD1B4"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Proserpine O’Connell</w:t>
            </w:r>
          </w:p>
        </w:tc>
        <w:tc>
          <w:tcPr>
            <w:tcW w:w="1985" w:type="dxa"/>
            <w:tcBorders>
              <w:top w:val="single" w:sz="4" w:space="0" w:color="auto"/>
              <w:bottom w:val="single" w:sz="4" w:space="0" w:color="D9D9D9" w:themeColor="background1" w:themeShade="D9"/>
            </w:tcBorders>
            <w:vAlign w:val="center"/>
          </w:tcPr>
          <w:p w14:paraId="3C45C28E"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Proserpine River O’Connell River</w:t>
            </w:r>
          </w:p>
        </w:tc>
        <w:tc>
          <w:tcPr>
            <w:tcW w:w="2126" w:type="dxa"/>
            <w:tcBorders>
              <w:top w:val="single" w:sz="4" w:space="0" w:color="auto"/>
              <w:bottom w:val="single" w:sz="4" w:space="0" w:color="D9D9D9" w:themeColor="background1" w:themeShade="D9"/>
            </w:tcBorders>
            <w:vAlign w:val="center"/>
          </w:tcPr>
          <w:p w14:paraId="5B458518"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Repulse Bay</w:t>
            </w:r>
          </w:p>
        </w:tc>
        <w:tc>
          <w:tcPr>
            <w:tcW w:w="1276" w:type="dxa"/>
            <w:tcBorders>
              <w:top w:val="single" w:sz="4" w:space="0" w:color="auto"/>
              <w:bottom w:val="single" w:sz="4" w:space="0" w:color="D9D9D9" w:themeColor="background1" w:themeShade="D9"/>
              <w:right w:val="nil"/>
            </w:tcBorders>
            <w:vAlign w:val="center"/>
          </w:tcPr>
          <w:p w14:paraId="150FDCD0" w14:textId="77777777" w:rsidR="00944940" w:rsidRPr="00056CEF" w:rsidRDefault="00944940" w:rsidP="002439C8">
            <w:pPr>
              <w:spacing w:line="276" w:lineRule="auto"/>
              <w:jc w:val="left"/>
              <w:rPr>
                <w:rFonts w:cs="Arial"/>
                <w:sz w:val="20"/>
                <w:szCs w:val="20"/>
                <w:lang w:val="en-AU"/>
              </w:rPr>
            </w:pPr>
            <w:r>
              <w:rPr>
                <w:rFonts w:cs="Arial"/>
                <w:sz w:val="20"/>
                <w:szCs w:val="20"/>
                <w:lang w:val="en-AU"/>
              </w:rPr>
              <w:t>Sep-2014</w:t>
            </w:r>
          </w:p>
        </w:tc>
        <w:tc>
          <w:tcPr>
            <w:tcW w:w="1984" w:type="dxa"/>
            <w:tcBorders>
              <w:top w:val="single" w:sz="4" w:space="0" w:color="auto"/>
              <w:bottom w:val="single" w:sz="4" w:space="0" w:color="D9D9D9" w:themeColor="background1" w:themeShade="D9"/>
              <w:right w:val="nil"/>
            </w:tcBorders>
            <w:vAlign w:val="center"/>
          </w:tcPr>
          <w:p w14:paraId="1C96CB0A" w14:textId="77777777" w:rsidR="0084524B" w:rsidRDefault="00944940" w:rsidP="002439C8">
            <w:pPr>
              <w:spacing w:line="276" w:lineRule="auto"/>
              <w:jc w:val="left"/>
              <w:rPr>
                <w:rFonts w:cs="Arial"/>
                <w:sz w:val="20"/>
                <w:szCs w:val="20"/>
                <w:lang w:val="en-AU"/>
              </w:rPr>
            </w:pPr>
            <w:r>
              <w:rPr>
                <w:rFonts w:cs="Arial"/>
                <w:sz w:val="20"/>
                <w:szCs w:val="20"/>
                <w:lang w:val="en-AU"/>
              </w:rPr>
              <w:t xml:space="preserve">12 </w:t>
            </w:r>
          </w:p>
          <w:p w14:paraId="5FF8104E" w14:textId="77777777" w:rsidR="00944940" w:rsidRDefault="00944940" w:rsidP="002439C8">
            <w:pPr>
              <w:spacing w:line="276" w:lineRule="auto"/>
              <w:jc w:val="left"/>
              <w:rPr>
                <w:rFonts w:cs="Arial"/>
                <w:sz w:val="20"/>
                <w:szCs w:val="20"/>
                <w:lang w:val="en-AU"/>
              </w:rPr>
            </w:pPr>
            <w:r>
              <w:rPr>
                <w:rFonts w:cs="Arial"/>
                <w:sz w:val="20"/>
                <w:szCs w:val="20"/>
                <w:lang w:val="en-AU"/>
              </w:rPr>
              <w:t>3.3</w:t>
            </w:r>
          </w:p>
        </w:tc>
      </w:tr>
      <w:tr w:rsidR="00944940" w:rsidRPr="00056CEF" w14:paraId="79D8F72C" w14:textId="77777777" w:rsidTr="00503D38">
        <w:trPr>
          <w:trHeight w:val="377"/>
          <w:jc w:val="center"/>
        </w:trPr>
        <w:tc>
          <w:tcPr>
            <w:tcW w:w="1418" w:type="dxa"/>
            <w:vMerge/>
            <w:tcBorders>
              <w:top w:val="nil"/>
            </w:tcBorders>
            <w:vAlign w:val="center"/>
          </w:tcPr>
          <w:p w14:paraId="04FD02CD" w14:textId="77777777" w:rsidR="00944940" w:rsidRPr="00056CEF" w:rsidRDefault="00944940" w:rsidP="002439C8">
            <w:pPr>
              <w:spacing w:line="276" w:lineRule="auto"/>
              <w:jc w:val="left"/>
              <w:rPr>
                <w:rFonts w:cs="Arial"/>
                <w:sz w:val="20"/>
                <w:szCs w:val="20"/>
                <w:lang w:val="en-AU"/>
              </w:rPr>
            </w:pPr>
          </w:p>
        </w:tc>
        <w:tc>
          <w:tcPr>
            <w:tcW w:w="1559" w:type="dxa"/>
            <w:tcBorders>
              <w:top w:val="single" w:sz="4" w:space="0" w:color="D9D9D9" w:themeColor="background1" w:themeShade="D9"/>
              <w:bottom w:val="single" w:sz="4" w:space="0" w:color="D9D9D9" w:themeColor="background1" w:themeShade="D9"/>
            </w:tcBorders>
            <w:vAlign w:val="center"/>
          </w:tcPr>
          <w:p w14:paraId="796117DC" w14:textId="77777777" w:rsidR="00A90C78" w:rsidRDefault="00944940" w:rsidP="002439C8">
            <w:pPr>
              <w:spacing w:line="276" w:lineRule="auto"/>
              <w:jc w:val="left"/>
              <w:rPr>
                <w:rFonts w:cs="Arial"/>
                <w:sz w:val="20"/>
                <w:szCs w:val="20"/>
                <w:lang w:val="en-AU"/>
              </w:rPr>
            </w:pPr>
            <w:r w:rsidRPr="006E69F4">
              <w:rPr>
                <w:rFonts w:cs="Arial"/>
                <w:sz w:val="20"/>
                <w:szCs w:val="20"/>
                <w:lang w:val="en-AU"/>
              </w:rPr>
              <w:t>Pioneer</w:t>
            </w:r>
          </w:p>
          <w:p w14:paraId="1CDD4544"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Plane</w:t>
            </w:r>
          </w:p>
        </w:tc>
        <w:tc>
          <w:tcPr>
            <w:tcW w:w="1985" w:type="dxa"/>
            <w:tcBorders>
              <w:top w:val="single" w:sz="4" w:space="0" w:color="D9D9D9" w:themeColor="background1" w:themeShade="D9"/>
              <w:bottom w:val="single" w:sz="4" w:space="0" w:color="D9D9D9" w:themeColor="background1" w:themeShade="D9"/>
            </w:tcBorders>
            <w:vAlign w:val="center"/>
          </w:tcPr>
          <w:p w14:paraId="6FB6FC5F" w14:textId="77777777" w:rsidR="00944940" w:rsidRDefault="00944940" w:rsidP="002439C8">
            <w:pPr>
              <w:spacing w:line="276" w:lineRule="auto"/>
              <w:jc w:val="left"/>
              <w:rPr>
                <w:rFonts w:cs="Arial"/>
                <w:sz w:val="20"/>
                <w:szCs w:val="20"/>
                <w:lang w:val="en-AU"/>
              </w:rPr>
            </w:pPr>
            <w:r w:rsidRPr="006E69F4">
              <w:rPr>
                <w:rFonts w:cs="Arial"/>
                <w:sz w:val="20"/>
                <w:szCs w:val="20"/>
                <w:lang w:val="en-AU"/>
              </w:rPr>
              <w:t xml:space="preserve">Pioneer River </w:t>
            </w:r>
          </w:p>
          <w:p w14:paraId="59FCAAF7" w14:textId="77777777" w:rsidR="00944940" w:rsidRPr="006E69F4" w:rsidRDefault="00944940" w:rsidP="002439C8">
            <w:pPr>
              <w:spacing w:line="276" w:lineRule="auto"/>
              <w:jc w:val="left"/>
              <w:rPr>
                <w:rFonts w:cs="Arial"/>
                <w:sz w:val="20"/>
                <w:szCs w:val="20"/>
                <w:lang w:val="en-AU"/>
              </w:rPr>
            </w:pPr>
            <w:r w:rsidRPr="006E69F4">
              <w:rPr>
                <w:rFonts w:cs="Arial"/>
                <w:sz w:val="20"/>
                <w:szCs w:val="20"/>
                <w:lang w:val="en-AU"/>
              </w:rPr>
              <w:t>Sandy Creek</w:t>
            </w:r>
          </w:p>
        </w:tc>
        <w:tc>
          <w:tcPr>
            <w:tcW w:w="2126" w:type="dxa"/>
            <w:tcBorders>
              <w:top w:val="single" w:sz="4" w:space="0" w:color="D9D9D9" w:themeColor="background1" w:themeShade="D9"/>
              <w:bottom w:val="single" w:sz="4" w:space="0" w:color="D9D9D9" w:themeColor="background1" w:themeShade="D9"/>
            </w:tcBorders>
            <w:vAlign w:val="center"/>
          </w:tcPr>
          <w:p w14:paraId="4D37B9A5" w14:textId="77777777" w:rsidR="00944940" w:rsidRPr="006E69F4" w:rsidRDefault="00944940" w:rsidP="002439C8">
            <w:pPr>
              <w:spacing w:line="276" w:lineRule="auto"/>
              <w:jc w:val="left"/>
              <w:rPr>
                <w:rFonts w:cs="Arial"/>
                <w:sz w:val="20"/>
                <w:szCs w:val="20"/>
                <w:lang w:val="en-AU"/>
              </w:rPr>
            </w:pPr>
            <w:r>
              <w:rPr>
                <w:rFonts w:cs="Arial"/>
                <w:sz w:val="20"/>
                <w:szCs w:val="20"/>
                <w:lang w:val="en-AU"/>
              </w:rPr>
              <w:t>Round</w:t>
            </w:r>
            <w:r w:rsidRPr="006E69F4">
              <w:rPr>
                <w:rFonts w:cs="Arial"/>
                <w:sz w:val="20"/>
                <w:szCs w:val="20"/>
                <w:lang w:val="en-AU"/>
              </w:rPr>
              <w:t xml:space="preserve"> Top</w:t>
            </w:r>
            <w:r>
              <w:rPr>
                <w:rFonts w:cs="Arial"/>
                <w:sz w:val="20"/>
                <w:szCs w:val="20"/>
                <w:lang w:val="en-AU"/>
              </w:rPr>
              <w:t xml:space="preserve"> Island</w:t>
            </w:r>
          </w:p>
        </w:tc>
        <w:tc>
          <w:tcPr>
            <w:tcW w:w="1276" w:type="dxa"/>
            <w:tcBorders>
              <w:top w:val="single" w:sz="4" w:space="0" w:color="D9D9D9" w:themeColor="background1" w:themeShade="D9"/>
              <w:bottom w:val="single" w:sz="4" w:space="0" w:color="D9D9D9" w:themeColor="background1" w:themeShade="D9"/>
              <w:right w:val="nil"/>
            </w:tcBorders>
            <w:vAlign w:val="center"/>
          </w:tcPr>
          <w:p w14:paraId="6DD9C8B4" w14:textId="77777777" w:rsidR="00944940" w:rsidRDefault="00944940" w:rsidP="002439C8">
            <w:pPr>
              <w:spacing w:line="276" w:lineRule="auto"/>
              <w:jc w:val="left"/>
              <w:rPr>
                <w:rFonts w:cs="Arial"/>
                <w:sz w:val="20"/>
                <w:szCs w:val="20"/>
                <w:lang w:val="en-AU"/>
              </w:rPr>
            </w:pPr>
            <w:r>
              <w:rPr>
                <w:rFonts w:cs="Arial"/>
                <w:sz w:val="20"/>
                <w:szCs w:val="20"/>
                <w:lang w:val="en-AU"/>
              </w:rPr>
              <w:t>Sep-2014</w:t>
            </w:r>
          </w:p>
        </w:tc>
        <w:tc>
          <w:tcPr>
            <w:tcW w:w="1984" w:type="dxa"/>
            <w:tcBorders>
              <w:top w:val="single" w:sz="4" w:space="0" w:color="D9D9D9" w:themeColor="background1" w:themeShade="D9"/>
              <w:bottom w:val="single" w:sz="4" w:space="0" w:color="D9D9D9" w:themeColor="background1" w:themeShade="D9"/>
              <w:right w:val="nil"/>
            </w:tcBorders>
            <w:vAlign w:val="center"/>
          </w:tcPr>
          <w:p w14:paraId="56F59275" w14:textId="77777777" w:rsidR="0084524B" w:rsidRDefault="00AB0EE5" w:rsidP="002439C8">
            <w:pPr>
              <w:spacing w:line="276" w:lineRule="auto"/>
              <w:jc w:val="left"/>
              <w:rPr>
                <w:rFonts w:cs="Arial"/>
                <w:sz w:val="20"/>
                <w:szCs w:val="20"/>
                <w:lang w:val="en-AU"/>
              </w:rPr>
            </w:pPr>
            <w:r>
              <w:rPr>
                <w:rFonts w:cs="Arial"/>
                <w:sz w:val="20"/>
                <w:szCs w:val="20"/>
                <w:lang w:val="en-AU"/>
              </w:rPr>
              <w:t>5</w:t>
            </w:r>
          </w:p>
          <w:p w14:paraId="26007017" w14:textId="77777777" w:rsidR="00944940" w:rsidRDefault="00AB0EE5" w:rsidP="002439C8">
            <w:pPr>
              <w:spacing w:line="276" w:lineRule="auto"/>
              <w:jc w:val="left"/>
              <w:rPr>
                <w:rFonts w:cs="Arial"/>
                <w:sz w:val="20"/>
                <w:szCs w:val="20"/>
                <w:lang w:val="en-AU"/>
              </w:rPr>
            </w:pPr>
            <w:r>
              <w:rPr>
                <w:rFonts w:cs="Arial"/>
                <w:sz w:val="20"/>
                <w:szCs w:val="20"/>
                <w:lang w:val="en-AU"/>
              </w:rPr>
              <w:t>9</w:t>
            </w:r>
          </w:p>
        </w:tc>
      </w:tr>
      <w:tr w:rsidR="00944940" w:rsidRPr="00056CEF" w14:paraId="1374ECF9" w14:textId="77777777" w:rsidTr="00503D38">
        <w:trPr>
          <w:trHeight w:val="377"/>
          <w:jc w:val="center"/>
        </w:trPr>
        <w:tc>
          <w:tcPr>
            <w:tcW w:w="1418" w:type="dxa"/>
            <w:vMerge/>
            <w:vAlign w:val="center"/>
          </w:tcPr>
          <w:p w14:paraId="138F4481" w14:textId="77777777" w:rsidR="00944940" w:rsidRPr="00056CEF" w:rsidRDefault="00944940" w:rsidP="002439C8">
            <w:pPr>
              <w:spacing w:line="276" w:lineRule="auto"/>
              <w:jc w:val="left"/>
              <w:rPr>
                <w:rFonts w:cs="Arial"/>
                <w:sz w:val="20"/>
                <w:szCs w:val="20"/>
                <w:lang w:val="en-AU"/>
              </w:rPr>
            </w:pPr>
          </w:p>
        </w:tc>
        <w:tc>
          <w:tcPr>
            <w:tcW w:w="1559" w:type="dxa"/>
            <w:vMerge w:val="restart"/>
            <w:tcBorders>
              <w:top w:val="single" w:sz="4" w:space="0" w:color="D9D9D9" w:themeColor="background1" w:themeShade="D9"/>
            </w:tcBorders>
            <w:vAlign w:val="center"/>
          </w:tcPr>
          <w:p w14:paraId="7A43C387" w14:textId="77777777" w:rsidR="00944940" w:rsidRPr="007E4CA0" w:rsidRDefault="00944940" w:rsidP="002439C8">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Plane</w:t>
            </w:r>
          </w:p>
        </w:tc>
        <w:tc>
          <w:tcPr>
            <w:tcW w:w="1985" w:type="dxa"/>
            <w:tcBorders>
              <w:top w:val="single" w:sz="4" w:space="0" w:color="D9D9D9" w:themeColor="background1" w:themeShade="D9"/>
            </w:tcBorders>
            <w:vAlign w:val="center"/>
          </w:tcPr>
          <w:p w14:paraId="14B11ADD" w14:textId="77777777" w:rsidR="00944940" w:rsidRPr="007E4CA0" w:rsidRDefault="00944940" w:rsidP="002439C8">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Sandy Creek</w:t>
            </w:r>
          </w:p>
        </w:tc>
        <w:tc>
          <w:tcPr>
            <w:tcW w:w="2126" w:type="dxa"/>
            <w:tcBorders>
              <w:top w:val="single" w:sz="4" w:space="0" w:color="D9D9D9" w:themeColor="background1" w:themeShade="D9"/>
            </w:tcBorders>
            <w:vAlign w:val="center"/>
          </w:tcPr>
          <w:p w14:paraId="69605DD5" w14:textId="77777777" w:rsidR="00944940" w:rsidRPr="007E4CA0" w:rsidRDefault="00944940" w:rsidP="002439C8">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Sandy Creek</w:t>
            </w:r>
          </w:p>
        </w:tc>
        <w:tc>
          <w:tcPr>
            <w:tcW w:w="1276" w:type="dxa"/>
            <w:tcBorders>
              <w:top w:val="single" w:sz="4" w:space="0" w:color="D9D9D9" w:themeColor="background1" w:themeShade="D9"/>
              <w:right w:val="nil"/>
            </w:tcBorders>
            <w:vAlign w:val="center"/>
          </w:tcPr>
          <w:p w14:paraId="30FCB482" w14:textId="77777777" w:rsidR="00944940" w:rsidRPr="007E4CA0" w:rsidRDefault="00944940" w:rsidP="002439C8">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Sep-2014</w:t>
            </w:r>
          </w:p>
        </w:tc>
        <w:tc>
          <w:tcPr>
            <w:tcW w:w="1984" w:type="dxa"/>
            <w:tcBorders>
              <w:top w:val="single" w:sz="4" w:space="0" w:color="D9D9D9" w:themeColor="background1" w:themeShade="D9"/>
              <w:right w:val="nil"/>
            </w:tcBorders>
            <w:vAlign w:val="center"/>
          </w:tcPr>
          <w:p w14:paraId="69A5A9EE" w14:textId="77777777" w:rsidR="00944940" w:rsidRPr="007E4CA0" w:rsidRDefault="00944940" w:rsidP="002439C8">
            <w:pPr>
              <w:spacing w:line="276" w:lineRule="auto"/>
              <w:jc w:val="left"/>
              <w:rPr>
                <w:rFonts w:cs="Arial"/>
                <w:color w:val="000000" w:themeColor="text1"/>
                <w:sz w:val="20"/>
                <w:szCs w:val="20"/>
                <w:lang w:val="en-AU"/>
              </w:rPr>
            </w:pPr>
            <w:r>
              <w:rPr>
                <w:rFonts w:cs="Arial"/>
                <w:color w:val="000000" w:themeColor="text1"/>
                <w:sz w:val="20"/>
                <w:szCs w:val="20"/>
                <w:lang w:val="en-AU"/>
              </w:rPr>
              <w:t>8.6</w:t>
            </w:r>
          </w:p>
        </w:tc>
      </w:tr>
      <w:tr w:rsidR="00944940" w:rsidRPr="00056CEF" w14:paraId="60062CF4" w14:textId="77777777" w:rsidTr="00503D38">
        <w:trPr>
          <w:trHeight w:val="377"/>
          <w:jc w:val="center"/>
        </w:trPr>
        <w:tc>
          <w:tcPr>
            <w:tcW w:w="1418" w:type="dxa"/>
            <w:vMerge/>
            <w:tcBorders>
              <w:bottom w:val="single" w:sz="4" w:space="0" w:color="auto"/>
            </w:tcBorders>
            <w:vAlign w:val="center"/>
          </w:tcPr>
          <w:p w14:paraId="07B3DA50" w14:textId="77777777" w:rsidR="00944940" w:rsidRPr="00056CEF" w:rsidRDefault="00944940" w:rsidP="002439C8">
            <w:pPr>
              <w:spacing w:line="276" w:lineRule="auto"/>
              <w:jc w:val="left"/>
              <w:rPr>
                <w:rFonts w:cs="Arial"/>
                <w:sz w:val="20"/>
                <w:szCs w:val="20"/>
                <w:lang w:val="en-AU"/>
              </w:rPr>
            </w:pPr>
          </w:p>
        </w:tc>
        <w:tc>
          <w:tcPr>
            <w:tcW w:w="1559" w:type="dxa"/>
            <w:vMerge/>
            <w:tcBorders>
              <w:bottom w:val="single" w:sz="4" w:space="0" w:color="auto"/>
            </w:tcBorders>
            <w:vAlign w:val="center"/>
          </w:tcPr>
          <w:p w14:paraId="19CAD7FA" w14:textId="77777777" w:rsidR="00944940" w:rsidRPr="007E4CA0" w:rsidRDefault="00944940" w:rsidP="002439C8">
            <w:pPr>
              <w:spacing w:line="276" w:lineRule="auto"/>
              <w:jc w:val="left"/>
              <w:rPr>
                <w:rFonts w:cs="Arial"/>
                <w:color w:val="000000" w:themeColor="text1"/>
                <w:sz w:val="20"/>
                <w:szCs w:val="20"/>
                <w:lang w:val="en-AU"/>
              </w:rPr>
            </w:pPr>
          </w:p>
        </w:tc>
        <w:tc>
          <w:tcPr>
            <w:tcW w:w="1985" w:type="dxa"/>
            <w:tcBorders>
              <w:bottom w:val="single" w:sz="4" w:space="0" w:color="auto"/>
            </w:tcBorders>
            <w:vAlign w:val="center"/>
          </w:tcPr>
          <w:p w14:paraId="15CC4C0B" w14:textId="77777777" w:rsidR="00944940" w:rsidRPr="007E4CA0" w:rsidRDefault="00944940" w:rsidP="002439C8">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Plane Creek</w:t>
            </w:r>
          </w:p>
        </w:tc>
        <w:tc>
          <w:tcPr>
            <w:tcW w:w="2126" w:type="dxa"/>
            <w:tcBorders>
              <w:bottom w:val="single" w:sz="4" w:space="0" w:color="auto"/>
            </w:tcBorders>
            <w:vAlign w:val="center"/>
          </w:tcPr>
          <w:p w14:paraId="598DFAA4" w14:textId="77777777" w:rsidR="00944940" w:rsidRPr="007E4CA0" w:rsidRDefault="00944940" w:rsidP="002439C8">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Sarina Inlet</w:t>
            </w:r>
          </w:p>
        </w:tc>
        <w:tc>
          <w:tcPr>
            <w:tcW w:w="1276" w:type="dxa"/>
            <w:tcBorders>
              <w:bottom w:val="single" w:sz="4" w:space="0" w:color="auto"/>
              <w:right w:val="nil"/>
            </w:tcBorders>
            <w:vAlign w:val="center"/>
          </w:tcPr>
          <w:p w14:paraId="36D54BB5" w14:textId="77777777" w:rsidR="00944940" w:rsidRPr="007E4CA0" w:rsidRDefault="00944940" w:rsidP="002439C8">
            <w:pPr>
              <w:spacing w:line="276" w:lineRule="auto"/>
              <w:jc w:val="left"/>
              <w:rPr>
                <w:rFonts w:cs="Arial"/>
                <w:color w:val="000000" w:themeColor="text1"/>
                <w:sz w:val="20"/>
                <w:szCs w:val="20"/>
                <w:lang w:val="en-AU"/>
              </w:rPr>
            </w:pPr>
            <w:r w:rsidRPr="007E4CA0">
              <w:rPr>
                <w:rFonts w:cs="Arial"/>
                <w:color w:val="000000" w:themeColor="text1"/>
                <w:sz w:val="20"/>
                <w:szCs w:val="20"/>
                <w:lang w:val="en-AU"/>
              </w:rPr>
              <w:t>May-2009</w:t>
            </w:r>
          </w:p>
        </w:tc>
        <w:tc>
          <w:tcPr>
            <w:tcW w:w="1984" w:type="dxa"/>
            <w:tcBorders>
              <w:bottom w:val="single" w:sz="4" w:space="0" w:color="auto"/>
              <w:right w:val="nil"/>
            </w:tcBorders>
            <w:vAlign w:val="center"/>
          </w:tcPr>
          <w:p w14:paraId="2FC62856" w14:textId="77777777" w:rsidR="00944940" w:rsidRPr="007E4CA0" w:rsidRDefault="00944940" w:rsidP="002439C8">
            <w:pPr>
              <w:spacing w:line="276" w:lineRule="auto"/>
              <w:jc w:val="left"/>
              <w:rPr>
                <w:rFonts w:cs="Arial"/>
                <w:color w:val="000000" w:themeColor="text1"/>
                <w:sz w:val="20"/>
                <w:szCs w:val="20"/>
                <w:lang w:val="en-AU"/>
              </w:rPr>
            </w:pPr>
            <w:r>
              <w:rPr>
                <w:rFonts w:cs="Arial"/>
                <w:color w:val="000000" w:themeColor="text1"/>
                <w:sz w:val="20"/>
                <w:szCs w:val="20"/>
                <w:lang w:val="en-AU"/>
              </w:rPr>
              <w:t>2.8</w:t>
            </w:r>
          </w:p>
        </w:tc>
      </w:tr>
      <w:tr w:rsidR="00944940" w:rsidRPr="00056CEF" w14:paraId="278DD1E4" w14:textId="77777777" w:rsidTr="00503D38">
        <w:trPr>
          <w:trHeight w:val="377"/>
          <w:jc w:val="center"/>
        </w:trPr>
        <w:tc>
          <w:tcPr>
            <w:tcW w:w="1418" w:type="dxa"/>
            <w:tcBorders>
              <w:top w:val="single" w:sz="4" w:space="0" w:color="auto"/>
              <w:bottom w:val="single" w:sz="4" w:space="0" w:color="auto"/>
            </w:tcBorders>
            <w:vAlign w:val="center"/>
          </w:tcPr>
          <w:p w14:paraId="67F771F1" w14:textId="77777777" w:rsidR="00944940" w:rsidRPr="00056CEF" w:rsidRDefault="00944940" w:rsidP="002439C8">
            <w:pPr>
              <w:spacing w:line="276" w:lineRule="auto"/>
              <w:jc w:val="left"/>
              <w:rPr>
                <w:rFonts w:cs="Arial"/>
                <w:sz w:val="20"/>
                <w:szCs w:val="20"/>
                <w:lang w:val="en-AU"/>
              </w:rPr>
            </w:pPr>
            <w:r w:rsidRPr="00056CEF">
              <w:rPr>
                <w:rFonts w:cs="Arial"/>
                <w:sz w:val="20"/>
                <w:szCs w:val="20"/>
                <w:lang w:val="en-AU"/>
              </w:rPr>
              <w:t>Fitzroy</w:t>
            </w:r>
          </w:p>
        </w:tc>
        <w:tc>
          <w:tcPr>
            <w:tcW w:w="1559" w:type="dxa"/>
            <w:tcBorders>
              <w:top w:val="single" w:sz="4" w:space="0" w:color="auto"/>
              <w:bottom w:val="single" w:sz="4" w:space="0" w:color="auto"/>
            </w:tcBorders>
            <w:vAlign w:val="center"/>
          </w:tcPr>
          <w:p w14:paraId="1ADB1A92" w14:textId="77777777" w:rsidR="00944940" w:rsidRPr="00056CEF" w:rsidRDefault="00944940" w:rsidP="002439C8">
            <w:pPr>
              <w:spacing w:line="276" w:lineRule="auto"/>
              <w:jc w:val="left"/>
              <w:rPr>
                <w:rFonts w:cs="Arial"/>
                <w:sz w:val="20"/>
                <w:szCs w:val="20"/>
                <w:lang w:val="en-AU"/>
              </w:rPr>
            </w:pPr>
            <w:r w:rsidRPr="00056CEF">
              <w:rPr>
                <w:rFonts w:cs="Arial"/>
                <w:sz w:val="20"/>
                <w:szCs w:val="20"/>
                <w:lang w:val="en-AU"/>
              </w:rPr>
              <w:t>Fitzroy</w:t>
            </w:r>
          </w:p>
        </w:tc>
        <w:tc>
          <w:tcPr>
            <w:tcW w:w="1985" w:type="dxa"/>
            <w:tcBorders>
              <w:top w:val="single" w:sz="4" w:space="0" w:color="auto"/>
              <w:bottom w:val="single" w:sz="4" w:space="0" w:color="auto"/>
            </w:tcBorders>
            <w:vAlign w:val="center"/>
          </w:tcPr>
          <w:p w14:paraId="62971BB8" w14:textId="77777777" w:rsidR="00944940" w:rsidRPr="00056CEF" w:rsidRDefault="00944940" w:rsidP="002439C8">
            <w:pPr>
              <w:spacing w:line="276" w:lineRule="auto"/>
              <w:jc w:val="left"/>
              <w:rPr>
                <w:rFonts w:cs="Arial"/>
                <w:sz w:val="20"/>
                <w:szCs w:val="20"/>
                <w:lang w:val="en-AU"/>
              </w:rPr>
            </w:pPr>
            <w:r w:rsidRPr="00056CEF">
              <w:rPr>
                <w:rFonts w:cs="Arial"/>
                <w:sz w:val="20"/>
                <w:szCs w:val="20"/>
                <w:lang w:val="en-AU"/>
              </w:rPr>
              <w:t>Fitzroy River</w:t>
            </w:r>
          </w:p>
        </w:tc>
        <w:tc>
          <w:tcPr>
            <w:tcW w:w="2126" w:type="dxa"/>
            <w:tcBorders>
              <w:top w:val="single" w:sz="4" w:space="0" w:color="auto"/>
              <w:bottom w:val="single" w:sz="4" w:space="0" w:color="auto"/>
            </w:tcBorders>
            <w:vAlign w:val="center"/>
          </w:tcPr>
          <w:p w14:paraId="5A0F4306" w14:textId="77777777" w:rsidR="00944940" w:rsidRPr="00056CEF" w:rsidRDefault="00944940" w:rsidP="002439C8">
            <w:pPr>
              <w:spacing w:line="276" w:lineRule="auto"/>
              <w:jc w:val="left"/>
              <w:rPr>
                <w:rFonts w:cs="Arial"/>
                <w:sz w:val="20"/>
                <w:szCs w:val="20"/>
                <w:lang w:val="en-AU"/>
              </w:rPr>
            </w:pPr>
            <w:r w:rsidRPr="00056CEF">
              <w:rPr>
                <w:rFonts w:cs="Arial"/>
                <w:sz w:val="20"/>
                <w:szCs w:val="20"/>
                <w:lang w:val="en-AU"/>
              </w:rPr>
              <w:t>North Keppel Island</w:t>
            </w:r>
          </w:p>
        </w:tc>
        <w:tc>
          <w:tcPr>
            <w:tcW w:w="1276" w:type="dxa"/>
            <w:tcBorders>
              <w:top w:val="single" w:sz="4" w:space="0" w:color="auto"/>
              <w:bottom w:val="single" w:sz="4" w:space="0" w:color="auto"/>
              <w:right w:val="nil"/>
            </w:tcBorders>
            <w:vAlign w:val="center"/>
          </w:tcPr>
          <w:p w14:paraId="168B2D93" w14:textId="77777777" w:rsidR="00944940" w:rsidRPr="00056CEF" w:rsidRDefault="00944940" w:rsidP="002439C8">
            <w:pPr>
              <w:spacing w:line="276" w:lineRule="auto"/>
              <w:jc w:val="left"/>
              <w:rPr>
                <w:rFonts w:cs="Arial"/>
                <w:sz w:val="20"/>
                <w:szCs w:val="20"/>
                <w:lang w:val="en-AU"/>
              </w:rPr>
            </w:pPr>
            <w:r>
              <w:rPr>
                <w:rFonts w:cs="Arial"/>
                <w:sz w:val="20"/>
                <w:szCs w:val="20"/>
                <w:lang w:val="en-AU"/>
              </w:rPr>
              <w:t>Aug-2005</w:t>
            </w:r>
          </w:p>
        </w:tc>
        <w:tc>
          <w:tcPr>
            <w:tcW w:w="1984" w:type="dxa"/>
            <w:tcBorders>
              <w:top w:val="single" w:sz="4" w:space="0" w:color="auto"/>
              <w:bottom w:val="single" w:sz="4" w:space="0" w:color="auto"/>
              <w:right w:val="nil"/>
            </w:tcBorders>
            <w:vAlign w:val="center"/>
          </w:tcPr>
          <w:p w14:paraId="7460258F" w14:textId="77777777" w:rsidR="00944940" w:rsidRDefault="00944940" w:rsidP="002439C8">
            <w:pPr>
              <w:spacing w:line="276" w:lineRule="auto"/>
              <w:jc w:val="left"/>
              <w:rPr>
                <w:rFonts w:cs="Arial"/>
                <w:sz w:val="20"/>
                <w:szCs w:val="20"/>
                <w:lang w:val="en-AU"/>
              </w:rPr>
            </w:pPr>
            <w:r>
              <w:rPr>
                <w:rFonts w:cs="Arial"/>
                <w:sz w:val="20"/>
                <w:szCs w:val="20"/>
                <w:lang w:val="en-AU"/>
              </w:rPr>
              <w:t>50</w:t>
            </w:r>
          </w:p>
        </w:tc>
      </w:tr>
    </w:tbl>
    <w:p w14:paraId="06B9E3E2" w14:textId="77777777" w:rsidR="00944940" w:rsidRDefault="00944940" w:rsidP="002439C8">
      <w:pPr>
        <w:jc w:val="left"/>
      </w:pPr>
    </w:p>
    <w:p w14:paraId="24681697" w14:textId="77777777" w:rsidR="00056CEF" w:rsidRPr="00801185" w:rsidRDefault="00801185" w:rsidP="002439C8">
      <w:pPr>
        <w:spacing w:line="276" w:lineRule="auto"/>
        <w:jc w:val="left"/>
        <w:rPr>
          <w:rFonts w:cs="Arial"/>
          <w:sz w:val="18"/>
          <w:lang w:val="en-AU"/>
        </w:rPr>
      </w:pPr>
      <w:r w:rsidRPr="00801185">
        <w:rPr>
          <w:rFonts w:cs="Arial"/>
          <w:sz w:val="18"/>
          <w:lang w:val="en-AU"/>
        </w:rPr>
        <w:t xml:space="preserve">* High Island was reintroduced to the sampling program </w:t>
      </w:r>
      <w:r w:rsidR="0021439F">
        <w:rPr>
          <w:rFonts w:cs="Arial"/>
          <w:sz w:val="18"/>
          <w:lang w:val="en-AU"/>
        </w:rPr>
        <w:t>in 2015</w:t>
      </w:r>
      <w:r w:rsidR="001A3A18">
        <w:rPr>
          <w:rFonts w:cs="Arial"/>
          <w:sz w:val="18"/>
          <w:lang w:val="en-AU"/>
        </w:rPr>
        <w:t>–</w:t>
      </w:r>
      <w:r w:rsidR="0021439F">
        <w:rPr>
          <w:rFonts w:cs="Arial"/>
          <w:sz w:val="18"/>
          <w:lang w:val="en-AU"/>
        </w:rPr>
        <w:t>16</w:t>
      </w:r>
      <w:r w:rsidR="00E623FE">
        <w:rPr>
          <w:rFonts w:cs="Arial"/>
          <w:sz w:val="18"/>
          <w:lang w:val="en-AU"/>
        </w:rPr>
        <w:t xml:space="preserve"> after its discontinuation in 2008.</w:t>
      </w:r>
    </w:p>
    <w:p w14:paraId="48376F41" w14:textId="77777777" w:rsidR="00801185" w:rsidRDefault="00801185" w:rsidP="002439C8">
      <w:pPr>
        <w:spacing w:line="276" w:lineRule="auto"/>
        <w:jc w:val="left"/>
        <w:rPr>
          <w:rFonts w:cs="Arial"/>
          <w:lang w:val="en-AU"/>
        </w:rPr>
      </w:pPr>
    </w:p>
    <w:p w14:paraId="11B3E6A2" w14:textId="77777777" w:rsidR="00750BB9" w:rsidRDefault="00750BB9" w:rsidP="002439C8">
      <w:pPr>
        <w:pStyle w:val="Heading3"/>
        <w:jc w:val="left"/>
      </w:pPr>
      <w:bookmarkStart w:id="42" w:name="_Toc461457754"/>
      <w:bookmarkStart w:id="43" w:name="_Ref480606014"/>
      <w:bookmarkStart w:id="44" w:name="_Toc14435679"/>
      <w:r>
        <w:t xml:space="preserve">Flood plume </w:t>
      </w:r>
      <w:r w:rsidR="004213A7">
        <w:t xml:space="preserve">(transect) </w:t>
      </w:r>
      <w:r>
        <w:t>monitoring (</w:t>
      </w:r>
      <w:r w:rsidR="00747544">
        <w:t xml:space="preserve">‘event’ passive </w:t>
      </w:r>
      <w:r w:rsidR="004213A7">
        <w:t xml:space="preserve">sampler </w:t>
      </w:r>
      <w:r w:rsidR="00747544">
        <w:t xml:space="preserve">and </w:t>
      </w:r>
      <w:r>
        <w:t>grab sampling)</w:t>
      </w:r>
      <w:bookmarkEnd w:id="42"/>
      <w:bookmarkEnd w:id="43"/>
      <w:bookmarkEnd w:id="44"/>
    </w:p>
    <w:p w14:paraId="3DA39C69" w14:textId="77777777" w:rsidR="00750BB9" w:rsidRDefault="00750BB9" w:rsidP="002439C8">
      <w:pPr>
        <w:spacing w:line="276" w:lineRule="auto"/>
        <w:jc w:val="left"/>
        <w:rPr>
          <w:rFonts w:cs="Arial"/>
          <w:lang w:val="en-AU"/>
        </w:rPr>
      </w:pPr>
      <w:r>
        <w:rPr>
          <w:rFonts w:cs="Arial"/>
          <w:lang w:val="en-AU"/>
        </w:rPr>
        <w:lastRenderedPageBreak/>
        <w:t>Terrestrial run-off assessments, i.e. flood plume</w:t>
      </w:r>
      <w:r w:rsidRPr="008E6B5E">
        <w:rPr>
          <w:rFonts w:cs="Arial"/>
          <w:lang w:val="en-AU"/>
        </w:rPr>
        <w:t xml:space="preserve"> </w:t>
      </w:r>
      <w:r>
        <w:rPr>
          <w:rFonts w:cs="Arial"/>
          <w:lang w:val="en-AU"/>
        </w:rPr>
        <w:t>monitoring,</w:t>
      </w:r>
      <w:r w:rsidRPr="008E6B5E">
        <w:rPr>
          <w:rFonts w:cs="Arial"/>
          <w:lang w:val="en-AU"/>
        </w:rPr>
        <w:t xml:space="preserve"> </w:t>
      </w:r>
      <w:r>
        <w:rPr>
          <w:rFonts w:cs="Arial"/>
          <w:lang w:val="en-AU"/>
        </w:rPr>
        <w:t xml:space="preserve">have been </w:t>
      </w:r>
      <w:r w:rsidRPr="008E6B5E">
        <w:rPr>
          <w:rFonts w:cs="Arial"/>
          <w:lang w:val="en-AU"/>
        </w:rPr>
        <w:t xml:space="preserve">conducted </w:t>
      </w:r>
      <w:r>
        <w:rPr>
          <w:rFonts w:cs="Arial"/>
          <w:lang w:val="en-AU"/>
        </w:rPr>
        <w:t xml:space="preserve">in past monitoring years </w:t>
      </w:r>
      <w:r w:rsidRPr="008E6B5E">
        <w:rPr>
          <w:rFonts w:cs="Arial"/>
          <w:lang w:val="en-AU"/>
        </w:rPr>
        <w:t xml:space="preserve">along transects extending from river mouths during discharge events in two </w:t>
      </w:r>
      <w:r>
        <w:rPr>
          <w:rFonts w:cs="Arial"/>
          <w:lang w:val="en-AU"/>
        </w:rPr>
        <w:t>or</w:t>
      </w:r>
      <w:r w:rsidRPr="008E6B5E">
        <w:rPr>
          <w:rFonts w:cs="Arial"/>
          <w:lang w:val="en-AU"/>
        </w:rPr>
        <w:t xml:space="preserve"> three </w:t>
      </w:r>
      <w:r w:rsidR="006561CC">
        <w:rPr>
          <w:rFonts w:cs="Arial"/>
          <w:lang w:val="en-AU"/>
        </w:rPr>
        <w:t xml:space="preserve">Natural Resource Management </w:t>
      </w:r>
      <w:r w:rsidRPr="008E6B5E">
        <w:rPr>
          <w:rFonts w:cs="Arial"/>
          <w:lang w:val="en-AU"/>
        </w:rPr>
        <w:t xml:space="preserve">regions </w:t>
      </w:r>
      <w:r>
        <w:rPr>
          <w:rFonts w:cs="Arial"/>
          <w:lang w:val="en-AU"/>
        </w:rPr>
        <w:t xml:space="preserve">with a </w:t>
      </w:r>
      <w:r w:rsidRPr="008E6B5E">
        <w:rPr>
          <w:rFonts w:cs="Arial"/>
          <w:lang w:val="en-AU"/>
        </w:rPr>
        <w:t xml:space="preserve">high risk </w:t>
      </w:r>
      <w:r>
        <w:rPr>
          <w:rFonts w:cs="Arial"/>
          <w:lang w:val="en-AU"/>
        </w:rPr>
        <w:t>from</w:t>
      </w:r>
      <w:r w:rsidRPr="008E6B5E">
        <w:rPr>
          <w:rFonts w:cs="Arial"/>
          <w:lang w:val="en-AU"/>
        </w:rPr>
        <w:t xml:space="preserve"> pesticide exposure</w:t>
      </w:r>
      <w:r>
        <w:rPr>
          <w:rFonts w:cs="Arial"/>
          <w:lang w:val="en-AU"/>
        </w:rPr>
        <w:t>.</w:t>
      </w:r>
      <w:r w:rsidRPr="008E6B5E">
        <w:rPr>
          <w:rFonts w:cs="Arial"/>
          <w:lang w:val="en-AU"/>
        </w:rPr>
        <w:t xml:space="preserve"> </w:t>
      </w:r>
      <w:r>
        <w:rPr>
          <w:rFonts w:cs="Arial"/>
          <w:lang w:val="en-AU"/>
        </w:rPr>
        <w:t xml:space="preserve">The locations and timing of the flood plume sampling changes annually, as it is event-driven and requires a rapid response. </w:t>
      </w:r>
    </w:p>
    <w:p w14:paraId="48B42D87" w14:textId="77777777" w:rsidR="00750BB9" w:rsidRDefault="00750BB9" w:rsidP="002439C8">
      <w:pPr>
        <w:spacing w:line="276" w:lineRule="auto"/>
        <w:jc w:val="left"/>
        <w:rPr>
          <w:rFonts w:cs="Arial"/>
          <w:lang w:val="en-AU"/>
        </w:rPr>
      </w:pPr>
    </w:p>
    <w:p w14:paraId="43437586" w14:textId="0CF4D2B1" w:rsidR="006561CC" w:rsidRDefault="00750BB9" w:rsidP="002439C8">
      <w:pPr>
        <w:spacing w:line="276" w:lineRule="auto"/>
        <w:jc w:val="left"/>
        <w:rPr>
          <w:rFonts w:cs="Arial"/>
          <w:lang w:val="en-AU"/>
        </w:rPr>
      </w:pPr>
      <w:r w:rsidRPr="00D54D16">
        <w:rPr>
          <w:rFonts w:cs="Arial"/>
          <w:lang w:val="en-AU"/>
        </w:rPr>
        <w:t xml:space="preserve">In </w:t>
      </w:r>
      <w:r w:rsidR="001B73E5">
        <w:rPr>
          <w:rFonts w:cs="Arial"/>
          <w:lang w:val="en-AU"/>
        </w:rPr>
        <w:t>2017–18</w:t>
      </w:r>
      <w:r w:rsidRPr="00D54D16">
        <w:rPr>
          <w:rFonts w:cs="Arial"/>
          <w:lang w:val="en-AU"/>
        </w:rPr>
        <w:t xml:space="preserve">, </w:t>
      </w:r>
      <w:r>
        <w:rPr>
          <w:rFonts w:cs="Arial"/>
          <w:lang w:val="en-AU"/>
        </w:rPr>
        <w:t>flood plume monitoring</w:t>
      </w:r>
      <w:r w:rsidRPr="00D54D16">
        <w:rPr>
          <w:rFonts w:cs="Arial"/>
          <w:lang w:val="en-AU"/>
        </w:rPr>
        <w:t xml:space="preserve"> was undertaken </w:t>
      </w:r>
      <w:r>
        <w:rPr>
          <w:rFonts w:cs="Arial"/>
          <w:lang w:val="en-AU"/>
        </w:rPr>
        <w:t>along</w:t>
      </w:r>
      <w:r w:rsidRPr="00D54D16">
        <w:rPr>
          <w:rFonts w:cs="Arial"/>
          <w:lang w:val="en-AU"/>
        </w:rPr>
        <w:t xml:space="preserve"> transects extending from </w:t>
      </w:r>
      <w:r>
        <w:rPr>
          <w:rFonts w:cs="Arial"/>
          <w:lang w:val="en-AU"/>
        </w:rPr>
        <w:t xml:space="preserve">the mouths of </w:t>
      </w:r>
      <w:r w:rsidRPr="00D54D16">
        <w:rPr>
          <w:rFonts w:cs="Arial"/>
          <w:lang w:val="en-AU"/>
        </w:rPr>
        <w:t>two rivers in the Wet Tropics region – the Tully and Russell-Mulgrave rivers (</w:t>
      </w:r>
      <w:r w:rsidRPr="000D7725">
        <w:fldChar w:fldCharType="begin"/>
      </w:r>
      <w:r w:rsidRPr="000D7725">
        <w:instrText xml:space="preserve"> REF _Ref480731514 \h  \* MERGEFORMAT </w:instrText>
      </w:r>
      <w:r w:rsidRPr="000D7725">
        <w:fldChar w:fldCharType="separate"/>
      </w:r>
      <w:r w:rsidR="00251B46" w:rsidRPr="00251B46">
        <w:t xml:space="preserve">Figure </w:t>
      </w:r>
      <w:r w:rsidR="00251B46" w:rsidRPr="00251B46">
        <w:rPr>
          <w:noProof/>
        </w:rPr>
        <w:t>3</w:t>
      </w:r>
      <w:r w:rsidRPr="000D7725">
        <w:fldChar w:fldCharType="end"/>
      </w:r>
      <w:r w:rsidR="00EE3306">
        <w:rPr>
          <w:rFonts w:cs="Arial"/>
          <w:lang w:val="en-AU"/>
        </w:rPr>
        <w:t xml:space="preserve">, </w:t>
      </w:r>
      <w:r w:rsidR="00E91E59">
        <w:rPr>
          <w:lang w:val="en-GB" w:eastAsia="en-AU"/>
        </w:rPr>
        <w:fldChar w:fldCharType="begin"/>
      </w:r>
      <w:r w:rsidR="00E91E59">
        <w:rPr>
          <w:lang w:val="en-GB" w:eastAsia="en-AU"/>
        </w:rPr>
        <w:instrText xml:space="preserve"> REF _Ref480726378 \n \h </w:instrText>
      </w:r>
      <w:r w:rsidR="002439C8">
        <w:rPr>
          <w:lang w:val="en-GB" w:eastAsia="en-AU"/>
        </w:rPr>
        <w:instrText xml:space="preserve"> \* MERGEFORMAT </w:instrText>
      </w:r>
      <w:r w:rsidR="00E91E59">
        <w:rPr>
          <w:lang w:val="en-GB" w:eastAsia="en-AU"/>
        </w:rPr>
      </w:r>
      <w:r w:rsidR="00E91E59">
        <w:rPr>
          <w:lang w:val="en-GB" w:eastAsia="en-AU"/>
        </w:rPr>
        <w:fldChar w:fldCharType="separate"/>
      </w:r>
      <w:r w:rsidR="00251B46">
        <w:rPr>
          <w:lang w:val="en-GB" w:eastAsia="en-AU"/>
        </w:rPr>
        <w:t xml:space="preserve">Appendix G </w:t>
      </w:r>
      <w:r w:rsidR="00E91E59">
        <w:rPr>
          <w:lang w:val="en-GB" w:eastAsia="en-AU"/>
        </w:rPr>
        <w:fldChar w:fldCharType="end"/>
      </w:r>
      <w:r w:rsidR="00E91E59">
        <w:rPr>
          <w:lang w:val="en-GB" w:eastAsia="en-AU"/>
        </w:rPr>
        <w:fldChar w:fldCharType="begin"/>
      </w:r>
      <w:r w:rsidR="00E91E59">
        <w:rPr>
          <w:lang w:val="en-GB" w:eastAsia="en-AU"/>
        </w:rPr>
        <w:instrText xml:space="preserve"> REF _Ref480726395 \h </w:instrText>
      </w:r>
      <w:r w:rsidR="002439C8">
        <w:rPr>
          <w:lang w:val="en-GB" w:eastAsia="en-AU"/>
        </w:rPr>
        <w:instrText xml:space="preserve"> \* MERGEFORMAT </w:instrText>
      </w:r>
      <w:r w:rsidR="00E91E59">
        <w:rPr>
          <w:lang w:val="en-GB" w:eastAsia="en-AU"/>
        </w:rPr>
      </w:r>
      <w:r w:rsidR="00E91E59">
        <w:rPr>
          <w:lang w:val="en-GB" w:eastAsia="en-AU"/>
        </w:rPr>
        <w:fldChar w:fldCharType="separate"/>
      </w:r>
      <w:r w:rsidR="00251B46" w:rsidRPr="00CC4B66">
        <w:t xml:space="preserve">Table </w:t>
      </w:r>
      <w:r w:rsidR="00251B46">
        <w:rPr>
          <w:noProof/>
        </w:rPr>
        <w:t>G</w:t>
      </w:r>
      <w:r w:rsidR="00251B46" w:rsidRPr="00CC4B66">
        <w:rPr>
          <w:noProof/>
        </w:rPr>
        <w:noBreakHyphen/>
      </w:r>
      <w:r w:rsidR="00251B46">
        <w:rPr>
          <w:noProof/>
        </w:rPr>
        <w:t>1</w:t>
      </w:r>
      <w:r w:rsidR="00E91E59">
        <w:rPr>
          <w:lang w:val="en-GB" w:eastAsia="en-AU"/>
        </w:rPr>
        <w:fldChar w:fldCharType="end"/>
      </w:r>
      <w:r w:rsidR="00EE3306">
        <w:rPr>
          <w:lang w:val="en-GB" w:eastAsia="en-AU"/>
        </w:rPr>
        <w:t>).</w:t>
      </w:r>
      <w:r>
        <w:rPr>
          <w:rFonts w:cs="Arial"/>
          <w:lang w:val="en-AU"/>
        </w:rPr>
        <w:t xml:space="preserve"> Both transects have been sampled in previous monitoring years, with the Tully transect first sampled in 2010</w:t>
      </w:r>
      <w:r w:rsidR="006561CC" w:rsidRPr="006561CC">
        <w:rPr>
          <w:rFonts w:cs="Arial"/>
          <w:lang w:val="en-AU"/>
        </w:rPr>
        <w:t xml:space="preserve"> </w:t>
      </w:r>
      <w:r w:rsidR="006561CC">
        <w:rPr>
          <w:rFonts w:cs="Arial"/>
          <w:lang w:val="en-AU"/>
        </w:rPr>
        <w:t>and the Russell-Mulgrave transect first sampled in 2013</w:t>
      </w:r>
      <w:r w:rsidR="00EE3306">
        <w:rPr>
          <w:rFonts w:cs="Arial"/>
          <w:lang w:val="en-AU"/>
        </w:rPr>
        <w:t>.</w:t>
      </w:r>
    </w:p>
    <w:p w14:paraId="0E007B96" w14:textId="77777777" w:rsidR="006561CC" w:rsidRDefault="006561CC" w:rsidP="002439C8">
      <w:pPr>
        <w:spacing w:line="276" w:lineRule="auto"/>
        <w:jc w:val="left"/>
        <w:rPr>
          <w:rFonts w:cs="Arial"/>
          <w:lang w:val="en-AU"/>
        </w:rPr>
      </w:pPr>
    </w:p>
    <w:p w14:paraId="4391DE2B" w14:textId="77777777" w:rsidR="00E91E59" w:rsidRDefault="00747544" w:rsidP="002439C8">
      <w:pPr>
        <w:spacing w:line="276" w:lineRule="auto"/>
        <w:jc w:val="left"/>
        <w:rPr>
          <w:rFonts w:cs="Arial"/>
          <w:lang w:val="en-AU"/>
        </w:rPr>
      </w:pPr>
      <w:r>
        <w:rPr>
          <w:rFonts w:cs="Arial"/>
          <w:lang w:val="en-AU"/>
        </w:rPr>
        <w:t>Four even</w:t>
      </w:r>
      <w:r w:rsidR="00A90C78">
        <w:rPr>
          <w:rFonts w:cs="Arial"/>
          <w:lang w:val="en-AU"/>
        </w:rPr>
        <w:t>t</w:t>
      </w:r>
      <w:r>
        <w:rPr>
          <w:rFonts w:cs="Arial"/>
          <w:lang w:val="en-AU"/>
        </w:rPr>
        <w:t xml:space="preserve"> passive samplers were deployed at Dunk Island North </w:t>
      </w:r>
      <w:r w:rsidR="00E91E59">
        <w:rPr>
          <w:rFonts w:cs="Arial"/>
          <w:lang w:val="en-AU"/>
        </w:rPr>
        <w:t xml:space="preserve">in the Wet Tropics </w:t>
      </w:r>
      <w:r>
        <w:rPr>
          <w:rFonts w:cs="Arial"/>
          <w:lang w:val="en-AU"/>
        </w:rPr>
        <w:t xml:space="preserve">for between four and five days in an effort to capture short-term pulses in pesticide concentrations during periods of freshwater discharge. </w:t>
      </w:r>
    </w:p>
    <w:p w14:paraId="4E04E5B2" w14:textId="77777777" w:rsidR="00E91E59" w:rsidRDefault="00E91E59" w:rsidP="002439C8">
      <w:pPr>
        <w:spacing w:line="276" w:lineRule="auto"/>
        <w:jc w:val="left"/>
        <w:rPr>
          <w:rFonts w:cs="Arial"/>
          <w:lang w:val="en-AU"/>
        </w:rPr>
      </w:pPr>
    </w:p>
    <w:p w14:paraId="2CECC1D8" w14:textId="77777777" w:rsidR="00747824" w:rsidRPr="00747824" w:rsidRDefault="002B7CA5" w:rsidP="002439C8">
      <w:pPr>
        <w:spacing w:line="276" w:lineRule="auto"/>
        <w:jc w:val="left"/>
      </w:pPr>
      <w:r>
        <w:rPr>
          <w:rFonts w:cs="Arial"/>
          <w:lang w:val="en-AU"/>
        </w:rPr>
        <w:t>G</w:t>
      </w:r>
      <w:r w:rsidR="00750BB9">
        <w:rPr>
          <w:rFonts w:cs="Arial"/>
          <w:lang w:val="en-AU"/>
        </w:rPr>
        <w:t xml:space="preserve">rab samples were collected </w:t>
      </w:r>
      <w:r>
        <w:rPr>
          <w:rFonts w:cs="Arial"/>
          <w:lang w:val="en-AU"/>
        </w:rPr>
        <w:t>at</w:t>
      </w:r>
      <w:r w:rsidR="00750BB9">
        <w:rPr>
          <w:rFonts w:cs="Arial"/>
          <w:lang w:val="en-AU"/>
        </w:rPr>
        <w:t xml:space="preserve"> Barratta Creek mouth within the Burdekin focus area during early-season discharge events</w:t>
      </w:r>
      <w:r w:rsidR="006561CC">
        <w:rPr>
          <w:rFonts w:cs="Arial"/>
          <w:lang w:val="en-AU"/>
        </w:rPr>
        <w:t xml:space="preserve"> by the James Cook University (JCU) </w:t>
      </w:r>
      <w:r w:rsidR="006561CC" w:rsidRPr="008F2AFB">
        <w:rPr>
          <w:rFonts w:cs="Arial"/>
          <w:lang w:val="en-AU"/>
        </w:rPr>
        <w:t xml:space="preserve">Inshore Marine Water Quality </w:t>
      </w:r>
      <w:r w:rsidR="006561CC">
        <w:rPr>
          <w:rFonts w:cs="Arial"/>
          <w:lang w:val="en-AU"/>
        </w:rPr>
        <w:t xml:space="preserve">team </w:t>
      </w:r>
      <w:r w:rsidR="00AB0EE5">
        <w:rPr>
          <w:rFonts w:cs="Arial"/>
          <w:lang w:val="en-AU"/>
        </w:rPr>
        <w:t>(</w:t>
      </w:r>
      <w:r w:rsidR="00750BB9" w:rsidRPr="000D7725">
        <w:fldChar w:fldCharType="begin"/>
      </w:r>
      <w:r w:rsidR="00750BB9" w:rsidRPr="000D7725">
        <w:instrText xml:space="preserve"> REF _Ref480731514 \h  \* MERGEFORMAT </w:instrText>
      </w:r>
      <w:r w:rsidR="00750BB9" w:rsidRPr="000D7725">
        <w:fldChar w:fldCharType="separate"/>
      </w:r>
      <w:r w:rsidR="00251B46" w:rsidRPr="00251B46">
        <w:t xml:space="preserve">Figure </w:t>
      </w:r>
      <w:r w:rsidR="00251B46" w:rsidRPr="00251B46">
        <w:rPr>
          <w:noProof/>
        </w:rPr>
        <w:t>3</w:t>
      </w:r>
      <w:r w:rsidR="00750BB9" w:rsidRPr="000D7725">
        <w:fldChar w:fldCharType="end"/>
      </w:r>
      <w:r w:rsidR="00750BB9">
        <w:rPr>
          <w:rFonts w:cs="Arial"/>
          <w:lang w:val="en-AU"/>
        </w:rPr>
        <w:t xml:space="preserve">). </w:t>
      </w:r>
    </w:p>
    <w:p w14:paraId="11D54FB1" w14:textId="77777777" w:rsidR="00944940" w:rsidRPr="00E05386" w:rsidRDefault="00944940" w:rsidP="002439C8">
      <w:pPr>
        <w:jc w:val="left"/>
      </w:pPr>
    </w:p>
    <w:p w14:paraId="3F5EF312" w14:textId="77777777" w:rsidR="00747544" w:rsidRDefault="002B7CA5" w:rsidP="002439C8">
      <w:pPr>
        <w:jc w:val="left"/>
      </w:pPr>
      <w:r w:rsidRPr="002B7CA5">
        <w:rPr>
          <w:noProof/>
          <w:lang w:val="en-AU" w:eastAsia="en-AU" w:bidi="ar-SA"/>
        </w:rPr>
        <w:lastRenderedPageBreak/>
        <w:drawing>
          <wp:inline distT="0" distB="0" distL="0" distR="0" wp14:anchorId="1CD6957F" wp14:editId="6F31DE68">
            <wp:extent cx="4140679" cy="5926188"/>
            <wp:effectExtent l="0" t="0" r="0" b="0"/>
            <wp:docPr id="17" name="Picture 17" descr="Locations of grab (flood plume monitoring) and passive samplers (fixed monitoring) collected on the Russell-Mulgrave River transect, Tully River transect. Sampling sites are overlaid on a colour-scale representing the water type frequency of flood plumes for 2003-2018. Maps edited from those provided by Dieter Tracey, James Cook University (JCU)." title="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C:\Users\uqpthai\Documents\Reef project\grab sampling map.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45448" cy="5933013"/>
                    </a:xfrm>
                    <a:prstGeom prst="rect">
                      <a:avLst/>
                    </a:prstGeom>
                    <a:noFill/>
                    <a:ln>
                      <a:noFill/>
                    </a:ln>
                  </pic:spPr>
                </pic:pic>
              </a:graphicData>
            </a:graphic>
          </wp:inline>
        </w:drawing>
      </w:r>
    </w:p>
    <w:p w14:paraId="389FD51A" w14:textId="77777777" w:rsidR="00503EEF" w:rsidRDefault="00503EEF" w:rsidP="002439C8">
      <w:pPr>
        <w:jc w:val="left"/>
      </w:pPr>
    </w:p>
    <w:p w14:paraId="070C9428" w14:textId="77777777" w:rsidR="00C57149" w:rsidRPr="00CB093C" w:rsidRDefault="007E597B" w:rsidP="00C57149">
      <w:pPr>
        <w:pStyle w:val="Caption"/>
        <w:rPr>
          <w:rFonts w:cs="Arial"/>
          <w:i/>
          <w:vanish/>
          <w:color w:val="000000"/>
          <w:specVanish/>
        </w:rPr>
      </w:pPr>
      <w:bookmarkStart w:id="45" w:name="_Ref480731514"/>
      <w:bookmarkStart w:id="46" w:name="_Toc15042895"/>
      <w:bookmarkStart w:id="47" w:name="_Toc527468576"/>
      <w:bookmarkStart w:id="48" w:name="_Ref474319413"/>
      <w:r w:rsidRPr="00D318CC">
        <w:rPr>
          <w:b w:val="0"/>
          <w:sz w:val="20"/>
        </w:rPr>
        <w:t xml:space="preserve">Figure </w:t>
      </w:r>
      <w:r w:rsidR="00C91BF5" w:rsidRPr="00D318CC">
        <w:rPr>
          <w:b w:val="0"/>
          <w:sz w:val="20"/>
        </w:rPr>
        <w:fldChar w:fldCharType="begin"/>
      </w:r>
      <w:r w:rsidRPr="00D318CC">
        <w:rPr>
          <w:b w:val="0"/>
          <w:sz w:val="20"/>
        </w:rPr>
        <w:instrText xml:space="preserve"> SEQ Figure \* ARABIC </w:instrText>
      </w:r>
      <w:r w:rsidR="00C91BF5" w:rsidRPr="00D318CC">
        <w:rPr>
          <w:b w:val="0"/>
          <w:sz w:val="20"/>
        </w:rPr>
        <w:fldChar w:fldCharType="separate"/>
      </w:r>
      <w:r w:rsidR="00251B46">
        <w:rPr>
          <w:b w:val="0"/>
          <w:noProof/>
          <w:sz w:val="20"/>
        </w:rPr>
        <w:t>3</w:t>
      </w:r>
      <w:r w:rsidR="00C91BF5" w:rsidRPr="00D318CC">
        <w:rPr>
          <w:b w:val="0"/>
          <w:sz w:val="20"/>
        </w:rPr>
        <w:fldChar w:fldCharType="end"/>
      </w:r>
      <w:bookmarkEnd w:id="45"/>
      <w:r w:rsidRPr="00D318CC">
        <w:rPr>
          <w:b w:val="0"/>
          <w:sz w:val="20"/>
        </w:rPr>
        <w:t>:</w:t>
      </w:r>
      <w:r w:rsidRPr="00D318CC">
        <w:rPr>
          <w:sz w:val="20"/>
        </w:rPr>
        <w:t xml:space="preserve"> </w:t>
      </w:r>
      <w:r w:rsidRPr="00D318CC">
        <w:rPr>
          <w:b w:val="0"/>
          <w:sz w:val="20"/>
        </w:rPr>
        <w:t xml:space="preserve">Locations of grab </w:t>
      </w:r>
      <w:r w:rsidR="00A228EA" w:rsidRPr="00D318CC">
        <w:rPr>
          <w:b w:val="0"/>
          <w:sz w:val="20"/>
        </w:rPr>
        <w:t xml:space="preserve">(flood plume monitoring) </w:t>
      </w:r>
      <w:r w:rsidRPr="00D318CC">
        <w:rPr>
          <w:b w:val="0"/>
          <w:sz w:val="20"/>
        </w:rPr>
        <w:t xml:space="preserve">and passive samplers </w:t>
      </w:r>
      <w:r w:rsidR="00A228EA" w:rsidRPr="00D318CC">
        <w:rPr>
          <w:b w:val="0"/>
          <w:sz w:val="20"/>
        </w:rPr>
        <w:t xml:space="preserve">(fixed monitoring) </w:t>
      </w:r>
      <w:r w:rsidRPr="00D318CC">
        <w:rPr>
          <w:b w:val="0"/>
          <w:sz w:val="20"/>
        </w:rPr>
        <w:t>collected on the Russell-Mulgrave River transect,</w:t>
      </w:r>
      <w:r w:rsidR="0076110F" w:rsidRPr="00D318CC">
        <w:rPr>
          <w:b w:val="0"/>
          <w:sz w:val="20"/>
        </w:rPr>
        <w:t xml:space="preserve"> </w:t>
      </w:r>
      <w:r w:rsidR="00C57149">
        <w:rPr>
          <w:b w:val="0"/>
          <w:sz w:val="20"/>
        </w:rPr>
        <w:t xml:space="preserve">and </w:t>
      </w:r>
      <w:r w:rsidRPr="00D318CC">
        <w:rPr>
          <w:b w:val="0"/>
          <w:sz w:val="20"/>
        </w:rPr>
        <w:t>Tully River transect</w:t>
      </w:r>
      <w:bookmarkEnd w:id="46"/>
    </w:p>
    <w:p w14:paraId="66BF1EEF" w14:textId="34DC6B49" w:rsidR="007E597B" w:rsidRPr="00D318CC" w:rsidRDefault="00A228EA" w:rsidP="002439C8">
      <w:pPr>
        <w:pStyle w:val="Caption"/>
        <w:rPr>
          <w:b w:val="0"/>
          <w:sz w:val="20"/>
        </w:rPr>
      </w:pPr>
      <w:r w:rsidRPr="00D318CC">
        <w:rPr>
          <w:b w:val="0"/>
          <w:sz w:val="20"/>
        </w:rPr>
        <w:t>.</w:t>
      </w:r>
      <w:r w:rsidR="007E597B" w:rsidRPr="00D318CC">
        <w:rPr>
          <w:b w:val="0"/>
          <w:sz w:val="20"/>
        </w:rPr>
        <w:t xml:space="preserve"> Sampling sites are overlaid on </w:t>
      </w:r>
      <w:r w:rsidR="008740BA" w:rsidRPr="00D318CC">
        <w:rPr>
          <w:b w:val="0"/>
          <w:sz w:val="20"/>
        </w:rPr>
        <w:t>a colour-scale representing the</w:t>
      </w:r>
      <w:r w:rsidR="0076110F" w:rsidRPr="00D318CC">
        <w:rPr>
          <w:b w:val="0"/>
          <w:sz w:val="20"/>
        </w:rPr>
        <w:t xml:space="preserve"> water type</w:t>
      </w:r>
      <w:r w:rsidR="008740BA" w:rsidRPr="00D318CC">
        <w:rPr>
          <w:b w:val="0"/>
          <w:sz w:val="20"/>
        </w:rPr>
        <w:t xml:space="preserve"> </w:t>
      </w:r>
      <w:r w:rsidR="007E597B" w:rsidRPr="00D318CC">
        <w:rPr>
          <w:b w:val="0"/>
          <w:sz w:val="20"/>
        </w:rPr>
        <w:t>frequency of flood plumes for 2003-</w:t>
      </w:r>
      <w:r w:rsidR="0076110F" w:rsidRPr="00D318CC">
        <w:rPr>
          <w:b w:val="0"/>
          <w:sz w:val="20"/>
        </w:rPr>
        <w:t>2018</w:t>
      </w:r>
      <w:r w:rsidR="00080088" w:rsidRPr="00D318CC">
        <w:rPr>
          <w:b w:val="0"/>
          <w:sz w:val="20"/>
        </w:rPr>
        <w:t xml:space="preserve">. </w:t>
      </w:r>
      <w:r w:rsidR="007E597B" w:rsidRPr="00D318CC">
        <w:rPr>
          <w:b w:val="0"/>
          <w:sz w:val="20"/>
        </w:rPr>
        <w:t xml:space="preserve">Maps </w:t>
      </w:r>
      <w:r w:rsidR="0076110F" w:rsidRPr="00D318CC">
        <w:rPr>
          <w:b w:val="0"/>
          <w:sz w:val="20"/>
        </w:rPr>
        <w:t xml:space="preserve">edited from those </w:t>
      </w:r>
      <w:r w:rsidR="007E597B" w:rsidRPr="00D318CC">
        <w:rPr>
          <w:b w:val="0"/>
          <w:sz w:val="20"/>
        </w:rPr>
        <w:t>provided by Dieter Tracey, James Cook University</w:t>
      </w:r>
      <w:r w:rsidR="0023161A" w:rsidRPr="00D318CC">
        <w:rPr>
          <w:b w:val="0"/>
          <w:sz w:val="20"/>
        </w:rPr>
        <w:t xml:space="preserve"> (JCU)</w:t>
      </w:r>
      <w:r w:rsidRPr="00D318CC">
        <w:rPr>
          <w:b w:val="0"/>
          <w:sz w:val="20"/>
        </w:rPr>
        <w:t>.</w:t>
      </w:r>
      <w:bookmarkEnd w:id="47"/>
    </w:p>
    <w:p w14:paraId="4D12A485" w14:textId="77777777" w:rsidR="00E603BA" w:rsidRDefault="00E603BA" w:rsidP="002439C8">
      <w:pPr>
        <w:jc w:val="left"/>
      </w:pPr>
    </w:p>
    <w:p w14:paraId="24F1DB0D" w14:textId="31CF705F" w:rsidR="00411795" w:rsidRDefault="00411795" w:rsidP="002439C8">
      <w:pPr>
        <w:jc w:val="left"/>
      </w:pPr>
    </w:p>
    <w:p w14:paraId="5F3E5928" w14:textId="77777777" w:rsidR="003B6560" w:rsidRDefault="003B6560" w:rsidP="002439C8">
      <w:pPr>
        <w:pStyle w:val="Heading2"/>
        <w:jc w:val="left"/>
      </w:pPr>
      <w:bookmarkStart w:id="49" w:name="_Toc535848668"/>
      <w:bookmarkStart w:id="50" w:name="_Toc535848669"/>
      <w:bookmarkStart w:id="51" w:name="_Toc527464301"/>
      <w:bookmarkStart w:id="52" w:name="_Toc455069240"/>
      <w:bookmarkStart w:id="53" w:name="_Toc455069890"/>
      <w:bookmarkStart w:id="54" w:name="_Toc455070162"/>
      <w:bookmarkStart w:id="55" w:name="_Toc455151559"/>
      <w:bookmarkStart w:id="56" w:name="_Toc455069242"/>
      <w:bookmarkStart w:id="57" w:name="_Toc455069892"/>
      <w:bookmarkStart w:id="58" w:name="_Toc455070164"/>
      <w:bookmarkStart w:id="59" w:name="_Toc455151561"/>
      <w:bookmarkStart w:id="60" w:name="_Toc455069259"/>
      <w:bookmarkStart w:id="61" w:name="_Toc455069909"/>
      <w:bookmarkStart w:id="62" w:name="_Toc455070181"/>
      <w:bookmarkStart w:id="63" w:name="_Toc455151578"/>
      <w:bookmarkStart w:id="64" w:name="_Toc406329891"/>
      <w:bookmarkStart w:id="65" w:name="_Toc406329985"/>
      <w:bookmarkStart w:id="66" w:name="_Toc406770613"/>
      <w:bookmarkStart w:id="67" w:name="_Toc406329892"/>
      <w:bookmarkStart w:id="68" w:name="_Toc406329986"/>
      <w:bookmarkStart w:id="69" w:name="_Toc406770614"/>
      <w:bookmarkStart w:id="70" w:name="_Toc406329893"/>
      <w:bookmarkStart w:id="71" w:name="_Toc406329987"/>
      <w:bookmarkStart w:id="72" w:name="_Toc406770615"/>
      <w:bookmarkStart w:id="73" w:name="_Toc405835394"/>
      <w:bookmarkStart w:id="74" w:name="_Toc406329894"/>
      <w:bookmarkStart w:id="75" w:name="_Toc406329988"/>
      <w:bookmarkStart w:id="76" w:name="_Toc406770616"/>
      <w:bookmarkStart w:id="77" w:name="_Toc405835395"/>
      <w:bookmarkStart w:id="78" w:name="_Toc406329895"/>
      <w:bookmarkStart w:id="79" w:name="_Toc406329989"/>
      <w:bookmarkStart w:id="80" w:name="_Toc406770617"/>
      <w:bookmarkStart w:id="81" w:name="_Toc405835396"/>
      <w:bookmarkStart w:id="82" w:name="_Toc406329896"/>
      <w:bookmarkStart w:id="83" w:name="_Toc406329990"/>
      <w:bookmarkStart w:id="84" w:name="_Toc406770618"/>
      <w:bookmarkStart w:id="85" w:name="_Toc405835397"/>
      <w:bookmarkStart w:id="86" w:name="_Toc406329897"/>
      <w:bookmarkStart w:id="87" w:name="_Toc406329991"/>
      <w:bookmarkStart w:id="88" w:name="_Toc406770619"/>
      <w:bookmarkStart w:id="89" w:name="_Toc405835398"/>
      <w:bookmarkStart w:id="90" w:name="_Toc406329898"/>
      <w:bookmarkStart w:id="91" w:name="_Toc406329992"/>
      <w:bookmarkStart w:id="92" w:name="_Toc406770620"/>
      <w:bookmarkStart w:id="93" w:name="_Toc347908766"/>
      <w:bookmarkStart w:id="94" w:name="_Toc347908865"/>
      <w:bookmarkStart w:id="95" w:name="_Toc347908954"/>
      <w:bookmarkStart w:id="96" w:name="_Toc14435680"/>
      <w:bookmarkStart w:id="97" w:name="_Toc461457755"/>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r>
        <w:t xml:space="preserve">Sampling </w:t>
      </w:r>
      <w:r w:rsidR="003F7121">
        <w:t>approaches</w:t>
      </w:r>
      <w:bookmarkEnd w:id="96"/>
    </w:p>
    <w:p w14:paraId="75EF4160" w14:textId="77777777" w:rsidR="0006041C" w:rsidRDefault="00C902EC" w:rsidP="002439C8">
      <w:pPr>
        <w:spacing w:line="276" w:lineRule="auto"/>
        <w:jc w:val="left"/>
        <w:rPr>
          <w:lang w:val="en-AU"/>
        </w:rPr>
      </w:pPr>
      <w:r>
        <w:rPr>
          <w:lang w:val="en-AU" w:bidi="ar-SA"/>
        </w:rPr>
        <w:t>D</w:t>
      </w:r>
      <w:r w:rsidR="0006041C">
        <w:rPr>
          <w:lang w:val="en-AU" w:bidi="ar-SA"/>
        </w:rPr>
        <w:t xml:space="preserve">etails of the techniques for passive and grab sampling are given in </w:t>
      </w:r>
      <w:r w:rsidR="0006041C" w:rsidRPr="005F48EA">
        <w:rPr>
          <w:lang w:val="en-AU"/>
        </w:rPr>
        <w:t xml:space="preserve">the </w:t>
      </w:r>
      <w:r w:rsidR="0006041C" w:rsidRPr="003F4EDD">
        <w:rPr>
          <w:i/>
          <w:lang w:val="en-AU"/>
        </w:rPr>
        <w:t>Ma</w:t>
      </w:r>
      <w:r w:rsidR="0006041C" w:rsidRPr="00214F05">
        <w:rPr>
          <w:i/>
          <w:lang w:val="en-AU"/>
        </w:rPr>
        <w:t xml:space="preserve">rine </w:t>
      </w:r>
      <w:r w:rsidR="004D744B">
        <w:rPr>
          <w:i/>
          <w:lang w:val="en-AU"/>
        </w:rPr>
        <w:t>M</w:t>
      </w:r>
      <w:r w:rsidR="0006041C" w:rsidRPr="00214F05">
        <w:rPr>
          <w:i/>
          <w:lang w:val="en-AU"/>
        </w:rPr>
        <w:t xml:space="preserve">onitoring </w:t>
      </w:r>
      <w:r w:rsidR="004D744B">
        <w:rPr>
          <w:i/>
          <w:lang w:val="en-AU"/>
        </w:rPr>
        <w:t>P</w:t>
      </w:r>
      <w:r w:rsidR="0006041C" w:rsidRPr="00214F05">
        <w:rPr>
          <w:i/>
          <w:lang w:val="en-AU"/>
        </w:rPr>
        <w:t xml:space="preserve">rogram quality assurance and quality control manual </w:t>
      </w:r>
      <w:r w:rsidR="00AB0EE5">
        <w:rPr>
          <w:i/>
          <w:lang w:val="en-AU"/>
        </w:rPr>
        <w:t xml:space="preserve">2017/2018 </w:t>
      </w:r>
      <w:r w:rsidR="00DC66B6">
        <w:rPr>
          <w:i/>
          <w:lang w:val="en-AU"/>
        </w:rPr>
        <w:fldChar w:fldCharType="begin"/>
      </w:r>
      <w:r w:rsidR="00DC66B6">
        <w:rPr>
          <w:i/>
          <w:lang w:val="en-AU"/>
        </w:rPr>
        <w:instrText xml:space="preserve"> ADDIN EN.CITE &lt;EndNote&gt;&lt;Cite&gt;&lt;Author&gt;GBRMPA&lt;/Author&gt;&lt;Year&gt;2019&lt;/Year&gt;&lt;RecNum&gt;109&lt;/RecNum&gt;&lt;DisplayText&gt;(GBRMPA, 2019)&lt;/DisplayText&gt;&lt;record&gt;&lt;rec-number&gt;109&lt;/rec-number&gt;&lt;foreign-keys&gt;&lt;key app="EN" db-id="xtpvpwz0ufxa2me5tv6v2prn2ez5p9atsvtr" timestamp="1550039020"&gt;109&lt;/key&gt;&lt;/foreign-keys&gt;&lt;ref-type name="Report"&gt;27&lt;/ref-type&gt;&lt;contributors&gt;&lt;authors&gt;&lt;author&gt;GBRMPA,&lt;/author&gt;&lt;/authors&gt;&lt;/contributors&gt;&lt;titles&gt;&lt;title&gt;Marine Monitoring Program: Quality Assurance and Quality Control Manual 2017-2018&lt;/title&gt;&lt;/titles&gt;&lt;dates&gt;&lt;year&gt;2019&lt;/year&gt;&lt;/dates&gt;&lt;pub-location&gt;Townsville&lt;/pub-location&gt;&lt;publisher&gt;Great Barrier Reef Marine Park Authority&lt;/publisher&gt;&lt;urls&gt;&lt;/urls&gt;&lt;/record&gt;&lt;/Cite&gt;&lt;/EndNote&gt;</w:instrText>
      </w:r>
      <w:r w:rsidR="00DC66B6">
        <w:rPr>
          <w:i/>
          <w:lang w:val="en-AU"/>
        </w:rPr>
        <w:fldChar w:fldCharType="separate"/>
      </w:r>
      <w:r w:rsidR="00DC66B6">
        <w:rPr>
          <w:i/>
          <w:noProof/>
          <w:lang w:val="en-AU"/>
        </w:rPr>
        <w:t>(GBRMPA, 2019)</w:t>
      </w:r>
      <w:r w:rsidR="00DC66B6">
        <w:rPr>
          <w:i/>
          <w:lang w:val="en-AU"/>
        </w:rPr>
        <w:fldChar w:fldCharType="end"/>
      </w:r>
      <w:r w:rsidR="0006041C">
        <w:rPr>
          <w:lang w:val="en-AU"/>
        </w:rPr>
        <w:t>. An overview of the sampling periods and types of s</w:t>
      </w:r>
      <w:r w:rsidR="002409CC">
        <w:rPr>
          <w:lang w:val="en-AU"/>
        </w:rPr>
        <w:t>amples collected is given below</w:t>
      </w:r>
      <w:r w:rsidR="006213FA">
        <w:rPr>
          <w:lang w:val="en-AU"/>
        </w:rPr>
        <w:t xml:space="preserve">, with additional details in </w:t>
      </w:r>
      <w:r w:rsidR="00DC66B6">
        <w:rPr>
          <w:lang w:val="en-AU"/>
        </w:rPr>
        <w:t>Appendix A</w:t>
      </w:r>
      <w:r w:rsidR="002409CC">
        <w:rPr>
          <w:lang w:val="en-AU"/>
        </w:rPr>
        <w:t>.</w:t>
      </w:r>
    </w:p>
    <w:p w14:paraId="76ABE4A7" w14:textId="77777777" w:rsidR="008F2C02" w:rsidRDefault="008F2C02" w:rsidP="002439C8">
      <w:pPr>
        <w:spacing w:line="276" w:lineRule="auto"/>
        <w:jc w:val="left"/>
        <w:rPr>
          <w:lang w:val="en-AU" w:bidi="ar-SA"/>
        </w:rPr>
      </w:pPr>
    </w:p>
    <w:p w14:paraId="5E6B84ED" w14:textId="6BD284AE" w:rsidR="00411795" w:rsidRDefault="00411795" w:rsidP="002439C8">
      <w:pPr>
        <w:spacing w:line="276" w:lineRule="auto"/>
        <w:jc w:val="left"/>
        <w:rPr>
          <w:lang w:val="en-AU" w:bidi="ar-SA"/>
        </w:rPr>
      </w:pPr>
    </w:p>
    <w:p w14:paraId="56ED61EC" w14:textId="77777777" w:rsidR="00411795" w:rsidRPr="0006041C" w:rsidRDefault="00411795" w:rsidP="002439C8">
      <w:pPr>
        <w:spacing w:line="276" w:lineRule="auto"/>
        <w:jc w:val="left"/>
        <w:rPr>
          <w:lang w:val="en-AU" w:bidi="ar-SA"/>
        </w:rPr>
      </w:pPr>
    </w:p>
    <w:p w14:paraId="3B6FC059" w14:textId="77777777" w:rsidR="0006041C" w:rsidRPr="0006041C" w:rsidRDefault="003B6560" w:rsidP="002439C8">
      <w:pPr>
        <w:pStyle w:val="Heading3"/>
        <w:jc w:val="left"/>
      </w:pPr>
      <w:bookmarkStart w:id="98" w:name="_Toc14435681"/>
      <w:bookmarkEnd w:id="97"/>
      <w:r w:rsidRPr="003B6560">
        <w:t>Passive sampling</w:t>
      </w:r>
      <w:r w:rsidR="004A66EE">
        <w:t xml:space="preserve"> (fixed monitoring sites</w:t>
      </w:r>
      <w:r w:rsidR="008740BA">
        <w:t>)</w:t>
      </w:r>
      <w:r w:rsidR="00A43338">
        <w:t xml:space="preserve"> </w:t>
      </w:r>
      <w:r w:rsidRPr="003B6560">
        <w:t>to establish long</w:t>
      </w:r>
      <w:r w:rsidR="008740BA">
        <w:t>-</w:t>
      </w:r>
      <w:r w:rsidRPr="003B6560">
        <w:t>term trends</w:t>
      </w:r>
      <w:bookmarkEnd w:id="98"/>
    </w:p>
    <w:p w14:paraId="4932DC8A" w14:textId="77777777" w:rsidR="00466B3F" w:rsidRDefault="00C36509" w:rsidP="002439C8">
      <w:pPr>
        <w:spacing w:line="276" w:lineRule="auto"/>
        <w:jc w:val="left"/>
        <w:rPr>
          <w:lang w:val="en-AU" w:eastAsia="en-AU"/>
        </w:rPr>
      </w:pPr>
      <w:r>
        <w:rPr>
          <w:lang w:val="en-AU" w:eastAsia="en-AU"/>
        </w:rPr>
        <w:t>P</w:t>
      </w:r>
      <w:r w:rsidR="0059608E" w:rsidRPr="008C1D6A">
        <w:rPr>
          <w:lang w:val="en-AU" w:eastAsia="en-AU"/>
        </w:rPr>
        <w:t xml:space="preserve">esticide </w:t>
      </w:r>
      <w:r w:rsidR="0059608E">
        <w:rPr>
          <w:lang w:val="en-AU" w:eastAsia="en-AU"/>
        </w:rPr>
        <w:t xml:space="preserve">monitoring at fixed </w:t>
      </w:r>
      <w:r w:rsidR="00A43338">
        <w:rPr>
          <w:lang w:val="en-AU" w:eastAsia="en-AU"/>
        </w:rPr>
        <w:t xml:space="preserve">monitoring </w:t>
      </w:r>
      <w:r w:rsidR="0059608E">
        <w:rPr>
          <w:lang w:val="en-AU" w:eastAsia="en-AU"/>
        </w:rPr>
        <w:t>sites</w:t>
      </w:r>
      <w:r w:rsidR="0059608E" w:rsidRPr="008C1D6A">
        <w:rPr>
          <w:lang w:val="en-AU" w:eastAsia="en-AU"/>
        </w:rPr>
        <w:t xml:space="preserve"> is </w:t>
      </w:r>
      <w:r>
        <w:rPr>
          <w:lang w:val="en-AU" w:eastAsia="en-AU"/>
        </w:rPr>
        <w:t xml:space="preserve">reported for the year to </w:t>
      </w:r>
      <w:r w:rsidR="009B2AF2">
        <w:rPr>
          <w:lang w:val="en-AU" w:eastAsia="en-AU"/>
        </w:rPr>
        <w:t>30</w:t>
      </w:r>
      <w:r>
        <w:rPr>
          <w:lang w:val="en-AU" w:eastAsia="en-AU"/>
        </w:rPr>
        <w:t xml:space="preserve"> </w:t>
      </w:r>
      <w:r w:rsidR="004438CF">
        <w:rPr>
          <w:lang w:val="en-AU" w:eastAsia="en-AU"/>
        </w:rPr>
        <w:t>April</w:t>
      </w:r>
      <w:r>
        <w:rPr>
          <w:lang w:val="en-AU" w:eastAsia="en-AU"/>
        </w:rPr>
        <w:t xml:space="preserve"> </w:t>
      </w:r>
      <w:r w:rsidR="002B763D" w:rsidRPr="008C1D6A">
        <w:rPr>
          <w:lang w:val="en-AU" w:eastAsia="en-AU"/>
        </w:rPr>
        <w:t>201</w:t>
      </w:r>
      <w:r w:rsidR="002B763D">
        <w:rPr>
          <w:lang w:val="en-AU" w:eastAsia="en-AU"/>
        </w:rPr>
        <w:t>8</w:t>
      </w:r>
      <w:r w:rsidR="0059608E" w:rsidRPr="008C1D6A">
        <w:rPr>
          <w:lang w:val="en-AU" w:eastAsia="en-AU"/>
        </w:rPr>
        <w:t xml:space="preserve">. The year is divided into “Dry </w:t>
      </w:r>
      <w:r w:rsidR="002B763D">
        <w:rPr>
          <w:lang w:val="en-AU" w:eastAsia="en-AU"/>
        </w:rPr>
        <w:t>20</w:t>
      </w:r>
      <w:r w:rsidR="002B763D" w:rsidRPr="008C1D6A">
        <w:rPr>
          <w:lang w:val="en-AU" w:eastAsia="en-AU"/>
        </w:rPr>
        <w:t>1</w:t>
      </w:r>
      <w:r w:rsidR="002B763D">
        <w:rPr>
          <w:lang w:val="en-AU" w:eastAsia="en-AU"/>
        </w:rPr>
        <w:t>7</w:t>
      </w:r>
      <w:r w:rsidR="0059608E" w:rsidRPr="008C1D6A">
        <w:rPr>
          <w:lang w:val="en-AU" w:eastAsia="en-AU"/>
        </w:rPr>
        <w:t xml:space="preserve">” (May </w:t>
      </w:r>
      <w:r w:rsidR="002B763D" w:rsidRPr="008C1D6A">
        <w:rPr>
          <w:lang w:val="en-AU" w:eastAsia="en-AU"/>
        </w:rPr>
        <w:t>201</w:t>
      </w:r>
      <w:r w:rsidR="002B763D">
        <w:rPr>
          <w:lang w:val="en-AU" w:eastAsia="en-AU"/>
        </w:rPr>
        <w:t xml:space="preserve">7 </w:t>
      </w:r>
      <w:r w:rsidR="004438CF">
        <w:rPr>
          <w:lang w:val="en-AU" w:eastAsia="en-AU"/>
        </w:rPr>
        <w:t xml:space="preserve">to October </w:t>
      </w:r>
      <w:r w:rsidR="002B763D">
        <w:rPr>
          <w:lang w:val="en-AU" w:eastAsia="en-AU"/>
        </w:rPr>
        <w:t>2017</w:t>
      </w:r>
      <w:r w:rsidR="0059608E" w:rsidRPr="008C1D6A">
        <w:rPr>
          <w:lang w:val="en-AU" w:eastAsia="en-AU"/>
        </w:rPr>
        <w:t xml:space="preserve">) and “Wet </w:t>
      </w:r>
      <w:r w:rsidR="002B763D">
        <w:rPr>
          <w:lang w:val="en-AU" w:eastAsia="en-AU"/>
        </w:rPr>
        <w:t>20</w:t>
      </w:r>
      <w:r w:rsidR="002B763D" w:rsidRPr="008C1D6A">
        <w:rPr>
          <w:lang w:val="en-AU" w:eastAsia="en-AU"/>
        </w:rPr>
        <w:t>1</w:t>
      </w:r>
      <w:r w:rsidR="002B763D">
        <w:rPr>
          <w:lang w:val="en-AU" w:eastAsia="en-AU"/>
        </w:rPr>
        <w:t>7</w:t>
      </w:r>
      <w:r w:rsidR="0059608E" w:rsidRPr="008C1D6A">
        <w:rPr>
          <w:lang w:val="en-AU" w:eastAsia="en-AU"/>
        </w:rPr>
        <w:t>-</w:t>
      </w:r>
      <w:r w:rsidR="002B763D" w:rsidRPr="008C1D6A">
        <w:rPr>
          <w:lang w:val="en-AU" w:eastAsia="en-AU"/>
        </w:rPr>
        <w:t>1</w:t>
      </w:r>
      <w:r w:rsidR="002B763D">
        <w:rPr>
          <w:lang w:val="en-AU" w:eastAsia="en-AU"/>
        </w:rPr>
        <w:t>8</w:t>
      </w:r>
      <w:r w:rsidR="0059608E" w:rsidRPr="008C1D6A">
        <w:rPr>
          <w:lang w:val="en-AU" w:eastAsia="en-AU"/>
        </w:rPr>
        <w:t xml:space="preserve">” (November </w:t>
      </w:r>
      <w:r w:rsidR="002B763D" w:rsidRPr="008C1D6A">
        <w:rPr>
          <w:lang w:val="en-AU" w:eastAsia="en-AU"/>
        </w:rPr>
        <w:t>201</w:t>
      </w:r>
      <w:r w:rsidR="002B763D">
        <w:rPr>
          <w:lang w:val="en-AU" w:eastAsia="en-AU"/>
        </w:rPr>
        <w:t>7</w:t>
      </w:r>
      <w:r w:rsidR="002B763D" w:rsidRPr="008C1D6A">
        <w:rPr>
          <w:lang w:val="en-AU" w:eastAsia="en-AU"/>
        </w:rPr>
        <w:t xml:space="preserve"> </w:t>
      </w:r>
      <w:r w:rsidR="006A415F">
        <w:rPr>
          <w:lang w:val="en-AU" w:eastAsia="en-AU"/>
        </w:rPr>
        <w:t>to</w:t>
      </w:r>
      <w:r w:rsidR="0059608E" w:rsidRPr="008C1D6A">
        <w:rPr>
          <w:lang w:val="en-AU" w:eastAsia="en-AU"/>
        </w:rPr>
        <w:t xml:space="preserve"> April </w:t>
      </w:r>
      <w:r w:rsidR="002B763D" w:rsidRPr="008C1D6A">
        <w:rPr>
          <w:lang w:val="en-AU" w:eastAsia="en-AU"/>
        </w:rPr>
        <w:t>201</w:t>
      </w:r>
      <w:r w:rsidR="002B763D">
        <w:rPr>
          <w:lang w:val="en-AU" w:eastAsia="en-AU"/>
        </w:rPr>
        <w:t>8</w:t>
      </w:r>
      <w:r w:rsidR="0059608E" w:rsidRPr="008C1D6A">
        <w:rPr>
          <w:lang w:val="en-AU" w:eastAsia="en-AU"/>
        </w:rPr>
        <w:t xml:space="preserve">) sampling periods for reporting purposes. </w:t>
      </w:r>
    </w:p>
    <w:p w14:paraId="3F437B8A" w14:textId="77777777" w:rsidR="00466B3F" w:rsidRDefault="00466B3F" w:rsidP="002439C8">
      <w:pPr>
        <w:spacing w:line="276" w:lineRule="auto"/>
        <w:jc w:val="left"/>
        <w:rPr>
          <w:lang w:val="en-AU" w:eastAsia="en-AU"/>
        </w:rPr>
      </w:pPr>
    </w:p>
    <w:p w14:paraId="1AE73C12" w14:textId="77777777" w:rsidR="0059608E" w:rsidRDefault="009B2AF2" w:rsidP="002439C8">
      <w:pPr>
        <w:spacing w:line="276" w:lineRule="auto"/>
        <w:jc w:val="left"/>
        <w:rPr>
          <w:lang w:val="en-AU" w:eastAsia="en-AU"/>
        </w:rPr>
      </w:pPr>
      <w:r>
        <w:rPr>
          <w:lang w:val="en-AU" w:eastAsia="en-AU"/>
        </w:rPr>
        <w:t xml:space="preserve">During dry </w:t>
      </w:r>
      <w:r w:rsidR="008740BA">
        <w:rPr>
          <w:lang w:val="en-AU" w:eastAsia="en-AU"/>
        </w:rPr>
        <w:t>sampling period</w:t>
      </w:r>
      <w:r w:rsidR="00961015">
        <w:rPr>
          <w:lang w:val="en-AU" w:eastAsia="en-AU"/>
        </w:rPr>
        <w:t>s</w:t>
      </w:r>
      <w:r w:rsidR="0059608E" w:rsidRPr="008C1D6A">
        <w:rPr>
          <w:lang w:val="en-AU" w:eastAsia="en-AU"/>
        </w:rPr>
        <w:t xml:space="preserve">, </w:t>
      </w:r>
      <w:r w:rsidR="00961015">
        <w:rPr>
          <w:lang w:val="en-AU" w:eastAsia="en-AU"/>
        </w:rPr>
        <w:t xml:space="preserve">passive </w:t>
      </w:r>
      <w:r w:rsidR="0059608E" w:rsidRPr="008C1D6A">
        <w:rPr>
          <w:lang w:val="en-AU" w:eastAsia="en-AU"/>
        </w:rPr>
        <w:t xml:space="preserve">samplers are typically deployed for two months </w:t>
      </w:r>
      <w:r w:rsidR="008740BA">
        <w:rPr>
          <w:lang w:val="en-AU" w:eastAsia="en-AU"/>
        </w:rPr>
        <w:t xml:space="preserve">at a time </w:t>
      </w:r>
      <w:r w:rsidR="0059608E" w:rsidRPr="008C1D6A">
        <w:rPr>
          <w:lang w:val="en-AU" w:eastAsia="en-AU"/>
        </w:rPr>
        <w:t>(maximum of three deployment periods each monitoring year)</w:t>
      </w:r>
      <w:r w:rsidR="008740BA">
        <w:rPr>
          <w:lang w:val="en-AU" w:eastAsia="en-AU"/>
        </w:rPr>
        <w:t>,</w:t>
      </w:r>
      <w:r w:rsidR="0059608E" w:rsidRPr="008C1D6A">
        <w:rPr>
          <w:lang w:val="en-AU" w:eastAsia="en-AU"/>
        </w:rPr>
        <w:t xml:space="preserve"> and </w:t>
      </w:r>
      <w:r w:rsidRPr="008C1D6A">
        <w:rPr>
          <w:lang w:val="en-AU" w:eastAsia="en-AU"/>
        </w:rPr>
        <w:t xml:space="preserve">for one month </w:t>
      </w:r>
      <w:r w:rsidR="008740BA">
        <w:rPr>
          <w:lang w:val="en-AU" w:eastAsia="en-AU"/>
        </w:rPr>
        <w:t xml:space="preserve">at a time </w:t>
      </w:r>
      <w:r>
        <w:rPr>
          <w:lang w:val="en-AU" w:eastAsia="en-AU"/>
        </w:rPr>
        <w:t xml:space="preserve">during </w:t>
      </w:r>
      <w:r w:rsidR="0059608E" w:rsidRPr="008C1D6A">
        <w:rPr>
          <w:lang w:val="en-AU" w:eastAsia="en-AU"/>
        </w:rPr>
        <w:t xml:space="preserve">wet </w:t>
      </w:r>
      <w:r w:rsidR="008740BA">
        <w:rPr>
          <w:lang w:val="en-AU" w:eastAsia="en-AU"/>
        </w:rPr>
        <w:t>sampling period</w:t>
      </w:r>
      <w:r w:rsidR="00961015">
        <w:rPr>
          <w:lang w:val="en-AU" w:eastAsia="en-AU"/>
        </w:rPr>
        <w:t>s</w:t>
      </w:r>
      <w:r w:rsidR="008740BA">
        <w:rPr>
          <w:lang w:val="en-AU" w:eastAsia="en-AU"/>
        </w:rPr>
        <w:t xml:space="preserve"> </w:t>
      </w:r>
      <w:r w:rsidR="0059608E" w:rsidRPr="008C1D6A">
        <w:rPr>
          <w:lang w:val="en-AU" w:eastAsia="en-AU"/>
        </w:rPr>
        <w:t xml:space="preserve">(maximum of six deployment periods within each monitoring year). </w:t>
      </w:r>
      <w:r w:rsidR="00944940" w:rsidRPr="00944940">
        <w:rPr>
          <w:lang w:val="en-AU" w:eastAsia="en-AU"/>
        </w:rPr>
        <w:t xml:space="preserve">Time integrated concentrations are reported </w:t>
      </w:r>
      <w:r w:rsidR="000A6A2C">
        <w:rPr>
          <w:lang w:val="en-AU" w:eastAsia="en-AU"/>
        </w:rPr>
        <w:t>that</w:t>
      </w:r>
      <w:r w:rsidR="000A6A2C" w:rsidRPr="00944940">
        <w:rPr>
          <w:lang w:val="en-AU" w:eastAsia="en-AU"/>
        </w:rPr>
        <w:t xml:space="preserve"> </w:t>
      </w:r>
      <w:r w:rsidR="00944940" w:rsidRPr="00944940">
        <w:rPr>
          <w:lang w:val="en-AU" w:eastAsia="en-AU"/>
        </w:rPr>
        <w:t xml:space="preserve">reflect the average concentration over the actual period of deployment. </w:t>
      </w:r>
      <w:r w:rsidR="0059608E" w:rsidRPr="008C1D6A">
        <w:rPr>
          <w:lang w:val="en-AU" w:eastAsia="en-AU"/>
        </w:rPr>
        <w:t>The maximum number of samples obtained from each locati</w:t>
      </w:r>
      <w:r>
        <w:rPr>
          <w:lang w:val="en-AU" w:eastAsia="en-AU"/>
        </w:rPr>
        <w:t>on in the monitoring year i</w:t>
      </w:r>
      <w:r w:rsidR="0059608E" w:rsidRPr="008C1D6A">
        <w:rPr>
          <w:lang w:val="en-AU" w:eastAsia="en-AU"/>
        </w:rPr>
        <w:t>s nine</w:t>
      </w:r>
      <w:r w:rsidR="002D66EC">
        <w:rPr>
          <w:lang w:val="en-AU" w:eastAsia="en-AU"/>
        </w:rPr>
        <w:t>.</w:t>
      </w:r>
    </w:p>
    <w:p w14:paraId="33F83756" w14:textId="77777777" w:rsidR="008B15F3" w:rsidRPr="008562C0" w:rsidRDefault="008B15F3" w:rsidP="002439C8">
      <w:pPr>
        <w:spacing w:line="276" w:lineRule="auto"/>
        <w:jc w:val="left"/>
        <w:rPr>
          <w:lang w:val="en-AU"/>
        </w:rPr>
      </w:pPr>
    </w:p>
    <w:p w14:paraId="546FABF1" w14:textId="77777777" w:rsidR="0052323E" w:rsidRPr="001A3A18" w:rsidRDefault="00210B7C" w:rsidP="002439C8">
      <w:pPr>
        <w:pStyle w:val="Caption"/>
        <w:keepNext/>
        <w:spacing w:after="120" w:line="276" w:lineRule="auto"/>
        <w:rPr>
          <w:b w:val="0"/>
        </w:rPr>
      </w:pPr>
      <w:bookmarkStart w:id="99" w:name="_Ref480724906"/>
      <w:bookmarkStart w:id="100" w:name="_Ref474319482"/>
      <w:bookmarkStart w:id="101" w:name="_Toc527468595"/>
      <w:bookmarkStart w:id="102" w:name="_Toc14435323"/>
      <w:r w:rsidRPr="001A3A18">
        <w:rPr>
          <w:b w:val="0"/>
        </w:rPr>
        <w:lastRenderedPageBreak/>
        <w:t xml:space="preserve">Table </w:t>
      </w:r>
      <w:r w:rsidR="00C91BF5" w:rsidRPr="001A3A18">
        <w:rPr>
          <w:b w:val="0"/>
        </w:rPr>
        <w:fldChar w:fldCharType="begin"/>
      </w:r>
      <w:r w:rsidRPr="001A3A18">
        <w:rPr>
          <w:b w:val="0"/>
        </w:rPr>
        <w:instrText xml:space="preserve"> SEQ Table \* ARABIC </w:instrText>
      </w:r>
      <w:r w:rsidR="00C91BF5" w:rsidRPr="001A3A18">
        <w:rPr>
          <w:b w:val="0"/>
        </w:rPr>
        <w:fldChar w:fldCharType="separate"/>
      </w:r>
      <w:r w:rsidR="00251B46">
        <w:rPr>
          <w:b w:val="0"/>
          <w:noProof/>
        </w:rPr>
        <w:t>2</w:t>
      </w:r>
      <w:r w:rsidR="00C91BF5" w:rsidRPr="001A3A18">
        <w:rPr>
          <w:b w:val="0"/>
        </w:rPr>
        <w:fldChar w:fldCharType="end"/>
      </w:r>
      <w:bookmarkEnd w:id="99"/>
      <w:r w:rsidR="00747824" w:rsidRPr="001A3A18">
        <w:rPr>
          <w:b w:val="0"/>
        </w:rPr>
        <w:t>:</w:t>
      </w:r>
      <w:r w:rsidRPr="001A3A18">
        <w:rPr>
          <w:b w:val="0"/>
        </w:rPr>
        <w:t xml:space="preserve"> </w:t>
      </w:r>
      <w:r w:rsidR="0059608E" w:rsidRPr="001A3A18">
        <w:rPr>
          <w:b w:val="0"/>
        </w:rPr>
        <w:t xml:space="preserve">The types of passive samplers deployed at each fixed monitoring site in </w:t>
      </w:r>
      <w:r w:rsidR="00070AE2" w:rsidRPr="001A3A18">
        <w:rPr>
          <w:b w:val="0"/>
        </w:rPr>
        <w:t>201</w:t>
      </w:r>
      <w:r w:rsidR="00135CB4" w:rsidRPr="001A3A18">
        <w:rPr>
          <w:b w:val="0"/>
        </w:rPr>
        <w:t>7</w:t>
      </w:r>
      <w:r w:rsidR="00070AE2" w:rsidRPr="001A3A18">
        <w:rPr>
          <w:b w:val="0"/>
        </w:rPr>
        <w:t>-1</w:t>
      </w:r>
      <w:bookmarkEnd w:id="100"/>
      <w:r w:rsidR="00135CB4" w:rsidRPr="001A3A18">
        <w:rPr>
          <w:b w:val="0"/>
        </w:rPr>
        <w:t>8</w:t>
      </w:r>
      <w:r w:rsidR="00CA5228" w:rsidRPr="001A3A18">
        <w:rPr>
          <w:b w:val="0"/>
        </w:rPr>
        <w:t>.</w:t>
      </w:r>
      <w:bookmarkEnd w:id="101"/>
      <w:bookmarkEnd w:id="102"/>
    </w:p>
    <w:tbl>
      <w:tblPr>
        <w:tblW w:w="5000" w:type="pct"/>
        <w:tblLook w:val="04A0" w:firstRow="1" w:lastRow="0" w:firstColumn="1" w:lastColumn="0" w:noHBand="0" w:noVBand="1"/>
      </w:tblPr>
      <w:tblGrid>
        <w:gridCol w:w="1841"/>
        <w:gridCol w:w="2314"/>
        <w:gridCol w:w="1217"/>
        <w:gridCol w:w="1219"/>
        <w:gridCol w:w="1217"/>
        <w:gridCol w:w="1219"/>
      </w:tblGrid>
      <w:tr w:rsidR="0052323E" w:rsidRPr="002B763D" w14:paraId="3688759B" w14:textId="77777777" w:rsidTr="0024078C">
        <w:trPr>
          <w:cantSplit/>
          <w:trHeight w:val="300"/>
          <w:tblHeader/>
        </w:trPr>
        <w:tc>
          <w:tcPr>
            <w:tcW w:w="1020" w:type="pct"/>
            <w:vMerge w:val="restart"/>
            <w:tcBorders>
              <w:top w:val="single" w:sz="4" w:space="0" w:color="auto"/>
            </w:tcBorders>
            <w:shd w:val="clear" w:color="auto" w:fill="F2F2F2" w:themeFill="background1" w:themeFillShade="F2"/>
            <w:vAlign w:val="center"/>
            <w:hideMark/>
          </w:tcPr>
          <w:p w14:paraId="5B242440" w14:textId="77777777" w:rsidR="0052323E" w:rsidRPr="00503D38" w:rsidRDefault="0052323E" w:rsidP="002439C8">
            <w:pPr>
              <w:jc w:val="left"/>
              <w:rPr>
                <w:rFonts w:eastAsia="Times New Roman" w:cs="Arial"/>
                <w:b/>
                <w:bCs/>
                <w:sz w:val="18"/>
                <w:szCs w:val="18"/>
                <w:lang w:val="en-AU" w:eastAsia="en-AU" w:bidi="ar-SA"/>
              </w:rPr>
            </w:pPr>
            <w:r w:rsidRPr="00503D38">
              <w:rPr>
                <w:rFonts w:eastAsia="Times New Roman" w:cs="Arial"/>
                <w:b/>
                <w:bCs/>
                <w:sz w:val="18"/>
                <w:szCs w:val="18"/>
                <w:lang w:val="en-AU" w:eastAsia="en-AU" w:bidi="ar-SA"/>
              </w:rPr>
              <w:t>Region</w:t>
            </w:r>
          </w:p>
        </w:tc>
        <w:tc>
          <w:tcPr>
            <w:tcW w:w="1282" w:type="pct"/>
            <w:vMerge w:val="restart"/>
            <w:tcBorders>
              <w:top w:val="single" w:sz="4" w:space="0" w:color="auto"/>
            </w:tcBorders>
            <w:shd w:val="clear" w:color="auto" w:fill="F2F2F2" w:themeFill="background1" w:themeFillShade="F2"/>
            <w:vAlign w:val="center"/>
            <w:hideMark/>
          </w:tcPr>
          <w:p w14:paraId="148F9414" w14:textId="77777777" w:rsidR="0052323E" w:rsidRPr="00503D38" w:rsidRDefault="0052323E" w:rsidP="002439C8">
            <w:pPr>
              <w:jc w:val="left"/>
              <w:rPr>
                <w:rFonts w:eastAsia="Times New Roman" w:cs="Arial"/>
                <w:b/>
                <w:bCs/>
                <w:sz w:val="18"/>
                <w:szCs w:val="18"/>
                <w:lang w:val="en-AU" w:eastAsia="en-AU" w:bidi="ar-SA"/>
              </w:rPr>
            </w:pPr>
            <w:r w:rsidRPr="00503D38">
              <w:rPr>
                <w:rFonts w:eastAsia="Times New Roman" w:cs="Arial"/>
                <w:b/>
                <w:bCs/>
                <w:sz w:val="18"/>
                <w:szCs w:val="18"/>
                <w:lang w:val="en-AU" w:eastAsia="en-AU" w:bidi="ar-SA"/>
              </w:rPr>
              <w:t>Site</w:t>
            </w:r>
          </w:p>
        </w:tc>
        <w:tc>
          <w:tcPr>
            <w:tcW w:w="1349" w:type="pct"/>
            <w:gridSpan w:val="2"/>
            <w:tcBorders>
              <w:top w:val="single" w:sz="4" w:space="0" w:color="auto"/>
            </w:tcBorders>
            <w:shd w:val="clear" w:color="auto" w:fill="F2F2F2" w:themeFill="background1" w:themeFillShade="F2"/>
            <w:vAlign w:val="center"/>
            <w:hideMark/>
          </w:tcPr>
          <w:p w14:paraId="63307B29" w14:textId="77777777" w:rsidR="0052323E" w:rsidRPr="00503D38" w:rsidRDefault="0052323E" w:rsidP="002439C8">
            <w:pPr>
              <w:jc w:val="left"/>
              <w:rPr>
                <w:rFonts w:eastAsia="Times New Roman" w:cs="Arial"/>
                <w:b/>
                <w:bCs/>
                <w:sz w:val="18"/>
                <w:szCs w:val="18"/>
                <w:lang w:val="en-AU" w:eastAsia="en-AU" w:bidi="ar-SA"/>
              </w:rPr>
            </w:pPr>
            <w:r w:rsidRPr="00503D38">
              <w:rPr>
                <w:rFonts w:eastAsia="Times New Roman" w:cs="Arial"/>
                <w:b/>
                <w:bCs/>
                <w:sz w:val="18"/>
                <w:szCs w:val="18"/>
                <w:lang w:val="en-AU" w:eastAsia="en-AU" w:bidi="ar-SA"/>
              </w:rPr>
              <w:t>EDs (polar)</w:t>
            </w:r>
          </w:p>
        </w:tc>
        <w:tc>
          <w:tcPr>
            <w:tcW w:w="1349" w:type="pct"/>
            <w:gridSpan w:val="2"/>
            <w:tcBorders>
              <w:top w:val="single" w:sz="4" w:space="0" w:color="auto"/>
            </w:tcBorders>
            <w:shd w:val="clear" w:color="auto" w:fill="F2F2F2" w:themeFill="background1" w:themeFillShade="F2"/>
            <w:vAlign w:val="center"/>
            <w:hideMark/>
          </w:tcPr>
          <w:p w14:paraId="55F1C110" w14:textId="77777777" w:rsidR="0052323E" w:rsidRPr="00503D38" w:rsidRDefault="0052323E" w:rsidP="002439C8">
            <w:pPr>
              <w:jc w:val="left"/>
              <w:rPr>
                <w:rFonts w:eastAsia="Times New Roman" w:cs="Arial"/>
                <w:b/>
                <w:bCs/>
                <w:sz w:val="18"/>
                <w:szCs w:val="18"/>
                <w:lang w:val="en-AU" w:eastAsia="en-AU" w:bidi="ar-SA"/>
              </w:rPr>
            </w:pPr>
            <w:r w:rsidRPr="00503D38">
              <w:rPr>
                <w:rFonts w:eastAsia="Times New Roman" w:cs="Arial"/>
                <w:b/>
                <w:bCs/>
                <w:sz w:val="18"/>
                <w:szCs w:val="18"/>
                <w:lang w:val="en-AU" w:eastAsia="en-AU" w:bidi="ar-SA"/>
              </w:rPr>
              <w:t>PDMS (non-polar)</w:t>
            </w:r>
          </w:p>
        </w:tc>
      </w:tr>
      <w:tr w:rsidR="0052323E" w:rsidRPr="002B763D" w14:paraId="1D9B3F80" w14:textId="77777777" w:rsidTr="0024078C">
        <w:trPr>
          <w:trHeight w:val="218"/>
        </w:trPr>
        <w:tc>
          <w:tcPr>
            <w:tcW w:w="1020" w:type="pct"/>
            <w:vMerge/>
            <w:tcBorders>
              <w:bottom w:val="single" w:sz="4" w:space="0" w:color="auto"/>
            </w:tcBorders>
            <w:vAlign w:val="center"/>
            <w:hideMark/>
          </w:tcPr>
          <w:p w14:paraId="2C147947" w14:textId="77777777" w:rsidR="0052323E" w:rsidRPr="00503D38" w:rsidRDefault="0052323E" w:rsidP="002439C8">
            <w:pPr>
              <w:jc w:val="left"/>
              <w:rPr>
                <w:rFonts w:eastAsia="Times New Roman" w:cs="Arial"/>
                <w:b/>
                <w:bCs/>
                <w:sz w:val="18"/>
                <w:szCs w:val="18"/>
                <w:lang w:val="en-AU" w:eastAsia="en-AU" w:bidi="ar-SA"/>
              </w:rPr>
            </w:pPr>
          </w:p>
        </w:tc>
        <w:tc>
          <w:tcPr>
            <w:tcW w:w="1282" w:type="pct"/>
            <w:vMerge/>
            <w:tcBorders>
              <w:bottom w:val="single" w:sz="4" w:space="0" w:color="auto"/>
            </w:tcBorders>
            <w:vAlign w:val="center"/>
            <w:hideMark/>
          </w:tcPr>
          <w:p w14:paraId="287D5496" w14:textId="77777777" w:rsidR="0052323E" w:rsidRPr="00503D38" w:rsidRDefault="0052323E" w:rsidP="002439C8">
            <w:pPr>
              <w:jc w:val="left"/>
              <w:rPr>
                <w:rFonts w:eastAsia="Times New Roman" w:cs="Arial"/>
                <w:b/>
                <w:bCs/>
                <w:sz w:val="18"/>
                <w:szCs w:val="18"/>
                <w:lang w:val="en-AU" w:eastAsia="en-AU" w:bidi="ar-SA"/>
              </w:rPr>
            </w:pPr>
          </w:p>
        </w:tc>
        <w:tc>
          <w:tcPr>
            <w:tcW w:w="674" w:type="pct"/>
            <w:tcBorders>
              <w:bottom w:val="single" w:sz="4" w:space="0" w:color="auto"/>
            </w:tcBorders>
            <w:shd w:val="clear" w:color="auto" w:fill="F2F2F2" w:themeFill="background1" w:themeFillShade="F2"/>
            <w:vAlign w:val="center"/>
            <w:hideMark/>
          </w:tcPr>
          <w:p w14:paraId="6B22D661" w14:textId="77777777" w:rsidR="0052323E" w:rsidRPr="00503D38" w:rsidRDefault="0052323E" w:rsidP="002439C8">
            <w:pPr>
              <w:jc w:val="left"/>
              <w:rPr>
                <w:rFonts w:eastAsia="Times New Roman" w:cs="Arial"/>
                <w:b/>
                <w:bCs/>
                <w:sz w:val="18"/>
                <w:szCs w:val="18"/>
                <w:lang w:val="en-AU" w:eastAsia="en-AU" w:bidi="ar-SA"/>
              </w:rPr>
            </w:pPr>
            <w:r w:rsidRPr="00503D38">
              <w:rPr>
                <w:rFonts w:eastAsia="Times New Roman" w:cs="Arial"/>
                <w:b/>
                <w:bCs/>
                <w:sz w:val="18"/>
                <w:szCs w:val="18"/>
                <w:lang w:val="en-AU" w:eastAsia="en-AU" w:bidi="ar-SA"/>
              </w:rPr>
              <w:t>Dry</w:t>
            </w:r>
          </w:p>
        </w:tc>
        <w:tc>
          <w:tcPr>
            <w:tcW w:w="675" w:type="pct"/>
            <w:tcBorders>
              <w:bottom w:val="single" w:sz="4" w:space="0" w:color="auto"/>
            </w:tcBorders>
            <w:shd w:val="clear" w:color="auto" w:fill="F2F2F2" w:themeFill="background1" w:themeFillShade="F2"/>
            <w:vAlign w:val="center"/>
            <w:hideMark/>
          </w:tcPr>
          <w:p w14:paraId="328749EA" w14:textId="77777777" w:rsidR="0052323E" w:rsidRPr="00503D38" w:rsidRDefault="0052323E" w:rsidP="002439C8">
            <w:pPr>
              <w:jc w:val="left"/>
              <w:rPr>
                <w:rFonts w:eastAsia="Times New Roman" w:cs="Arial"/>
                <w:b/>
                <w:bCs/>
                <w:sz w:val="18"/>
                <w:szCs w:val="18"/>
                <w:lang w:val="en-AU" w:eastAsia="en-AU" w:bidi="ar-SA"/>
              </w:rPr>
            </w:pPr>
            <w:r w:rsidRPr="00503D38">
              <w:rPr>
                <w:rFonts w:eastAsia="Times New Roman" w:cs="Arial"/>
                <w:b/>
                <w:bCs/>
                <w:sz w:val="18"/>
                <w:szCs w:val="18"/>
                <w:lang w:val="en-AU" w:eastAsia="en-AU" w:bidi="ar-SA"/>
              </w:rPr>
              <w:t>Wet</w:t>
            </w:r>
          </w:p>
        </w:tc>
        <w:tc>
          <w:tcPr>
            <w:tcW w:w="674" w:type="pct"/>
            <w:tcBorders>
              <w:bottom w:val="single" w:sz="4" w:space="0" w:color="auto"/>
            </w:tcBorders>
            <w:shd w:val="clear" w:color="auto" w:fill="F2F2F2" w:themeFill="background1" w:themeFillShade="F2"/>
            <w:vAlign w:val="center"/>
            <w:hideMark/>
          </w:tcPr>
          <w:p w14:paraId="0B2B6775" w14:textId="77777777" w:rsidR="0052323E" w:rsidRPr="00503D38" w:rsidRDefault="0052323E" w:rsidP="002439C8">
            <w:pPr>
              <w:jc w:val="left"/>
              <w:rPr>
                <w:rFonts w:eastAsia="Times New Roman" w:cs="Arial"/>
                <w:b/>
                <w:bCs/>
                <w:sz w:val="18"/>
                <w:szCs w:val="18"/>
                <w:lang w:val="en-AU" w:eastAsia="en-AU" w:bidi="ar-SA"/>
              </w:rPr>
            </w:pPr>
            <w:r w:rsidRPr="00503D38">
              <w:rPr>
                <w:rFonts w:eastAsia="Times New Roman" w:cs="Arial"/>
                <w:b/>
                <w:bCs/>
                <w:sz w:val="18"/>
                <w:szCs w:val="18"/>
                <w:lang w:val="en-AU" w:eastAsia="en-AU" w:bidi="ar-SA"/>
              </w:rPr>
              <w:t>Dry</w:t>
            </w:r>
          </w:p>
        </w:tc>
        <w:tc>
          <w:tcPr>
            <w:tcW w:w="675" w:type="pct"/>
            <w:tcBorders>
              <w:bottom w:val="single" w:sz="4" w:space="0" w:color="auto"/>
            </w:tcBorders>
            <w:shd w:val="clear" w:color="auto" w:fill="F2F2F2" w:themeFill="background1" w:themeFillShade="F2"/>
            <w:vAlign w:val="center"/>
            <w:hideMark/>
          </w:tcPr>
          <w:p w14:paraId="1B2CB7FE" w14:textId="77777777" w:rsidR="0052323E" w:rsidRPr="00503D38" w:rsidRDefault="0052323E" w:rsidP="002439C8">
            <w:pPr>
              <w:jc w:val="left"/>
              <w:rPr>
                <w:rFonts w:eastAsia="Times New Roman" w:cs="Arial"/>
                <w:b/>
                <w:bCs/>
                <w:sz w:val="18"/>
                <w:szCs w:val="18"/>
                <w:lang w:val="en-AU" w:eastAsia="en-AU" w:bidi="ar-SA"/>
              </w:rPr>
            </w:pPr>
            <w:r w:rsidRPr="00503D38">
              <w:rPr>
                <w:rFonts w:eastAsia="Times New Roman" w:cs="Arial"/>
                <w:b/>
                <w:bCs/>
                <w:sz w:val="18"/>
                <w:szCs w:val="18"/>
                <w:lang w:val="en-AU" w:eastAsia="en-AU" w:bidi="ar-SA"/>
              </w:rPr>
              <w:t>Wet</w:t>
            </w:r>
          </w:p>
        </w:tc>
      </w:tr>
      <w:tr w:rsidR="0052323E" w:rsidRPr="002B763D" w14:paraId="3EA65464" w14:textId="77777777" w:rsidTr="0024078C">
        <w:trPr>
          <w:trHeight w:val="340"/>
        </w:trPr>
        <w:tc>
          <w:tcPr>
            <w:tcW w:w="1020" w:type="pct"/>
            <w:vMerge w:val="restart"/>
            <w:tcBorders>
              <w:top w:val="single" w:sz="4" w:space="0" w:color="auto"/>
            </w:tcBorders>
            <w:shd w:val="clear" w:color="000000" w:fill="FFFFFF"/>
            <w:vAlign w:val="center"/>
            <w:hideMark/>
          </w:tcPr>
          <w:p w14:paraId="67DFDC20" w14:textId="77777777" w:rsidR="0052323E" w:rsidRPr="00503D38" w:rsidRDefault="0052323E" w:rsidP="002439C8">
            <w:pPr>
              <w:jc w:val="left"/>
              <w:rPr>
                <w:rFonts w:eastAsia="Times New Roman" w:cs="Arial"/>
                <w:b/>
                <w:bCs/>
                <w:sz w:val="18"/>
                <w:szCs w:val="18"/>
                <w:lang w:val="en-AU" w:eastAsia="en-AU" w:bidi="ar-SA"/>
              </w:rPr>
            </w:pPr>
            <w:r w:rsidRPr="00503D38">
              <w:rPr>
                <w:rFonts w:eastAsia="Times New Roman" w:cs="Arial"/>
                <w:b/>
                <w:bCs/>
                <w:sz w:val="18"/>
                <w:szCs w:val="18"/>
                <w:lang w:val="en-AU" w:eastAsia="en-AU" w:bidi="ar-SA"/>
              </w:rPr>
              <w:t>Wet Tropics</w:t>
            </w:r>
          </w:p>
        </w:tc>
        <w:tc>
          <w:tcPr>
            <w:tcW w:w="1282" w:type="pct"/>
            <w:tcBorders>
              <w:top w:val="single" w:sz="4" w:space="0" w:color="auto"/>
            </w:tcBorders>
            <w:shd w:val="clear" w:color="000000" w:fill="FFFFFF"/>
            <w:vAlign w:val="center"/>
            <w:hideMark/>
          </w:tcPr>
          <w:p w14:paraId="120CB489" w14:textId="77777777" w:rsidR="0052323E" w:rsidRPr="00503D38" w:rsidRDefault="0052323E" w:rsidP="002439C8">
            <w:pPr>
              <w:jc w:val="left"/>
              <w:rPr>
                <w:rFonts w:eastAsia="Times New Roman" w:cs="Arial"/>
                <w:sz w:val="18"/>
                <w:szCs w:val="18"/>
                <w:lang w:val="en-AU" w:eastAsia="en-AU" w:bidi="ar-SA"/>
              </w:rPr>
            </w:pPr>
            <w:r w:rsidRPr="00503D38">
              <w:rPr>
                <w:rFonts w:eastAsia="Times New Roman" w:cs="Arial"/>
                <w:sz w:val="18"/>
                <w:szCs w:val="18"/>
                <w:lang w:val="en-AU" w:eastAsia="en-AU" w:bidi="ar-SA"/>
              </w:rPr>
              <w:t>Low Isles</w:t>
            </w:r>
          </w:p>
        </w:tc>
        <w:tc>
          <w:tcPr>
            <w:tcW w:w="674" w:type="pct"/>
            <w:tcBorders>
              <w:top w:val="single" w:sz="4" w:space="0" w:color="auto"/>
            </w:tcBorders>
            <w:shd w:val="clear" w:color="000000" w:fill="FFFFFF"/>
            <w:vAlign w:val="center"/>
            <w:hideMark/>
          </w:tcPr>
          <w:p w14:paraId="0C769762"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tcBorders>
              <w:top w:val="single" w:sz="4" w:space="0" w:color="auto"/>
            </w:tcBorders>
            <w:shd w:val="clear" w:color="000000" w:fill="FFFFFF"/>
            <w:vAlign w:val="center"/>
            <w:hideMark/>
          </w:tcPr>
          <w:p w14:paraId="3C9A3323"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4" w:type="pct"/>
            <w:tcBorders>
              <w:top w:val="single" w:sz="4" w:space="0" w:color="auto"/>
            </w:tcBorders>
            <w:shd w:val="clear" w:color="000000" w:fill="FFFFFF"/>
            <w:vAlign w:val="center"/>
            <w:hideMark/>
          </w:tcPr>
          <w:p w14:paraId="02A8A9D3"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tcBorders>
              <w:top w:val="single" w:sz="4" w:space="0" w:color="auto"/>
            </w:tcBorders>
            <w:shd w:val="clear" w:color="000000" w:fill="FFFFFF"/>
            <w:vAlign w:val="center"/>
            <w:hideMark/>
          </w:tcPr>
          <w:p w14:paraId="1B87AA8B"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r>
      <w:tr w:rsidR="0052323E" w:rsidRPr="002B763D" w14:paraId="074D6991" w14:textId="77777777" w:rsidTr="0024078C">
        <w:trPr>
          <w:trHeight w:val="340"/>
        </w:trPr>
        <w:tc>
          <w:tcPr>
            <w:tcW w:w="1020" w:type="pct"/>
            <w:vMerge/>
            <w:vAlign w:val="center"/>
            <w:hideMark/>
          </w:tcPr>
          <w:p w14:paraId="0E004C29" w14:textId="77777777" w:rsidR="0052323E" w:rsidRPr="00503D38" w:rsidRDefault="0052323E" w:rsidP="002439C8">
            <w:pPr>
              <w:jc w:val="left"/>
              <w:rPr>
                <w:rFonts w:eastAsia="Times New Roman" w:cs="Arial"/>
                <w:b/>
                <w:bCs/>
                <w:sz w:val="18"/>
                <w:szCs w:val="18"/>
                <w:lang w:val="en-AU" w:eastAsia="en-AU" w:bidi="ar-SA"/>
              </w:rPr>
            </w:pPr>
          </w:p>
        </w:tc>
        <w:tc>
          <w:tcPr>
            <w:tcW w:w="1282" w:type="pct"/>
            <w:shd w:val="clear" w:color="000000" w:fill="FFFFFF"/>
            <w:vAlign w:val="center"/>
            <w:hideMark/>
          </w:tcPr>
          <w:p w14:paraId="3C766D7A" w14:textId="77777777" w:rsidR="0052323E" w:rsidRPr="00332BFF" w:rsidRDefault="0052323E" w:rsidP="002439C8">
            <w:pPr>
              <w:jc w:val="left"/>
              <w:rPr>
                <w:rFonts w:eastAsia="Times New Roman" w:cs="Arial"/>
                <w:sz w:val="18"/>
                <w:szCs w:val="18"/>
                <w:lang w:val="en-AU" w:eastAsia="en-AU" w:bidi="ar-SA"/>
              </w:rPr>
            </w:pPr>
            <w:r w:rsidRPr="00503D38">
              <w:rPr>
                <w:rFonts w:eastAsia="Times New Roman" w:cs="Arial"/>
                <w:sz w:val="18"/>
                <w:szCs w:val="18"/>
                <w:lang w:val="en-AU" w:eastAsia="en-AU" w:bidi="ar-SA"/>
              </w:rPr>
              <w:t>High Island</w:t>
            </w:r>
            <w:r w:rsidRPr="00332BFF">
              <w:rPr>
                <w:rFonts w:eastAsia="Times New Roman" w:cs="Arial"/>
                <w:sz w:val="18"/>
                <w:szCs w:val="18"/>
                <w:lang w:val="en-AU" w:eastAsia="en-AU" w:bidi="ar-SA"/>
              </w:rPr>
              <w:t xml:space="preserve"> </w:t>
            </w:r>
          </w:p>
        </w:tc>
        <w:tc>
          <w:tcPr>
            <w:tcW w:w="674" w:type="pct"/>
            <w:shd w:val="clear" w:color="000000" w:fill="FFFFFF"/>
            <w:vAlign w:val="center"/>
            <w:hideMark/>
          </w:tcPr>
          <w:p w14:paraId="2652BE15"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shd w:val="clear" w:color="000000" w:fill="FFFFFF"/>
            <w:vAlign w:val="center"/>
            <w:hideMark/>
          </w:tcPr>
          <w:p w14:paraId="4F530086"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4" w:type="pct"/>
            <w:shd w:val="clear" w:color="000000" w:fill="FFFFFF"/>
            <w:vAlign w:val="center"/>
            <w:hideMark/>
          </w:tcPr>
          <w:p w14:paraId="3E47E6CD"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shd w:val="clear" w:color="000000" w:fill="FFFFFF"/>
            <w:vAlign w:val="center"/>
            <w:hideMark/>
          </w:tcPr>
          <w:p w14:paraId="676E234F"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r>
      <w:tr w:rsidR="0052323E" w:rsidRPr="002B763D" w14:paraId="1FE47EA7" w14:textId="77777777" w:rsidTr="0024078C">
        <w:trPr>
          <w:trHeight w:val="340"/>
        </w:trPr>
        <w:tc>
          <w:tcPr>
            <w:tcW w:w="1020" w:type="pct"/>
            <w:vMerge/>
            <w:vAlign w:val="center"/>
            <w:hideMark/>
          </w:tcPr>
          <w:p w14:paraId="3FD78750" w14:textId="77777777" w:rsidR="0052323E" w:rsidRPr="00503D38" w:rsidRDefault="0052323E" w:rsidP="002439C8">
            <w:pPr>
              <w:jc w:val="left"/>
              <w:rPr>
                <w:rFonts w:eastAsia="Times New Roman" w:cs="Arial"/>
                <w:b/>
                <w:bCs/>
                <w:sz w:val="18"/>
                <w:szCs w:val="18"/>
                <w:lang w:val="en-AU" w:eastAsia="en-AU" w:bidi="ar-SA"/>
              </w:rPr>
            </w:pPr>
          </w:p>
        </w:tc>
        <w:tc>
          <w:tcPr>
            <w:tcW w:w="1282" w:type="pct"/>
            <w:shd w:val="clear" w:color="000000" w:fill="FFFFFF"/>
            <w:vAlign w:val="center"/>
            <w:hideMark/>
          </w:tcPr>
          <w:p w14:paraId="4A6EE546" w14:textId="77777777" w:rsidR="0052323E" w:rsidRPr="00503D38" w:rsidRDefault="0052323E" w:rsidP="002439C8">
            <w:pPr>
              <w:jc w:val="left"/>
              <w:rPr>
                <w:rFonts w:eastAsia="Times New Roman" w:cs="Arial"/>
                <w:sz w:val="18"/>
                <w:szCs w:val="18"/>
                <w:lang w:val="en-AU" w:eastAsia="en-AU" w:bidi="ar-SA"/>
              </w:rPr>
            </w:pPr>
            <w:r w:rsidRPr="00332BFF">
              <w:rPr>
                <w:rFonts w:eastAsia="Times New Roman" w:cs="Arial"/>
                <w:sz w:val="18"/>
                <w:szCs w:val="18"/>
                <w:lang w:val="en-AU" w:eastAsia="en-AU" w:bidi="ar-SA"/>
              </w:rPr>
              <w:t>Normanby Island</w:t>
            </w:r>
          </w:p>
        </w:tc>
        <w:tc>
          <w:tcPr>
            <w:tcW w:w="674" w:type="pct"/>
            <w:shd w:val="clear" w:color="000000" w:fill="FFFFFF"/>
            <w:vAlign w:val="center"/>
            <w:hideMark/>
          </w:tcPr>
          <w:p w14:paraId="1B5E86C6"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shd w:val="clear" w:color="000000" w:fill="FFFFFF"/>
            <w:vAlign w:val="center"/>
            <w:hideMark/>
          </w:tcPr>
          <w:p w14:paraId="14651354" w14:textId="77777777" w:rsidR="0052323E" w:rsidRPr="00503D38" w:rsidRDefault="00A33F20"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4" w:type="pct"/>
            <w:shd w:val="clear" w:color="000000" w:fill="FFFFFF"/>
            <w:vAlign w:val="center"/>
            <w:hideMark/>
          </w:tcPr>
          <w:p w14:paraId="04A3363E"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shd w:val="clear" w:color="000000" w:fill="FFFFFF"/>
            <w:vAlign w:val="center"/>
            <w:hideMark/>
          </w:tcPr>
          <w:p w14:paraId="046488E5"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r>
      <w:tr w:rsidR="0052323E" w:rsidRPr="002B763D" w14:paraId="0C67F9FB" w14:textId="77777777" w:rsidTr="0024078C">
        <w:trPr>
          <w:trHeight w:val="340"/>
        </w:trPr>
        <w:tc>
          <w:tcPr>
            <w:tcW w:w="1020" w:type="pct"/>
            <w:vMerge/>
            <w:vAlign w:val="center"/>
            <w:hideMark/>
          </w:tcPr>
          <w:p w14:paraId="1BDB8EC2" w14:textId="77777777" w:rsidR="0052323E" w:rsidRPr="00503D38" w:rsidRDefault="0052323E" w:rsidP="002439C8">
            <w:pPr>
              <w:jc w:val="left"/>
              <w:rPr>
                <w:rFonts w:eastAsia="Times New Roman" w:cs="Arial"/>
                <w:b/>
                <w:bCs/>
                <w:sz w:val="18"/>
                <w:szCs w:val="18"/>
                <w:lang w:val="en-AU" w:eastAsia="en-AU" w:bidi="ar-SA"/>
              </w:rPr>
            </w:pPr>
          </w:p>
        </w:tc>
        <w:tc>
          <w:tcPr>
            <w:tcW w:w="1282" w:type="pct"/>
            <w:shd w:val="clear" w:color="000000" w:fill="FFFFFF"/>
            <w:vAlign w:val="center"/>
            <w:hideMark/>
          </w:tcPr>
          <w:p w14:paraId="510063E5" w14:textId="77777777" w:rsidR="0052323E" w:rsidRPr="00503D38" w:rsidRDefault="0052323E" w:rsidP="002439C8">
            <w:pPr>
              <w:jc w:val="left"/>
              <w:rPr>
                <w:rFonts w:eastAsia="Times New Roman" w:cs="Arial"/>
                <w:sz w:val="18"/>
                <w:szCs w:val="18"/>
                <w:lang w:val="en-AU" w:eastAsia="en-AU" w:bidi="ar-SA"/>
              </w:rPr>
            </w:pPr>
            <w:r w:rsidRPr="00503D38">
              <w:rPr>
                <w:rFonts w:eastAsia="Times New Roman" w:cs="Arial"/>
                <w:sz w:val="18"/>
                <w:szCs w:val="18"/>
                <w:lang w:val="en-AU" w:eastAsia="en-AU" w:bidi="ar-SA"/>
              </w:rPr>
              <w:t>Dunk Island</w:t>
            </w:r>
          </w:p>
        </w:tc>
        <w:tc>
          <w:tcPr>
            <w:tcW w:w="674" w:type="pct"/>
            <w:shd w:val="clear" w:color="000000" w:fill="FFFFFF"/>
            <w:vAlign w:val="center"/>
            <w:hideMark/>
          </w:tcPr>
          <w:p w14:paraId="1705239B"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shd w:val="clear" w:color="000000" w:fill="FFFFFF"/>
            <w:vAlign w:val="center"/>
            <w:hideMark/>
          </w:tcPr>
          <w:p w14:paraId="3B33BBDD"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4" w:type="pct"/>
            <w:shd w:val="clear" w:color="000000" w:fill="FFFFFF"/>
            <w:vAlign w:val="center"/>
            <w:hideMark/>
          </w:tcPr>
          <w:p w14:paraId="4ABADCDC"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shd w:val="clear" w:color="000000" w:fill="FFFFFF"/>
            <w:vAlign w:val="center"/>
            <w:hideMark/>
          </w:tcPr>
          <w:p w14:paraId="7DB7BA03"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r>
      <w:tr w:rsidR="0052323E" w:rsidRPr="002B763D" w14:paraId="5A5BC22B" w14:textId="77777777" w:rsidTr="0024078C">
        <w:trPr>
          <w:trHeight w:val="340"/>
        </w:trPr>
        <w:tc>
          <w:tcPr>
            <w:tcW w:w="1020" w:type="pct"/>
            <w:vMerge/>
            <w:tcBorders>
              <w:bottom w:val="single" w:sz="4" w:space="0" w:color="auto"/>
            </w:tcBorders>
            <w:shd w:val="clear" w:color="000000" w:fill="FFFFFF"/>
            <w:vAlign w:val="center"/>
            <w:hideMark/>
          </w:tcPr>
          <w:p w14:paraId="0BEDD373" w14:textId="77777777" w:rsidR="0052323E" w:rsidRPr="00503D38" w:rsidRDefault="0052323E" w:rsidP="002439C8">
            <w:pPr>
              <w:jc w:val="left"/>
              <w:rPr>
                <w:rFonts w:eastAsia="Times New Roman" w:cs="Arial"/>
                <w:b/>
                <w:bCs/>
                <w:sz w:val="18"/>
                <w:szCs w:val="18"/>
                <w:lang w:val="en-AU" w:eastAsia="en-AU" w:bidi="ar-SA"/>
              </w:rPr>
            </w:pPr>
          </w:p>
        </w:tc>
        <w:tc>
          <w:tcPr>
            <w:tcW w:w="1282" w:type="pct"/>
            <w:tcBorders>
              <w:bottom w:val="single" w:sz="4" w:space="0" w:color="auto"/>
            </w:tcBorders>
            <w:shd w:val="clear" w:color="000000" w:fill="FFFFFF"/>
            <w:vAlign w:val="center"/>
            <w:hideMark/>
          </w:tcPr>
          <w:p w14:paraId="3DD59E45" w14:textId="77777777" w:rsidR="0052323E" w:rsidRPr="00503D38" w:rsidRDefault="0052323E" w:rsidP="002439C8">
            <w:pPr>
              <w:jc w:val="left"/>
              <w:rPr>
                <w:rFonts w:eastAsia="Times New Roman" w:cs="Arial"/>
                <w:sz w:val="18"/>
                <w:szCs w:val="18"/>
                <w:lang w:val="en-AU" w:eastAsia="en-AU" w:bidi="ar-SA"/>
              </w:rPr>
            </w:pPr>
            <w:r w:rsidRPr="00503D38">
              <w:rPr>
                <w:rFonts w:eastAsia="Times New Roman" w:cs="Arial"/>
                <w:sz w:val="18"/>
                <w:szCs w:val="18"/>
                <w:lang w:val="en-AU" w:eastAsia="en-AU" w:bidi="ar-SA"/>
              </w:rPr>
              <w:t>Lucinda</w:t>
            </w:r>
          </w:p>
        </w:tc>
        <w:tc>
          <w:tcPr>
            <w:tcW w:w="674" w:type="pct"/>
            <w:tcBorders>
              <w:bottom w:val="single" w:sz="4" w:space="0" w:color="auto"/>
            </w:tcBorders>
            <w:shd w:val="clear" w:color="000000" w:fill="FFFFFF"/>
            <w:vAlign w:val="center"/>
            <w:hideMark/>
          </w:tcPr>
          <w:p w14:paraId="47259F72"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tcBorders>
              <w:bottom w:val="single" w:sz="4" w:space="0" w:color="auto"/>
            </w:tcBorders>
            <w:shd w:val="clear" w:color="000000" w:fill="FFFFFF"/>
            <w:vAlign w:val="center"/>
            <w:hideMark/>
          </w:tcPr>
          <w:p w14:paraId="0962C537"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4" w:type="pct"/>
            <w:tcBorders>
              <w:bottom w:val="single" w:sz="4" w:space="0" w:color="auto"/>
            </w:tcBorders>
            <w:shd w:val="clear" w:color="000000" w:fill="FFFFFF"/>
            <w:vAlign w:val="center"/>
            <w:hideMark/>
          </w:tcPr>
          <w:p w14:paraId="2D347891"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tcBorders>
              <w:bottom w:val="single" w:sz="4" w:space="0" w:color="auto"/>
            </w:tcBorders>
            <w:shd w:val="clear" w:color="000000" w:fill="FFFFFF"/>
            <w:vAlign w:val="center"/>
            <w:hideMark/>
          </w:tcPr>
          <w:p w14:paraId="5102253F"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r>
      <w:tr w:rsidR="0052323E" w:rsidRPr="002B763D" w14:paraId="70A9110C" w14:textId="77777777" w:rsidTr="0024078C">
        <w:trPr>
          <w:trHeight w:val="340"/>
        </w:trPr>
        <w:tc>
          <w:tcPr>
            <w:tcW w:w="1020" w:type="pct"/>
            <w:tcBorders>
              <w:top w:val="single" w:sz="4" w:space="0" w:color="auto"/>
              <w:bottom w:val="single" w:sz="4" w:space="0" w:color="auto"/>
            </w:tcBorders>
            <w:shd w:val="clear" w:color="000000" w:fill="FFFFFF"/>
            <w:vAlign w:val="center"/>
            <w:hideMark/>
          </w:tcPr>
          <w:p w14:paraId="0D34D520" w14:textId="77777777" w:rsidR="0052323E" w:rsidRPr="00503D38" w:rsidRDefault="0052323E" w:rsidP="002439C8">
            <w:pPr>
              <w:jc w:val="left"/>
              <w:rPr>
                <w:rFonts w:eastAsia="Times New Roman" w:cs="Arial"/>
                <w:b/>
                <w:bCs/>
                <w:sz w:val="18"/>
                <w:szCs w:val="18"/>
                <w:lang w:val="en-AU" w:eastAsia="en-AU" w:bidi="ar-SA"/>
              </w:rPr>
            </w:pPr>
            <w:r w:rsidRPr="00503D38">
              <w:rPr>
                <w:rFonts w:eastAsia="Times New Roman" w:cs="Arial"/>
                <w:b/>
                <w:bCs/>
                <w:sz w:val="18"/>
                <w:szCs w:val="18"/>
                <w:lang w:val="en-AU" w:eastAsia="en-AU" w:bidi="ar-SA"/>
              </w:rPr>
              <w:t>Burdekin</w:t>
            </w:r>
          </w:p>
        </w:tc>
        <w:tc>
          <w:tcPr>
            <w:tcW w:w="1282" w:type="pct"/>
            <w:tcBorders>
              <w:top w:val="single" w:sz="4" w:space="0" w:color="auto"/>
              <w:bottom w:val="single" w:sz="4" w:space="0" w:color="auto"/>
            </w:tcBorders>
            <w:shd w:val="clear" w:color="000000" w:fill="FFFFFF"/>
            <w:vAlign w:val="center"/>
            <w:hideMark/>
          </w:tcPr>
          <w:p w14:paraId="3EE0D683" w14:textId="77777777" w:rsidR="0052323E" w:rsidRPr="00503D38" w:rsidRDefault="0052323E" w:rsidP="002439C8">
            <w:pPr>
              <w:jc w:val="left"/>
              <w:rPr>
                <w:rFonts w:eastAsia="Times New Roman" w:cs="Arial"/>
                <w:sz w:val="18"/>
                <w:szCs w:val="18"/>
                <w:lang w:val="en-AU" w:eastAsia="en-AU" w:bidi="ar-SA"/>
              </w:rPr>
            </w:pPr>
            <w:r w:rsidRPr="00503D38">
              <w:rPr>
                <w:rFonts w:eastAsia="Times New Roman" w:cs="Arial"/>
                <w:sz w:val="18"/>
                <w:szCs w:val="18"/>
                <w:lang w:val="en-AU" w:eastAsia="en-AU" w:bidi="ar-SA"/>
              </w:rPr>
              <w:t>Barratta Creek Mouth</w:t>
            </w:r>
          </w:p>
        </w:tc>
        <w:tc>
          <w:tcPr>
            <w:tcW w:w="674" w:type="pct"/>
            <w:tcBorders>
              <w:top w:val="single" w:sz="4" w:space="0" w:color="auto"/>
              <w:bottom w:val="single" w:sz="4" w:space="0" w:color="auto"/>
            </w:tcBorders>
            <w:shd w:val="clear" w:color="000000" w:fill="FFFFFF"/>
            <w:vAlign w:val="center"/>
            <w:hideMark/>
          </w:tcPr>
          <w:p w14:paraId="529227AC"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tcBorders>
              <w:top w:val="single" w:sz="4" w:space="0" w:color="auto"/>
              <w:bottom w:val="single" w:sz="4" w:space="0" w:color="auto"/>
            </w:tcBorders>
            <w:shd w:val="clear" w:color="000000" w:fill="FFFFFF"/>
            <w:vAlign w:val="center"/>
            <w:hideMark/>
          </w:tcPr>
          <w:p w14:paraId="4C08C148"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4" w:type="pct"/>
            <w:tcBorders>
              <w:top w:val="single" w:sz="4" w:space="0" w:color="auto"/>
              <w:bottom w:val="single" w:sz="4" w:space="0" w:color="auto"/>
            </w:tcBorders>
            <w:shd w:val="clear" w:color="000000" w:fill="FFFFFF"/>
            <w:vAlign w:val="center"/>
            <w:hideMark/>
          </w:tcPr>
          <w:p w14:paraId="06EBD228"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tcBorders>
              <w:top w:val="single" w:sz="4" w:space="0" w:color="auto"/>
              <w:bottom w:val="single" w:sz="4" w:space="0" w:color="auto"/>
            </w:tcBorders>
            <w:shd w:val="clear" w:color="000000" w:fill="FFFFFF"/>
            <w:vAlign w:val="center"/>
            <w:hideMark/>
          </w:tcPr>
          <w:p w14:paraId="1FEA0AB2"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r>
      <w:tr w:rsidR="0052323E" w:rsidRPr="002B763D" w14:paraId="370C24F7" w14:textId="77777777" w:rsidTr="0024078C">
        <w:trPr>
          <w:trHeight w:val="340"/>
        </w:trPr>
        <w:tc>
          <w:tcPr>
            <w:tcW w:w="1020" w:type="pct"/>
            <w:vMerge w:val="restart"/>
            <w:tcBorders>
              <w:top w:val="single" w:sz="4" w:space="0" w:color="auto"/>
            </w:tcBorders>
            <w:shd w:val="clear" w:color="000000" w:fill="FFFFFF"/>
            <w:vAlign w:val="center"/>
            <w:hideMark/>
          </w:tcPr>
          <w:p w14:paraId="20FFF704" w14:textId="77777777" w:rsidR="0052323E" w:rsidRPr="00503D38" w:rsidRDefault="0052323E" w:rsidP="002439C8">
            <w:pPr>
              <w:jc w:val="left"/>
              <w:rPr>
                <w:rFonts w:eastAsia="Times New Roman" w:cs="Arial"/>
                <w:b/>
                <w:bCs/>
                <w:sz w:val="18"/>
                <w:szCs w:val="18"/>
                <w:lang w:val="en-AU" w:eastAsia="en-AU" w:bidi="ar-SA"/>
              </w:rPr>
            </w:pPr>
            <w:r w:rsidRPr="00503D38">
              <w:rPr>
                <w:rFonts w:eastAsia="Times New Roman" w:cs="Arial"/>
                <w:b/>
                <w:bCs/>
                <w:sz w:val="18"/>
                <w:szCs w:val="18"/>
                <w:lang w:val="en-AU" w:eastAsia="en-AU" w:bidi="ar-SA"/>
              </w:rPr>
              <w:t>Mackay Whitsunday</w:t>
            </w:r>
          </w:p>
        </w:tc>
        <w:tc>
          <w:tcPr>
            <w:tcW w:w="1282" w:type="pct"/>
            <w:tcBorders>
              <w:top w:val="single" w:sz="4" w:space="0" w:color="auto"/>
            </w:tcBorders>
            <w:shd w:val="clear" w:color="000000" w:fill="FFFFFF"/>
            <w:vAlign w:val="center"/>
            <w:hideMark/>
          </w:tcPr>
          <w:p w14:paraId="16B41F76" w14:textId="77777777" w:rsidR="0052323E" w:rsidRPr="00503D38" w:rsidRDefault="0052323E" w:rsidP="002439C8">
            <w:pPr>
              <w:jc w:val="left"/>
              <w:rPr>
                <w:rFonts w:eastAsia="Times New Roman" w:cs="Arial"/>
                <w:sz w:val="18"/>
                <w:szCs w:val="18"/>
                <w:lang w:val="en-AU" w:eastAsia="en-AU" w:bidi="ar-SA"/>
              </w:rPr>
            </w:pPr>
            <w:r w:rsidRPr="00503D38">
              <w:rPr>
                <w:rFonts w:eastAsia="Times New Roman" w:cs="Arial"/>
                <w:sz w:val="18"/>
                <w:szCs w:val="18"/>
                <w:lang w:val="en-AU" w:eastAsia="en-AU" w:bidi="ar-SA"/>
              </w:rPr>
              <w:t>Repulse Bay</w:t>
            </w:r>
          </w:p>
        </w:tc>
        <w:tc>
          <w:tcPr>
            <w:tcW w:w="674" w:type="pct"/>
            <w:tcBorders>
              <w:top w:val="single" w:sz="4" w:space="0" w:color="auto"/>
            </w:tcBorders>
            <w:shd w:val="clear" w:color="000000" w:fill="FFFFFF"/>
            <w:vAlign w:val="center"/>
            <w:hideMark/>
          </w:tcPr>
          <w:p w14:paraId="17279E87"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tcBorders>
              <w:top w:val="single" w:sz="4" w:space="0" w:color="auto"/>
            </w:tcBorders>
            <w:shd w:val="clear" w:color="000000" w:fill="FFFFFF"/>
            <w:vAlign w:val="center"/>
            <w:hideMark/>
          </w:tcPr>
          <w:p w14:paraId="65F95E68"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4" w:type="pct"/>
            <w:tcBorders>
              <w:top w:val="single" w:sz="4" w:space="0" w:color="auto"/>
            </w:tcBorders>
            <w:shd w:val="clear" w:color="000000" w:fill="FFFFFF"/>
            <w:vAlign w:val="center"/>
            <w:hideMark/>
          </w:tcPr>
          <w:p w14:paraId="2AA7B2EB"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tcBorders>
              <w:top w:val="single" w:sz="4" w:space="0" w:color="auto"/>
            </w:tcBorders>
            <w:shd w:val="clear" w:color="000000" w:fill="FFFFFF"/>
            <w:vAlign w:val="center"/>
            <w:hideMark/>
          </w:tcPr>
          <w:p w14:paraId="7E87B3DD"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r>
      <w:tr w:rsidR="0052323E" w:rsidRPr="002B763D" w14:paraId="56DF697A" w14:textId="77777777" w:rsidTr="0024078C">
        <w:trPr>
          <w:trHeight w:val="340"/>
        </w:trPr>
        <w:tc>
          <w:tcPr>
            <w:tcW w:w="1020" w:type="pct"/>
            <w:vMerge/>
            <w:vAlign w:val="center"/>
            <w:hideMark/>
          </w:tcPr>
          <w:p w14:paraId="67F2DEFC" w14:textId="77777777" w:rsidR="0052323E" w:rsidRPr="00503D38" w:rsidRDefault="0052323E" w:rsidP="002439C8">
            <w:pPr>
              <w:jc w:val="left"/>
              <w:rPr>
                <w:rFonts w:eastAsia="Times New Roman" w:cs="Arial"/>
                <w:b/>
                <w:bCs/>
                <w:sz w:val="18"/>
                <w:szCs w:val="18"/>
                <w:lang w:val="en-AU" w:eastAsia="en-AU" w:bidi="ar-SA"/>
              </w:rPr>
            </w:pPr>
          </w:p>
        </w:tc>
        <w:tc>
          <w:tcPr>
            <w:tcW w:w="1282" w:type="pct"/>
            <w:shd w:val="clear" w:color="000000" w:fill="FFFFFF"/>
            <w:vAlign w:val="center"/>
            <w:hideMark/>
          </w:tcPr>
          <w:p w14:paraId="6B615FC8" w14:textId="77777777" w:rsidR="0052323E" w:rsidRPr="00503D38" w:rsidRDefault="0052323E" w:rsidP="002439C8">
            <w:pPr>
              <w:jc w:val="left"/>
              <w:rPr>
                <w:rFonts w:eastAsia="Times New Roman" w:cs="Arial"/>
                <w:sz w:val="18"/>
                <w:szCs w:val="18"/>
                <w:lang w:val="en-AU" w:eastAsia="en-AU" w:bidi="ar-SA"/>
              </w:rPr>
            </w:pPr>
            <w:r w:rsidRPr="00503D38">
              <w:rPr>
                <w:rFonts w:eastAsia="Times New Roman" w:cs="Arial"/>
                <w:sz w:val="18"/>
                <w:szCs w:val="18"/>
                <w:lang w:val="en-AU" w:eastAsia="en-AU" w:bidi="ar-SA"/>
              </w:rPr>
              <w:t>Round Top Island</w:t>
            </w:r>
          </w:p>
        </w:tc>
        <w:tc>
          <w:tcPr>
            <w:tcW w:w="674" w:type="pct"/>
            <w:shd w:val="clear" w:color="000000" w:fill="FFFFFF"/>
            <w:vAlign w:val="center"/>
            <w:hideMark/>
          </w:tcPr>
          <w:p w14:paraId="11A46DA0"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shd w:val="clear" w:color="000000" w:fill="FFFFFF"/>
            <w:vAlign w:val="center"/>
            <w:hideMark/>
          </w:tcPr>
          <w:p w14:paraId="6C0E513D"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4" w:type="pct"/>
            <w:shd w:val="clear" w:color="000000" w:fill="FFFFFF"/>
            <w:vAlign w:val="center"/>
            <w:hideMark/>
          </w:tcPr>
          <w:p w14:paraId="7C4F8140"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shd w:val="clear" w:color="000000" w:fill="FFFFFF"/>
            <w:vAlign w:val="center"/>
            <w:hideMark/>
          </w:tcPr>
          <w:p w14:paraId="111E6A44"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r>
      <w:tr w:rsidR="0052323E" w:rsidRPr="002B763D" w14:paraId="48354629" w14:textId="77777777" w:rsidTr="0024078C">
        <w:trPr>
          <w:trHeight w:val="340"/>
        </w:trPr>
        <w:tc>
          <w:tcPr>
            <w:tcW w:w="1020" w:type="pct"/>
            <w:vMerge/>
            <w:vAlign w:val="center"/>
            <w:hideMark/>
          </w:tcPr>
          <w:p w14:paraId="53DE3EB1" w14:textId="77777777" w:rsidR="0052323E" w:rsidRPr="00503D38" w:rsidRDefault="0052323E" w:rsidP="002439C8">
            <w:pPr>
              <w:jc w:val="left"/>
              <w:rPr>
                <w:rFonts w:eastAsia="Times New Roman" w:cs="Arial"/>
                <w:b/>
                <w:bCs/>
                <w:sz w:val="18"/>
                <w:szCs w:val="18"/>
                <w:lang w:val="en-AU" w:eastAsia="en-AU" w:bidi="ar-SA"/>
              </w:rPr>
            </w:pPr>
          </w:p>
        </w:tc>
        <w:tc>
          <w:tcPr>
            <w:tcW w:w="1282" w:type="pct"/>
            <w:shd w:val="clear" w:color="000000" w:fill="FFFFFF"/>
            <w:vAlign w:val="center"/>
            <w:hideMark/>
          </w:tcPr>
          <w:p w14:paraId="1017F02F" w14:textId="77777777" w:rsidR="0052323E" w:rsidRPr="00503D38" w:rsidRDefault="0052323E" w:rsidP="002439C8">
            <w:pPr>
              <w:jc w:val="left"/>
              <w:rPr>
                <w:rFonts w:eastAsia="Times New Roman" w:cs="Arial"/>
                <w:sz w:val="18"/>
                <w:szCs w:val="18"/>
                <w:lang w:val="en-AU" w:eastAsia="en-AU" w:bidi="ar-SA"/>
              </w:rPr>
            </w:pPr>
            <w:r w:rsidRPr="00503D38">
              <w:rPr>
                <w:rFonts w:eastAsia="Times New Roman" w:cs="Arial"/>
                <w:sz w:val="18"/>
                <w:szCs w:val="18"/>
                <w:lang w:val="en-AU" w:eastAsia="en-AU" w:bidi="ar-SA"/>
              </w:rPr>
              <w:t>Sandy Creek</w:t>
            </w:r>
          </w:p>
        </w:tc>
        <w:tc>
          <w:tcPr>
            <w:tcW w:w="674" w:type="pct"/>
            <w:shd w:val="clear" w:color="000000" w:fill="FFFFFF"/>
            <w:vAlign w:val="center"/>
            <w:hideMark/>
          </w:tcPr>
          <w:p w14:paraId="0165F36D"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shd w:val="clear" w:color="000000" w:fill="FFFFFF"/>
            <w:vAlign w:val="center"/>
            <w:hideMark/>
          </w:tcPr>
          <w:p w14:paraId="3F38407D"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4" w:type="pct"/>
            <w:shd w:val="clear" w:color="000000" w:fill="FFFFFF"/>
            <w:vAlign w:val="center"/>
            <w:hideMark/>
          </w:tcPr>
          <w:p w14:paraId="6C0ED579"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shd w:val="clear" w:color="000000" w:fill="FFFFFF"/>
            <w:vAlign w:val="center"/>
            <w:hideMark/>
          </w:tcPr>
          <w:p w14:paraId="10207500"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r>
      <w:tr w:rsidR="0052323E" w:rsidRPr="002B763D" w14:paraId="1307D48A" w14:textId="77777777" w:rsidTr="0024078C">
        <w:trPr>
          <w:trHeight w:val="340"/>
        </w:trPr>
        <w:tc>
          <w:tcPr>
            <w:tcW w:w="1020" w:type="pct"/>
            <w:vMerge/>
            <w:tcBorders>
              <w:bottom w:val="single" w:sz="4" w:space="0" w:color="auto"/>
            </w:tcBorders>
            <w:vAlign w:val="center"/>
            <w:hideMark/>
          </w:tcPr>
          <w:p w14:paraId="3ED15F79" w14:textId="77777777" w:rsidR="0052323E" w:rsidRPr="00503D38" w:rsidRDefault="0052323E" w:rsidP="002439C8">
            <w:pPr>
              <w:jc w:val="left"/>
              <w:rPr>
                <w:rFonts w:eastAsia="Times New Roman" w:cs="Arial"/>
                <w:b/>
                <w:bCs/>
                <w:sz w:val="18"/>
                <w:szCs w:val="18"/>
                <w:lang w:val="en-AU" w:eastAsia="en-AU" w:bidi="ar-SA"/>
              </w:rPr>
            </w:pPr>
          </w:p>
        </w:tc>
        <w:tc>
          <w:tcPr>
            <w:tcW w:w="1282" w:type="pct"/>
            <w:tcBorders>
              <w:bottom w:val="single" w:sz="4" w:space="0" w:color="auto"/>
            </w:tcBorders>
            <w:shd w:val="clear" w:color="000000" w:fill="FFFFFF"/>
            <w:vAlign w:val="center"/>
            <w:hideMark/>
          </w:tcPr>
          <w:p w14:paraId="014870DD" w14:textId="77777777" w:rsidR="0052323E" w:rsidRPr="00503D38" w:rsidRDefault="0052323E" w:rsidP="002439C8">
            <w:pPr>
              <w:jc w:val="left"/>
              <w:rPr>
                <w:rFonts w:eastAsia="Times New Roman" w:cs="Arial"/>
                <w:sz w:val="18"/>
                <w:szCs w:val="18"/>
                <w:lang w:val="en-AU" w:eastAsia="en-AU" w:bidi="ar-SA"/>
              </w:rPr>
            </w:pPr>
            <w:r w:rsidRPr="00503D38">
              <w:rPr>
                <w:rFonts w:eastAsia="Times New Roman" w:cs="Arial"/>
                <w:sz w:val="18"/>
                <w:szCs w:val="18"/>
                <w:lang w:val="en-AU" w:eastAsia="en-AU" w:bidi="ar-SA"/>
              </w:rPr>
              <w:t>Sarina Inlet</w:t>
            </w:r>
          </w:p>
        </w:tc>
        <w:tc>
          <w:tcPr>
            <w:tcW w:w="674" w:type="pct"/>
            <w:tcBorders>
              <w:bottom w:val="single" w:sz="4" w:space="0" w:color="auto"/>
            </w:tcBorders>
            <w:shd w:val="clear" w:color="000000" w:fill="FFFFFF"/>
            <w:vAlign w:val="center"/>
            <w:hideMark/>
          </w:tcPr>
          <w:p w14:paraId="531E81D6"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tcBorders>
              <w:bottom w:val="single" w:sz="4" w:space="0" w:color="auto"/>
            </w:tcBorders>
            <w:shd w:val="clear" w:color="000000" w:fill="FFFFFF"/>
            <w:vAlign w:val="center"/>
            <w:hideMark/>
          </w:tcPr>
          <w:p w14:paraId="5467C762"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4" w:type="pct"/>
            <w:tcBorders>
              <w:bottom w:val="single" w:sz="4" w:space="0" w:color="auto"/>
            </w:tcBorders>
            <w:shd w:val="clear" w:color="000000" w:fill="FFFFFF"/>
            <w:vAlign w:val="center"/>
            <w:hideMark/>
          </w:tcPr>
          <w:p w14:paraId="2C58DB56"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tcBorders>
              <w:bottom w:val="single" w:sz="4" w:space="0" w:color="auto"/>
            </w:tcBorders>
            <w:shd w:val="clear" w:color="000000" w:fill="FFFFFF"/>
            <w:vAlign w:val="center"/>
            <w:hideMark/>
          </w:tcPr>
          <w:p w14:paraId="67E338D3" w14:textId="77777777" w:rsidR="0052323E" w:rsidRPr="00503D38" w:rsidRDefault="00A33F20"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r>
      <w:tr w:rsidR="0052323E" w:rsidRPr="002B763D" w14:paraId="1539A398" w14:textId="77777777" w:rsidTr="0024078C">
        <w:trPr>
          <w:trHeight w:val="340"/>
        </w:trPr>
        <w:tc>
          <w:tcPr>
            <w:tcW w:w="1020" w:type="pct"/>
            <w:tcBorders>
              <w:top w:val="single" w:sz="4" w:space="0" w:color="auto"/>
              <w:bottom w:val="single" w:sz="4" w:space="0" w:color="auto"/>
            </w:tcBorders>
            <w:shd w:val="clear" w:color="000000" w:fill="FFFFFF"/>
            <w:vAlign w:val="center"/>
            <w:hideMark/>
          </w:tcPr>
          <w:p w14:paraId="2E717C77" w14:textId="77777777" w:rsidR="0052323E" w:rsidRPr="00503D38" w:rsidRDefault="0052323E" w:rsidP="002439C8">
            <w:pPr>
              <w:jc w:val="left"/>
              <w:rPr>
                <w:rFonts w:eastAsia="Times New Roman" w:cs="Arial"/>
                <w:b/>
                <w:bCs/>
                <w:sz w:val="18"/>
                <w:szCs w:val="18"/>
                <w:lang w:val="en-AU" w:eastAsia="en-AU" w:bidi="ar-SA"/>
              </w:rPr>
            </w:pPr>
            <w:r w:rsidRPr="00503D38">
              <w:rPr>
                <w:rFonts w:eastAsia="Times New Roman" w:cs="Arial"/>
                <w:b/>
                <w:bCs/>
                <w:sz w:val="18"/>
                <w:szCs w:val="18"/>
                <w:lang w:val="en-AU" w:eastAsia="en-AU" w:bidi="ar-SA"/>
              </w:rPr>
              <w:t>Fitzroy</w:t>
            </w:r>
          </w:p>
        </w:tc>
        <w:tc>
          <w:tcPr>
            <w:tcW w:w="1282" w:type="pct"/>
            <w:tcBorders>
              <w:top w:val="single" w:sz="4" w:space="0" w:color="auto"/>
              <w:bottom w:val="single" w:sz="4" w:space="0" w:color="auto"/>
            </w:tcBorders>
            <w:shd w:val="clear" w:color="000000" w:fill="FFFFFF"/>
            <w:vAlign w:val="center"/>
            <w:hideMark/>
          </w:tcPr>
          <w:p w14:paraId="52C09BE6" w14:textId="77777777" w:rsidR="0052323E" w:rsidRPr="00503D38" w:rsidRDefault="0052323E" w:rsidP="002439C8">
            <w:pPr>
              <w:jc w:val="left"/>
              <w:rPr>
                <w:rFonts w:eastAsia="Times New Roman" w:cs="Arial"/>
                <w:sz w:val="18"/>
                <w:szCs w:val="18"/>
                <w:lang w:val="en-AU" w:eastAsia="en-AU" w:bidi="ar-SA"/>
              </w:rPr>
            </w:pPr>
            <w:r w:rsidRPr="00503D38">
              <w:rPr>
                <w:rFonts w:eastAsia="Times New Roman" w:cs="Arial"/>
                <w:sz w:val="18"/>
                <w:szCs w:val="18"/>
                <w:lang w:val="en-AU" w:eastAsia="en-AU" w:bidi="ar-SA"/>
              </w:rPr>
              <w:t>North Keppel Island</w:t>
            </w:r>
          </w:p>
        </w:tc>
        <w:tc>
          <w:tcPr>
            <w:tcW w:w="674" w:type="pct"/>
            <w:tcBorders>
              <w:top w:val="single" w:sz="4" w:space="0" w:color="auto"/>
              <w:bottom w:val="single" w:sz="4" w:space="0" w:color="auto"/>
            </w:tcBorders>
            <w:shd w:val="clear" w:color="000000" w:fill="FFFFFF"/>
            <w:vAlign w:val="center"/>
            <w:hideMark/>
          </w:tcPr>
          <w:p w14:paraId="4229A903"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tcBorders>
              <w:top w:val="single" w:sz="4" w:space="0" w:color="auto"/>
              <w:bottom w:val="single" w:sz="4" w:space="0" w:color="auto"/>
            </w:tcBorders>
            <w:shd w:val="clear" w:color="000000" w:fill="FFFFFF"/>
            <w:vAlign w:val="center"/>
            <w:hideMark/>
          </w:tcPr>
          <w:p w14:paraId="5345A57D"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4" w:type="pct"/>
            <w:tcBorders>
              <w:top w:val="single" w:sz="4" w:space="0" w:color="auto"/>
              <w:bottom w:val="single" w:sz="4" w:space="0" w:color="auto"/>
            </w:tcBorders>
            <w:shd w:val="clear" w:color="000000" w:fill="FFFFFF"/>
            <w:vAlign w:val="center"/>
            <w:hideMark/>
          </w:tcPr>
          <w:p w14:paraId="31EA9E9A"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c>
          <w:tcPr>
            <w:tcW w:w="675" w:type="pct"/>
            <w:tcBorders>
              <w:top w:val="single" w:sz="4" w:space="0" w:color="auto"/>
              <w:bottom w:val="single" w:sz="4" w:space="0" w:color="auto"/>
            </w:tcBorders>
            <w:shd w:val="clear" w:color="000000" w:fill="FFFFFF"/>
            <w:vAlign w:val="center"/>
            <w:hideMark/>
          </w:tcPr>
          <w:p w14:paraId="10D34CE5" w14:textId="77777777" w:rsidR="0052323E" w:rsidRPr="00503D38" w:rsidRDefault="0052323E" w:rsidP="002439C8">
            <w:pPr>
              <w:jc w:val="left"/>
              <w:rPr>
                <w:rFonts w:ascii="Wingdings" w:eastAsia="Times New Roman" w:hAnsi="Wingdings" w:cs="Times New Roman"/>
                <w:sz w:val="28"/>
                <w:szCs w:val="28"/>
                <w:lang w:val="en-AU" w:eastAsia="en-AU" w:bidi="ar-SA"/>
              </w:rPr>
            </w:pPr>
            <w:r w:rsidRPr="00503D38">
              <w:rPr>
                <w:rFonts w:ascii="Wingdings" w:eastAsia="Times New Roman" w:hAnsi="Wingdings" w:cs="Times New Roman"/>
                <w:sz w:val="28"/>
                <w:szCs w:val="28"/>
                <w:lang w:val="en-AU" w:eastAsia="en-AU" w:bidi="ar-SA"/>
              </w:rPr>
              <w:t></w:t>
            </w:r>
          </w:p>
        </w:tc>
      </w:tr>
    </w:tbl>
    <w:p w14:paraId="5F45ACBF" w14:textId="77777777" w:rsidR="00EC17CE" w:rsidRDefault="00EC17CE" w:rsidP="002439C8">
      <w:pPr>
        <w:spacing w:line="276" w:lineRule="auto"/>
        <w:jc w:val="left"/>
        <w:rPr>
          <w:lang w:val="en-AU"/>
        </w:rPr>
      </w:pPr>
    </w:p>
    <w:p w14:paraId="0F0113E0" w14:textId="77777777" w:rsidR="00466B3F" w:rsidRDefault="00313970" w:rsidP="002439C8">
      <w:pPr>
        <w:spacing w:line="276" w:lineRule="auto"/>
        <w:jc w:val="left"/>
        <w:rPr>
          <w:lang w:val="en-AU"/>
        </w:rPr>
      </w:pPr>
      <w:r w:rsidRPr="00A43338">
        <w:rPr>
          <w:lang w:val="en-AU"/>
        </w:rPr>
        <w:t xml:space="preserve">All eleven fixed sites were monitored in both the </w:t>
      </w:r>
      <w:r>
        <w:rPr>
          <w:lang w:val="en-AU"/>
        </w:rPr>
        <w:t>D</w:t>
      </w:r>
      <w:r w:rsidRPr="00A43338">
        <w:rPr>
          <w:lang w:val="en-AU"/>
        </w:rPr>
        <w:t xml:space="preserve">ry </w:t>
      </w:r>
      <w:r w:rsidR="00332BFF">
        <w:rPr>
          <w:lang w:val="en-AU"/>
        </w:rPr>
        <w:t xml:space="preserve">2017 </w:t>
      </w:r>
      <w:r w:rsidRPr="00A43338">
        <w:rPr>
          <w:lang w:val="en-AU"/>
        </w:rPr>
        <w:t xml:space="preserve">and </w:t>
      </w:r>
      <w:r>
        <w:rPr>
          <w:lang w:val="en-AU"/>
        </w:rPr>
        <w:t>W</w:t>
      </w:r>
      <w:r w:rsidRPr="00A43338">
        <w:rPr>
          <w:lang w:val="en-AU"/>
        </w:rPr>
        <w:t xml:space="preserve">et </w:t>
      </w:r>
      <w:r w:rsidR="00332BFF">
        <w:rPr>
          <w:lang w:val="en-AU"/>
        </w:rPr>
        <w:t>2017</w:t>
      </w:r>
      <w:r>
        <w:rPr>
          <w:lang w:val="en-AU"/>
        </w:rPr>
        <w:t>-</w:t>
      </w:r>
      <w:r w:rsidR="00332BFF">
        <w:rPr>
          <w:lang w:val="en-AU"/>
        </w:rPr>
        <w:t xml:space="preserve">18 </w:t>
      </w:r>
      <w:r>
        <w:rPr>
          <w:lang w:val="en-AU"/>
        </w:rPr>
        <w:t>sampling periods</w:t>
      </w:r>
      <w:r w:rsidRPr="00A43338">
        <w:rPr>
          <w:lang w:val="en-AU"/>
        </w:rPr>
        <w:t xml:space="preserve"> using </w:t>
      </w:r>
      <w:r>
        <w:rPr>
          <w:lang w:val="en-AU"/>
        </w:rPr>
        <w:t>EDs</w:t>
      </w:r>
      <w:r w:rsidRPr="00A43338">
        <w:rPr>
          <w:lang w:val="en-AU"/>
        </w:rPr>
        <w:t xml:space="preserve"> (</w:t>
      </w:r>
      <w:r>
        <w:fldChar w:fldCharType="begin"/>
      </w:r>
      <w:r>
        <w:instrText xml:space="preserve"> REF _Ref480724906 \h  \* MERGEFORMAT </w:instrText>
      </w:r>
      <w:r>
        <w:fldChar w:fldCharType="separate"/>
      </w:r>
      <w:r w:rsidR="00251B46" w:rsidRPr="001A3A18">
        <w:t xml:space="preserve">Table </w:t>
      </w:r>
      <w:r w:rsidR="00251B46" w:rsidRPr="00251B46">
        <w:t>2</w:t>
      </w:r>
      <w:r>
        <w:fldChar w:fldCharType="end"/>
      </w:r>
      <w:r>
        <w:rPr>
          <w:lang w:val="en-AU"/>
        </w:rPr>
        <w:t>), targeting polar pesticides (</w:t>
      </w:r>
      <w:r w:rsidRPr="00523FC3">
        <w:rPr>
          <w:lang w:val="en-AU"/>
        </w:rPr>
        <w:t>see</w:t>
      </w:r>
      <w:r w:rsidR="00AC47A9">
        <w:rPr>
          <w:lang w:val="en-AU"/>
        </w:rPr>
        <w:t xml:space="preserve"> Table A-2 </w:t>
      </w:r>
      <w:r>
        <w:rPr>
          <w:lang w:val="en-AU"/>
        </w:rPr>
        <w:t>for a list of the polar pesticides in the passive sampler analysis suite</w:t>
      </w:r>
      <w:r w:rsidRPr="00523FC3">
        <w:rPr>
          <w:lang w:val="en-AU"/>
        </w:rPr>
        <w:t xml:space="preserve">). </w:t>
      </w:r>
      <w:r w:rsidR="00332BFF">
        <w:rPr>
          <w:lang w:val="en-AU"/>
        </w:rPr>
        <w:t xml:space="preserve">Due to losses of samplers, three sites (Normanby Island, Repulse Bay and Round Top Island) had only one successful dry season deployment. </w:t>
      </w:r>
      <w:r>
        <w:rPr>
          <w:lang w:val="en-AU"/>
        </w:rPr>
        <w:t>Five sites also had PDMS samplers deployed during the W</w:t>
      </w:r>
      <w:r w:rsidRPr="00A43338">
        <w:rPr>
          <w:lang w:val="en-AU"/>
        </w:rPr>
        <w:t xml:space="preserve">et </w:t>
      </w:r>
      <w:r w:rsidR="00873BA5">
        <w:rPr>
          <w:lang w:val="en-AU"/>
        </w:rPr>
        <w:t>2017</w:t>
      </w:r>
      <w:r>
        <w:rPr>
          <w:lang w:val="en-AU"/>
        </w:rPr>
        <w:t>-</w:t>
      </w:r>
      <w:r w:rsidR="00873BA5">
        <w:rPr>
          <w:lang w:val="en-AU"/>
        </w:rPr>
        <w:t>18</w:t>
      </w:r>
      <w:r w:rsidR="00873BA5" w:rsidDel="00961015">
        <w:rPr>
          <w:lang w:val="en-AU"/>
        </w:rPr>
        <w:t xml:space="preserve"> </w:t>
      </w:r>
      <w:r>
        <w:rPr>
          <w:lang w:val="en-AU"/>
        </w:rPr>
        <w:t xml:space="preserve">sampling period </w:t>
      </w:r>
      <w:r w:rsidRPr="00A43338">
        <w:rPr>
          <w:lang w:val="en-AU"/>
        </w:rPr>
        <w:t>(</w:t>
      </w:r>
      <w:r>
        <w:fldChar w:fldCharType="begin"/>
      </w:r>
      <w:r>
        <w:instrText xml:space="preserve"> REF _Ref480724906 \h  \* MERGEFORMAT </w:instrText>
      </w:r>
      <w:r>
        <w:fldChar w:fldCharType="separate"/>
      </w:r>
      <w:r w:rsidR="00251B46" w:rsidRPr="001A3A18">
        <w:t xml:space="preserve">Table </w:t>
      </w:r>
      <w:r w:rsidR="00251B46" w:rsidRPr="00251B46">
        <w:t>2</w:t>
      </w:r>
      <w:r>
        <w:fldChar w:fldCharType="end"/>
      </w:r>
      <w:r>
        <w:rPr>
          <w:lang w:val="en-AU"/>
        </w:rPr>
        <w:t xml:space="preserve">), targeting non-polar pesticides (see </w:t>
      </w:r>
      <w:r w:rsidR="00AC47A9" w:rsidRPr="00AC47A9">
        <w:rPr>
          <w:lang w:val="en-AU"/>
        </w:rPr>
        <w:t>Table A</w:t>
      </w:r>
      <w:r w:rsidR="00AC47A9">
        <w:rPr>
          <w:lang w:val="en-AU"/>
        </w:rPr>
        <w:t>-</w:t>
      </w:r>
      <w:r w:rsidR="00AC47A9" w:rsidRPr="00AC47A9">
        <w:rPr>
          <w:lang w:val="en-AU"/>
        </w:rPr>
        <w:t>3</w:t>
      </w:r>
      <w:r w:rsidR="00AC47A9">
        <w:rPr>
          <w:lang w:val="en-AU"/>
        </w:rPr>
        <w:t xml:space="preserve"> </w:t>
      </w:r>
      <w:r>
        <w:rPr>
          <w:lang w:val="en-AU"/>
        </w:rPr>
        <w:t xml:space="preserve">for a list of the non-polar pesticides in the passive sampler analysis suite). </w:t>
      </w:r>
    </w:p>
    <w:p w14:paraId="37642ED9" w14:textId="77777777" w:rsidR="00466B3F" w:rsidRDefault="00466B3F" w:rsidP="002439C8">
      <w:pPr>
        <w:spacing w:line="276" w:lineRule="auto"/>
        <w:jc w:val="left"/>
        <w:rPr>
          <w:lang w:val="en-AU"/>
        </w:rPr>
      </w:pPr>
    </w:p>
    <w:p w14:paraId="196616B2" w14:textId="77777777" w:rsidR="00EC17CE" w:rsidRDefault="00313970" w:rsidP="002439C8">
      <w:pPr>
        <w:spacing w:line="276" w:lineRule="auto"/>
        <w:jc w:val="left"/>
        <w:rPr>
          <w:lang w:val="en-AU"/>
        </w:rPr>
      </w:pPr>
      <w:r>
        <w:rPr>
          <w:lang w:val="en-AU"/>
        </w:rPr>
        <w:t>PDMS samplers were co-deployed with the EDs in the Burdekin region (one site) and the Mackay Whitsunday region (four sites) (</w:t>
      </w:r>
      <w:r w:rsidRPr="000E58AD">
        <w:rPr>
          <w:lang w:val="en-AU"/>
        </w:rPr>
        <w:fldChar w:fldCharType="begin"/>
      </w:r>
      <w:r w:rsidRPr="000E58AD">
        <w:rPr>
          <w:lang w:val="en-AU"/>
        </w:rPr>
        <w:instrText xml:space="preserve"> REF _Ref480724906 \h  \* MERGEFORMAT </w:instrText>
      </w:r>
      <w:r w:rsidRPr="000E58AD">
        <w:rPr>
          <w:lang w:val="en-AU"/>
        </w:rPr>
      </w:r>
      <w:r w:rsidRPr="000E58AD">
        <w:rPr>
          <w:lang w:val="en-AU"/>
        </w:rPr>
        <w:fldChar w:fldCharType="separate"/>
      </w:r>
      <w:r w:rsidR="00251B46" w:rsidRPr="001A3A18">
        <w:t xml:space="preserve">Table </w:t>
      </w:r>
      <w:r w:rsidR="00251B46" w:rsidRPr="00251B46">
        <w:rPr>
          <w:noProof/>
        </w:rPr>
        <w:t>2</w:t>
      </w:r>
      <w:r w:rsidRPr="000E58AD">
        <w:rPr>
          <w:lang w:val="en-AU"/>
        </w:rPr>
        <w:fldChar w:fldCharType="end"/>
      </w:r>
      <w:r>
        <w:rPr>
          <w:lang w:val="en-AU"/>
        </w:rPr>
        <w:t xml:space="preserve">). These two regions were chosen for targeting non-polar pesticides based on their high proportions of sugar cane land use relative to other regions, and the high pesticide risk assigned to these regions </w:t>
      </w:r>
      <w:r>
        <w:rPr>
          <w:lang w:val="en-AU"/>
        </w:rPr>
        <w:fldChar w:fldCharType="begin"/>
      </w:r>
      <w:r w:rsidR="0018079F">
        <w:rPr>
          <w:lang w:val="en-AU"/>
        </w:rPr>
        <w:instrText xml:space="preserve"> ADDIN EN.CITE &lt;EndNote&gt;&lt;Cite&gt;&lt;Author&gt;Brodie&lt;/Author&gt;&lt;Year&gt;2013&lt;/Year&gt;&lt;RecNum&gt;9&lt;/RecNum&gt;&lt;DisplayText&gt;(Brodie et al., 2013)&lt;/DisplayText&gt;&lt;record&gt;&lt;rec-number&gt;9&lt;/rec-number&gt;&lt;foreign-keys&gt;&lt;key app="EN" db-id="xtpvpwz0ufxa2me5tv6v2prn2ez5p9atsvtr" timestamp="1539144943"&gt;9&lt;/key&gt;&lt;/foreign-keys&gt;&lt;ref-type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Secretariat&lt;/pub-location&gt;&lt;urls&gt;&lt;/urls&gt;&lt;/record&gt;&lt;/Cite&gt;&lt;/EndNote&gt;</w:instrText>
      </w:r>
      <w:r>
        <w:rPr>
          <w:lang w:val="en-AU"/>
        </w:rPr>
        <w:fldChar w:fldCharType="separate"/>
      </w:r>
      <w:r w:rsidR="00B33845">
        <w:rPr>
          <w:noProof/>
          <w:lang w:val="en-AU"/>
        </w:rPr>
        <w:t>(Brodie et al., 2013)</w:t>
      </w:r>
      <w:r>
        <w:rPr>
          <w:lang w:val="en-AU"/>
        </w:rPr>
        <w:fldChar w:fldCharType="end"/>
      </w:r>
      <w:r>
        <w:rPr>
          <w:lang w:val="en-AU"/>
        </w:rPr>
        <w:t xml:space="preserve">. The deployment dates and results for each fixed monitoring site are in </w:t>
      </w:r>
      <w:r>
        <w:rPr>
          <w:lang w:val="en-AU" w:eastAsia="en-AU"/>
        </w:rPr>
        <w:fldChar w:fldCharType="begin"/>
      </w:r>
      <w:r>
        <w:rPr>
          <w:lang w:val="en-AU" w:eastAsia="en-AU"/>
        </w:rPr>
        <w:instrText xml:space="preserve"> REF _Ref335637596 \n \h  \* MERGEFORMAT </w:instrText>
      </w:r>
      <w:r>
        <w:rPr>
          <w:lang w:val="en-AU" w:eastAsia="en-AU"/>
        </w:rPr>
      </w:r>
      <w:r>
        <w:rPr>
          <w:lang w:val="en-AU" w:eastAsia="en-AU"/>
        </w:rPr>
        <w:fldChar w:fldCharType="separate"/>
      </w:r>
      <w:r w:rsidR="00251B46">
        <w:rPr>
          <w:lang w:val="en-AU" w:eastAsia="en-AU"/>
        </w:rPr>
        <w:t xml:space="preserve">Appendix F </w:t>
      </w:r>
      <w:r>
        <w:rPr>
          <w:lang w:val="en-AU" w:eastAsia="en-AU"/>
        </w:rPr>
        <w:fldChar w:fldCharType="end"/>
      </w:r>
      <w:r>
        <w:t xml:space="preserve">Table </w:t>
      </w:r>
      <w:r>
        <w:rPr>
          <w:noProof/>
        </w:rPr>
        <w:t>F</w:t>
      </w:r>
      <w:r>
        <w:noBreakHyphen/>
      </w:r>
      <w:r>
        <w:rPr>
          <w:noProof/>
        </w:rPr>
        <w:t xml:space="preserve">2 </w:t>
      </w:r>
      <w:r>
        <w:rPr>
          <w:lang w:val="en-AU"/>
        </w:rPr>
        <w:t xml:space="preserve">to </w:t>
      </w:r>
      <w:r>
        <w:rPr>
          <w:highlight w:val="yellow"/>
          <w:lang w:val="en-AU"/>
        </w:rPr>
        <w:fldChar w:fldCharType="begin"/>
      </w:r>
      <w:r>
        <w:rPr>
          <w:highlight w:val="yellow"/>
          <w:lang w:val="en-AU"/>
        </w:rPr>
        <w:instrText xml:space="preserve"> REF _Ref480725602 \h  \* MERGEFORMAT </w:instrText>
      </w:r>
      <w:r>
        <w:rPr>
          <w:highlight w:val="yellow"/>
          <w:lang w:val="en-AU"/>
        </w:rPr>
      </w:r>
      <w:r>
        <w:rPr>
          <w:highlight w:val="yellow"/>
          <w:lang w:val="en-AU"/>
        </w:rPr>
        <w:fldChar w:fldCharType="separate"/>
      </w:r>
      <w:r w:rsidR="00251B46">
        <w:t xml:space="preserve">Table </w:t>
      </w:r>
      <w:r w:rsidR="00251B46">
        <w:rPr>
          <w:noProof/>
        </w:rPr>
        <w:t>F</w:t>
      </w:r>
      <w:r w:rsidR="00251B46">
        <w:rPr>
          <w:noProof/>
        </w:rPr>
        <w:noBreakHyphen/>
        <w:t>12</w:t>
      </w:r>
      <w:r>
        <w:rPr>
          <w:highlight w:val="yellow"/>
          <w:lang w:val="en-AU"/>
        </w:rPr>
        <w:fldChar w:fldCharType="end"/>
      </w:r>
      <w:r w:rsidRPr="0090433A">
        <w:rPr>
          <w:lang w:val="en-AU"/>
        </w:rPr>
        <w:t>.</w:t>
      </w:r>
    </w:p>
    <w:p w14:paraId="0DFEEEF9" w14:textId="77777777" w:rsidR="0059608E" w:rsidRPr="003B6560" w:rsidRDefault="003B6560" w:rsidP="002439C8">
      <w:pPr>
        <w:pStyle w:val="Heading3"/>
        <w:jc w:val="left"/>
      </w:pPr>
      <w:bookmarkStart w:id="103" w:name="_Toc455069261"/>
      <w:bookmarkStart w:id="104" w:name="_Toc455069911"/>
      <w:bookmarkStart w:id="105" w:name="_Toc455070183"/>
      <w:bookmarkStart w:id="106" w:name="_Toc455151580"/>
      <w:bookmarkStart w:id="107" w:name="_Toc455069262"/>
      <w:bookmarkStart w:id="108" w:name="_Toc455069912"/>
      <w:bookmarkStart w:id="109" w:name="_Toc455070184"/>
      <w:bookmarkStart w:id="110" w:name="_Toc455151581"/>
      <w:bookmarkStart w:id="111" w:name="_Toc455069263"/>
      <w:bookmarkStart w:id="112" w:name="_Toc455069913"/>
      <w:bookmarkStart w:id="113" w:name="_Toc455070185"/>
      <w:bookmarkStart w:id="114" w:name="_Toc455151582"/>
      <w:bookmarkStart w:id="115" w:name="_Toc461457756"/>
      <w:bookmarkStart w:id="116" w:name="_Toc14435682"/>
      <w:bookmarkEnd w:id="103"/>
      <w:bookmarkEnd w:id="104"/>
      <w:bookmarkEnd w:id="105"/>
      <w:bookmarkEnd w:id="106"/>
      <w:bookmarkEnd w:id="107"/>
      <w:bookmarkEnd w:id="108"/>
      <w:bookmarkEnd w:id="109"/>
      <w:bookmarkEnd w:id="110"/>
      <w:bookmarkEnd w:id="111"/>
      <w:bookmarkEnd w:id="112"/>
      <w:bookmarkEnd w:id="113"/>
      <w:bookmarkEnd w:id="114"/>
      <w:r w:rsidRPr="003B6560">
        <w:lastRenderedPageBreak/>
        <w:t>G</w:t>
      </w:r>
      <w:r w:rsidR="00C215E3">
        <w:t xml:space="preserve">rab sampling </w:t>
      </w:r>
      <w:r w:rsidRPr="003B6560">
        <w:t>to assess</w:t>
      </w:r>
      <w:r w:rsidR="00170EC4" w:rsidRPr="003B6560">
        <w:t xml:space="preserve"> f</w:t>
      </w:r>
      <w:r w:rsidR="0059608E" w:rsidRPr="003B6560">
        <w:t>lood plume</w:t>
      </w:r>
      <w:r w:rsidR="00300638">
        <w:t xml:space="preserve"> (transect)</w:t>
      </w:r>
      <w:r w:rsidR="0059608E" w:rsidRPr="003B6560">
        <w:t xml:space="preserve"> </w:t>
      </w:r>
      <w:bookmarkEnd w:id="115"/>
      <w:r w:rsidR="00170EC4" w:rsidRPr="003B6560">
        <w:t>profiles</w:t>
      </w:r>
      <w:bookmarkEnd w:id="116"/>
    </w:p>
    <w:p w14:paraId="08227870" w14:textId="77777777" w:rsidR="0059608E" w:rsidRDefault="0059608E" w:rsidP="002439C8">
      <w:pPr>
        <w:spacing w:line="276" w:lineRule="auto"/>
        <w:jc w:val="left"/>
        <w:rPr>
          <w:lang w:val="en-GB" w:eastAsia="en-AU"/>
        </w:rPr>
      </w:pPr>
      <w:r>
        <w:rPr>
          <w:lang w:val="en-GB" w:eastAsia="en-AU"/>
        </w:rPr>
        <w:t xml:space="preserve">Sampling activities targeting discharge events from major Reef </w:t>
      </w:r>
      <w:r w:rsidR="00BF37D6">
        <w:rPr>
          <w:lang w:val="en-GB" w:eastAsia="en-AU"/>
        </w:rPr>
        <w:t>basin</w:t>
      </w:r>
      <w:r>
        <w:rPr>
          <w:lang w:val="en-GB" w:eastAsia="en-AU"/>
        </w:rPr>
        <w:t xml:space="preserve"> rivers </w:t>
      </w:r>
      <w:r w:rsidR="00913F0E">
        <w:rPr>
          <w:lang w:val="en-GB" w:eastAsia="en-AU"/>
        </w:rPr>
        <w:t>occurred</w:t>
      </w:r>
      <w:r>
        <w:rPr>
          <w:lang w:val="en-GB" w:eastAsia="en-AU"/>
        </w:rPr>
        <w:t xml:space="preserve"> during the </w:t>
      </w:r>
      <w:r w:rsidR="004A66EE">
        <w:rPr>
          <w:lang w:val="en-GB" w:eastAsia="en-AU"/>
        </w:rPr>
        <w:t xml:space="preserve">Wet </w:t>
      </w:r>
      <w:r w:rsidR="00500E83">
        <w:rPr>
          <w:lang w:val="en-GB" w:eastAsia="en-AU"/>
        </w:rPr>
        <w:t>2017</w:t>
      </w:r>
      <w:r w:rsidR="004A66EE">
        <w:rPr>
          <w:lang w:val="en-GB" w:eastAsia="en-AU"/>
        </w:rPr>
        <w:t>-</w:t>
      </w:r>
      <w:r w:rsidR="00500E83">
        <w:rPr>
          <w:lang w:val="en-GB" w:eastAsia="en-AU"/>
        </w:rPr>
        <w:t xml:space="preserve">18 </w:t>
      </w:r>
      <w:r w:rsidR="004A66EE">
        <w:rPr>
          <w:lang w:val="en-GB" w:eastAsia="en-AU"/>
        </w:rPr>
        <w:t>sampling period</w:t>
      </w:r>
      <w:r>
        <w:rPr>
          <w:lang w:val="en-GB" w:eastAsia="en-AU"/>
        </w:rPr>
        <w:t>, and typically coincide</w:t>
      </w:r>
      <w:r w:rsidR="00913F0E">
        <w:rPr>
          <w:lang w:val="en-GB" w:eastAsia="en-AU"/>
        </w:rPr>
        <w:t>d</w:t>
      </w:r>
      <w:r>
        <w:rPr>
          <w:lang w:val="en-GB" w:eastAsia="en-AU"/>
        </w:rPr>
        <w:t xml:space="preserve"> with large rainfall events </w:t>
      </w:r>
      <w:r w:rsidR="004A66EE">
        <w:rPr>
          <w:lang w:val="en-GB" w:eastAsia="en-AU"/>
        </w:rPr>
        <w:t xml:space="preserve">in </w:t>
      </w:r>
      <w:r>
        <w:rPr>
          <w:lang w:val="en-GB" w:eastAsia="en-AU"/>
        </w:rPr>
        <w:t xml:space="preserve">the adjacent </w:t>
      </w:r>
      <w:r w:rsidR="00BF37D6">
        <w:rPr>
          <w:lang w:val="en-GB" w:eastAsia="en-AU"/>
        </w:rPr>
        <w:t>basin</w:t>
      </w:r>
      <w:r>
        <w:rPr>
          <w:lang w:val="en-GB" w:eastAsia="en-AU"/>
        </w:rPr>
        <w:t xml:space="preserve"> area. Grab samples</w:t>
      </w:r>
      <w:r w:rsidR="00E74192">
        <w:rPr>
          <w:lang w:val="en-GB" w:eastAsia="en-AU"/>
        </w:rPr>
        <w:t xml:space="preserve"> (250 mL</w:t>
      </w:r>
      <w:r w:rsidR="006C2A7B">
        <w:rPr>
          <w:lang w:val="en-GB" w:eastAsia="en-AU"/>
        </w:rPr>
        <w:t>)</w:t>
      </w:r>
      <w:r w:rsidR="00913F0E">
        <w:rPr>
          <w:lang w:val="en-GB" w:eastAsia="en-AU"/>
        </w:rPr>
        <w:t xml:space="preserve"> we</w:t>
      </w:r>
      <w:r>
        <w:rPr>
          <w:lang w:val="en-GB" w:eastAsia="en-AU"/>
        </w:rPr>
        <w:t>re collected along transects extending from river mouths to capture peak</w:t>
      </w:r>
      <w:r w:rsidR="004A66EE">
        <w:rPr>
          <w:lang w:val="en-GB" w:eastAsia="en-AU"/>
        </w:rPr>
        <w:t xml:space="preserve"> concentrations</w:t>
      </w:r>
      <w:r w:rsidR="00500E83">
        <w:rPr>
          <w:lang w:val="en-GB" w:eastAsia="en-AU"/>
        </w:rPr>
        <w:t xml:space="preserve"> </w:t>
      </w:r>
      <w:r w:rsidR="004A66EE">
        <w:rPr>
          <w:lang w:val="en-GB" w:eastAsia="en-AU"/>
        </w:rPr>
        <w:t>and establish the presence of any</w:t>
      </w:r>
      <w:r>
        <w:rPr>
          <w:lang w:val="en-GB" w:eastAsia="en-AU"/>
        </w:rPr>
        <w:t xml:space="preserve"> </w:t>
      </w:r>
      <w:r w:rsidR="006D31B7">
        <w:rPr>
          <w:lang w:val="en-GB" w:eastAsia="en-AU"/>
        </w:rPr>
        <w:t xml:space="preserve">pesticides </w:t>
      </w:r>
      <w:r>
        <w:rPr>
          <w:lang w:val="en-GB" w:eastAsia="en-AU"/>
        </w:rPr>
        <w:t xml:space="preserve">not adequately sampled by passive samplers </w:t>
      </w:r>
      <w:r w:rsidR="004A66EE">
        <w:rPr>
          <w:lang w:val="en-GB" w:eastAsia="en-AU"/>
        </w:rPr>
        <w:t xml:space="preserve">(e.g. </w:t>
      </w:r>
      <w:r>
        <w:rPr>
          <w:lang w:val="en-GB" w:eastAsia="en-AU"/>
        </w:rPr>
        <w:t>due to their high water solubility</w:t>
      </w:r>
      <w:r w:rsidR="004A66EE">
        <w:rPr>
          <w:lang w:val="en-GB" w:eastAsia="en-AU"/>
        </w:rPr>
        <w:t>)</w:t>
      </w:r>
      <w:r>
        <w:rPr>
          <w:lang w:val="en-GB" w:eastAsia="en-AU"/>
        </w:rPr>
        <w:t>.</w:t>
      </w:r>
    </w:p>
    <w:p w14:paraId="2D731A16" w14:textId="77777777" w:rsidR="0059608E" w:rsidRDefault="0059608E" w:rsidP="002439C8">
      <w:pPr>
        <w:spacing w:line="276" w:lineRule="auto"/>
        <w:jc w:val="left"/>
        <w:rPr>
          <w:lang w:val="en-GB" w:eastAsia="en-AU"/>
        </w:rPr>
      </w:pPr>
    </w:p>
    <w:p w14:paraId="33BC76B7" w14:textId="625D0F66" w:rsidR="002D401F" w:rsidRDefault="00461C15" w:rsidP="002439C8">
      <w:pPr>
        <w:spacing w:line="276" w:lineRule="auto"/>
        <w:jc w:val="left"/>
        <w:rPr>
          <w:lang w:val="en-GB" w:eastAsia="en-AU"/>
        </w:rPr>
      </w:pPr>
      <w:r>
        <w:rPr>
          <w:lang w:val="en-GB" w:eastAsia="en-AU"/>
        </w:rPr>
        <w:t>Forty-</w:t>
      </w:r>
      <w:r w:rsidR="00332BFF">
        <w:rPr>
          <w:lang w:val="en-GB" w:eastAsia="en-AU"/>
        </w:rPr>
        <w:t>one</w:t>
      </w:r>
      <w:r>
        <w:rPr>
          <w:lang w:val="en-GB" w:eastAsia="en-AU"/>
        </w:rPr>
        <w:t xml:space="preserve"> grab samples were collected in </w:t>
      </w:r>
      <w:r w:rsidR="001B73E5">
        <w:rPr>
          <w:lang w:val="en-GB" w:eastAsia="en-AU"/>
        </w:rPr>
        <w:t>2017–18</w:t>
      </w:r>
      <w:r>
        <w:rPr>
          <w:lang w:val="en-GB" w:eastAsia="en-AU"/>
        </w:rPr>
        <w:t xml:space="preserve">. </w:t>
      </w:r>
      <w:r w:rsidR="00332BFF">
        <w:rPr>
          <w:lang w:val="en-GB" w:eastAsia="en-AU"/>
        </w:rPr>
        <w:t xml:space="preserve">Thirty-five </w:t>
      </w:r>
      <w:r w:rsidR="0059608E">
        <w:rPr>
          <w:lang w:val="en-GB" w:eastAsia="en-AU"/>
        </w:rPr>
        <w:t xml:space="preserve">were collected to monitor terrestrial run-off from </w:t>
      </w:r>
      <w:r w:rsidR="00274178">
        <w:rPr>
          <w:lang w:val="en-GB" w:eastAsia="en-AU"/>
        </w:rPr>
        <w:t xml:space="preserve">the </w:t>
      </w:r>
      <w:r w:rsidR="0059608E">
        <w:rPr>
          <w:lang w:val="en-GB" w:eastAsia="en-AU"/>
        </w:rPr>
        <w:t>two river</w:t>
      </w:r>
      <w:r w:rsidR="00274178">
        <w:rPr>
          <w:lang w:val="en-GB" w:eastAsia="en-AU"/>
        </w:rPr>
        <w:t xml:space="preserve"> transect</w:t>
      </w:r>
      <w:r w:rsidR="0059608E">
        <w:rPr>
          <w:lang w:val="en-GB" w:eastAsia="en-AU"/>
        </w:rPr>
        <w:t>s (the Tully and Russell-Mulgrave</w:t>
      </w:r>
      <w:r w:rsidR="005B0C06">
        <w:rPr>
          <w:lang w:val="en-GB" w:eastAsia="en-AU"/>
        </w:rPr>
        <w:t xml:space="preserve"> </w:t>
      </w:r>
      <w:r w:rsidR="006D31B7">
        <w:rPr>
          <w:lang w:val="en-GB" w:eastAsia="en-AU"/>
        </w:rPr>
        <w:t>rivers</w:t>
      </w:r>
      <w:r w:rsidR="0059608E">
        <w:rPr>
          <w:lang w:val="en-GB" w:eastAsia="en-AU"/>
        </w:rPr>
        <w:t>) during flood plume events</w:t>
      </w:r>
      <w:r w:rsidR="00274178">
        <w:rPr>
          <w:lang w:val="en-GB" w:eastAsia="en-AU"/>
        </w:rPr>
        <w:t xml:space="preserve"> between January and </w:t>
      </w:r>
      <w:r>
        <w:rPr>
          <w:lang w:val="en-GB" w:eastAsia="en-AU"/>
        </w:rPr>
        <w:t>March</w:t>
      </w:r>
      <w:r w:rsidR="00274178">
        <w:rPr>
          <w:lang w:val="en-GB" w:eastAsia="en-AU"/>
        </w:rPr>
        <w:t xml:space="preserve"> 201</w:t>
      </w:r>
      <w:r w:rsidR="00500E83">
        <w:rPr>
          <w:lang w:val="en-GB" w:eastAsia="en-AU"/>
        </w:rPr>
        <w:t>8</w:t>
      </w:r>
      <w:r w:rsidR="00B7408A">
        <w:rPr>
          <w:lang w:val="en-GB" w:eastAsia="en-AU"/>
        </w:rPr>
        <w:t xml:space="preserve"> (Figure 3)</w:t>
      </w:r>
      <w:r w:rsidR="0059608E">
        <w:rPr>
          <w:lang w:val="en-GB" w:eastAsia="en-AU"/>
        </w:rPr>
        <w:t xml:space="preserve">. </w:t>
      </w:r>
      <w:r w:rsidR="00274178">
        <w:rPr>
          <w:lang w:val="en-GB" w:eastAsia="en-AU"/>
        </w:rPr>
        <w:t xml:space="preserve">A further </w:t>
      </w:r>
      <w:r w:rsidR="00332BFF">
        <w:rPr>
          <w:lang w:val="en-GB" w:eastAsia="en-AU"/>
        </w:rPr>
        <w:t xml:space="preserve">six </w:t>
      </w:r>
      <w:r w:rsidR="00274178">
        <w:rPr>
          <w:lang w:val="en-GB" w:eastAsia="en-AU"/>
        </w:rPr>
        <w:t>grab samples were collected from the Burdekin focus area</w:t>
      </w:r>
      <w:r w:rsidR="003F7121">
        <w:rPr>
          <w:lang w:val="en-GB" w:eastAsia="en-AU"/>
        </w:rPr>
        <w:t xml:space="preserve"> </w:t>
      </w:r>
      <w:r w:rsidR="0039030A">
        <w:rPr>
          <w:lang w:val="en-GB" w:eastAsia="en-AU"/>
        </w:rPr>
        <w:t xml:space="preserve">at Barratta Creek mouth </w:t>
      </w:r>
      <w:r w:rsidR="003F7121">
        <w:rPr>
          <w:lang w:val="en-GB" w:eastAsia="en-AU"/>
        </w:rPr>
        <w:t>during major</w:t>
      </w:r>
      <w:r w:rsidR="005B0C06">
        <w:rPr>
          <w:lang w:val="en-GB" w:eastAsia="en-AU"/>
        </w:rPr>
        <w:t xml:space="preserve"> discharge events </w:t>
      </w:r>
      <w:r>
        <w:rPr>
          <w:lang w:val="en-GB" w:eastAsia="en-AU"/>
        </w:rPr>
        <w:t>in both the dry and wet season</w:t>
      </w:r>
      <w:r w:rsidR="003F7121">
        <w:rPr>
          <w:lang w:val="en-GB" w:eastAsia="en-AU"/>
        </w:rPr>
        <w:t>.</w:t>
      </w:r>
      <w:r w:rsidR="00274178">
        <w:rPr>
          <w:lang w:val="en-GB" w:eastAsia="en-AU"/>
        </w:rPr>
        <w:t xml:space="preserve"> </w:t>
      </w:r>
      <w:r w:rsidR="0059608E">
        <w:rPr>
          <w:lang w:val="en-GB" w:eastAsia="en-AU"/>
        </w:rPr>
        <w:t xml:space="preserve">Further details for these samples including </w:t>
      </w:r>
      <w:r w:rsidR="003F7121">
        <w:rPr>
          <w:lang w:val="en-GB" w:eastAsia="en-AU"/>
        </w:rPr>
        <w:t>the date of collection</w:t>
      </w:r>
      <w:r w:rsidR="0059608E">
        <w:rPr>
          <w:lang w:val="en-GB" w:eastAsia="en-AU"/>
        </w:rPr>
        <w:t xml:space="preserve"> and results for individual </w:t>
      </w:r>
      <w:r w:rsidR="006D31B7">
        <w:rPr>
          <w:lang w:val="en-GB" w:eastAsia="en-AU"/>
        </w:rPr>
        <w:t xml:space="preserve">pesticides </w:t>
      </w:r>
      <w:r w:rsidR="0059608E">
        <w:rPr>
          <w:lang w:val="en-GB" w:eastAsia="en-AU"/>
        </w:rPr>
        <w:t xml:space="preserve">detected are </w:t>
      </w:r>
      <w:r w:rsidR="0059608E" w:rsidRPr="00844294">
        <w:rPr>
          <w:lang w:val="en-GB" w:eastAsia="en-AU"/>
        </w:rPr>
        <w:t xml:space="preserve">provided </w:t>
      </w:r>
      <w:r w:rsidR="0059608E">
        <w:rPr>
          <w:lang w:val="en-GB" w:eastAsia="en-AU"/>
        </w:rPr>
        <w:t xml:space="preserve">in </w:t>
      </w:r>
      <w:r w:rsidR="00C91BF5">
        <w:rPr>
          <w:lang w:val="en-GB" w:eastAsia="en-AU"/>
        </w:rPr>
        <w:fldChar w:fldCharType="begin"/>
      </w:r>
      <w:r w:rsidR="006A6F28">
        <w:rPr>
          <w:lang w:val="en-GB" w:eastAsia="en-AU"/>
        </w:rPr>
        <w:instrText xml:space="preserve"> REF _Ref480726378 \n \h </w:instrText>
      </w:r>
      <w:r w:rsidR="002439C8">
        <w:rPr>
          <w:lang w:val="en-GB" w:eastAsia="en-AU"/>
        </w:rPr>
        <w:instrText xml:space="preserve"> \* MERGEFORMAT </w:instrText>
      </w:r>
      <w:r w:rsidR="00C91BF5">
        <w:rPr>
          <w:lang w:val="en-GB" w:eastAsia="en-AU"/>
        </w:rPr>
      </w:r>
      <w:r w:rsidR="00C91BF5">
        <w:rPr>
          <w:lang w:val="en-GB" w:eastAsia="en-AU"/>
        </w:rPr>
        <w:fldChar w:fldCharType="separate"/>
      </w:r>
      <w:r w:rsidR="00251B46">
        <w:rPr>
          <w:lang w:val="en-GB" w:eastAsia="en-AU"/>
        </w:rPr>
        <w:t xml:space="preserve">Appendix G </w:t>
      </w:r>
      <w:r w:rsidR="00C91BF5">
        <w:rPr>
          <w:lang w:val="en-GB" w:eastAsia="en-AU"/>
        </w:rPr>
        <w:fldChar w:fldCharType="end"/>
      </w:r>
      <w:r w:rsidR="00C91BF5">
        <w:rPr>
          <w:lang w:val="en-GB" w:eastAsia="en-AU"/>
        </w:rPr>
        <w:fldChar w:fldCharType="begin"/>
      </w:r>
      <w:r w:rsidR="006A6F28">
        <w:rPr>
          <w:lang w:val="en-GB" w:eastAsia="en-AU"/>
        </w:rPr>
        <w:instrText xml:space="preserve"> REF _Ref480726395 \h </w:instrText>
      </w:r>
      <w:r w:rsidR="002439C8">
        <w:rPr>
          <w:lang w:val="en-GB" w:eastAsia="en-AU"/>
        </w:rPr>
        <w:instrText xml:space="preserve"> \* MERGEFORMAT </w:instrText>
      </w:r>
      <w:r w:rsidR="00C91BF5">
        <w:rPr>
          <w:lang w:val="en-GB" w:eastAsia="en-AU"/>
        </w:rPr>
      </w:r>
      <w:r w:rsidR="00C91BF5">
        <w:rPr>
          <w:lang w:val="en-GB" w:eastAsia="en-AU"/>
        </w:rPr>
        <w:fldChar w:fldCharType="separate"/>
      </w:r>
      <w:r w:rsidR="00251B46" w:rsidRPr="00CC4B66">
        <w:t xml:space="preserve">Table </w:t>
      </w:r>
      <w:r w:rsidR="00251B46">
        <w:rPr>
          <w:noProof/>
        </w:rPr>
        <w:t>G</w:t>
      </w:r>
      <w:r w:rsidR="00251B46" w:rsidRPr="00CC4B66">
        <w:rPr>
          <w:noProof/>
        </w:rPr>
        <w:noBreakHyphen/>
      </w:r>
      <w:r w:rsidR="00251B46">
        <w:rPr>
          <w:noProof/>
        </w:rPr>
        <w:t>1</w:t>
      </w:r>
      <w:r w:rsidR="00C91BF5">
        <w:rPr>
          <w:lang w:val="en-GB" w:eastAsia="en-AU"/>
        </w:rPr>
        <w:fldChar w:fldCharType="end"/>
      </w:r>
      <w:r w:rsidR="003F7121">
        <w:rPr>
          <w:lang w:val="en-GB" w:eastAsia="en-AU"/>
        </w:rPr>
        <w:t>.</w:t>
      </w:r>
    </w:p>
    <w:p w14:paraId="60231136" w14:textId="77777777" w:rsidR="00040C7B" w:rsidRPr="00040C7B" w:rsidRDefault="003F7121" w:rsidP="002439C8">
      <w:pPr>
        <w:pStyle w:val="Heading3"/>
        <w:jc w:val="left"/>
      </w:pPr>
      <w:bookmarkStart w:id="117" w:name="_Toc14435683"/>
      <w:r>
        <w:t>Sampler deployment</w:t>
      </w:r>
      <w:r w:rsidR="00A63CE0">
        <w:t xml:space="preserve"> and</w:t>
      </w:r>
      <w:r w:rsidR="002409CC">
        <w:t xml:space="preserve"> </w:t>
      </w:r>
      <w:r>
        <w:t>approaches for missing data</w:t>
      </w:r>
      <w:bookmarkEnd w:id="117"/>
    </w:p>
    <w:p w14:paraId="3C583071" w14:textId="77777777" w:rsidR="00040C7B" w:rsidRDefault="00040C7B" w:rsidP="002439C8">
      <w:pPr>
        <w:spacing w:line="276" w:lineRule="auto"/>
        <w:jc w:val="left"/>
        <w:rPr>
          <w:lang w:val="en-AU" w:eastAsia="en-AU"/>
        </w:rPr>
      </w:pPr>
      <w:r>
        <w:rPr>
          <w:lang w:val="en-GB" w:eastAsia="en-AU"/>
        </w:rPr>
        <w:t xml:space="preserve">This monitoring year, 75 per cent of fixed site passive </w:t>
      </w:r>
      <w:r w:rsidRPr="00D9460D">
        <w:rPr>
          <w:lang w:val="en-GB" w:eastAsia="en-AU"/>
        </w:rPr>
        <w:t>sampler sets sent to volunteers were successfully deployed, returned (undamaged) and analysed (</w:t>
      </w:r>
      <w:r>
        <w:t>Appendix F Table F-1</w:t>
      </w:r>
      <w:r w:rsidRPr="00D9460D">
        <w:rPr>
          <w:lang w:val="en-GB" w:eastAsia="en-AU"/>
        </w:rPr>
        <w:t>).</w:t>
      </w:r>
      <w:r>
        <w:rPr>
          <w:lang w:val="en-GB" w:eastAsia="en-AU"/>
        </w:rPr>
        <w:t xml:space="preserve"> This return rate was comparable to the two previous years (75 and 73 per cent). The remainder of samplers were unsuccessful for several reasons but were typically because of a lost mooring following bad weather, human interference (e.g. theft of mooring) or </w:t>
      </w:r>
      <w:r w:rsidRPr="00016315">
        <w:rPr>
          <w:i/>
          <w:lang w:val="en-GB" w:eastAsia="en-AU"/>
        </w:rPr>
        <w:t>in situ</w:t>
      </w:r>
      <w:r>
        <w:rPr>
          <w:lang w:val="en-GB" w:eastAsia="en-AU"/>
        </w:rPr>
        <w:t xml:space="preserve"> damage (e.g. membrane lost or fouled). Four sites (Dunk Island, High Island, Lucinda, and North Keppel Island) returned at least eight out of nine sampling kits. Once again, the sites located in the Mackay Whitsunday region experienced the highest sampler losses.</w:t>
      </w:r>
      <w:r>
        <w:rPr>
          <w:lang w:val="en-AU" w:eastAsia="en-AU"/>
        </w:rPr>
        <w:t xml:space="preserve"> Following a year of no sampling activity at Normanby Island in 2016-17, this site was successfully re-established, although only one dry season sampler was successfully returned this monitoring year.</w:t>
      </w:r>
    </w:p>
    <w:p w14:paraId="1E472124" w14:textId="77777777" w:rsidR="00040C7B" w:rsidRDefault="00040C7B" w:rsidP="002439C8">
      <w:pPr>
        <w:spacing w:line="276" w:lineRule="auto"/>
        <w:jc w:val="left"/>
        <w:rPr>
          <w:lang w:val="en-AU" w:eastAsia="en-AU"/>
        </w:rPr>
      </w:pPr>
    </w:p>
    <w:p w14:paraId="29CF1D7F" w14:textId="77777777" w:rsidR="002D401F" w:rsidRDefault="00040C7B" w:rsidP="002439C8">
      <w:pPr>
        <w:spacing w:line="276" w:lineRule="auto"/>
        <w:jc w:val="left"/>
        <w:rPr>
          <w:lang w:val="en-AU" w:eastAsia="en-AU"/>
        </w:rPr>
      </w:pPr>
      <w:r>
        <w:rPr>
          <w:lang w:val="en-AU" w:eastAsia="en-AU"/>
        </w:rPr>
        <w:t xml:space="preserve">For sites with lower successful deployment rates, trend comparisons with previous years are generally not possible, and care needs to be taken when comparing between the monitoring sites. </w:t>
      </w:r>
      <w:r w:rsidR="006F524F" w:rsidRPr="006213FA">
        <w:rPr>
          <w:lang w:val="en-AU" w:eastAsia="en-AU"/>
        </w:rPr>
        <w:t>Details on deployment procedures</w:t>
      </w:r>
      <w:r w:rsidR="00A63CE0">
        <w:rPr>
          <w:lang w:val="en-AU" w:eastAsia="en-AU"/>
        </w:rPr>
        <w:t xml:space="preserve"> and</w:t>
      </w:r>
      <w:r w:rsidR="002409CC" w:rsidRPr="006213FA">
        <w:rPr>
          <w:lang w:val="en-AU" w:eastAsia="en-AU"/>
        </w:rPr>
        <w:t xml:space="preserve"> </w:t>
      </w:r>
      <w:r w:rsidR="006F524F" w:rsidRPr="006213FA">
        <w:rPr>
          <w:lang w:val="en-AU" w:eastAsia="en-AU"/>
        </w:rPr>
        <w:t xml:space="preserve">approaches for </w:t>
      </w:r>
      <w:r w:rsidR="006213FA">
        <w:rPr>
          <w:lang w:val="en-AU" w:eastAsia="en-AU"/>
        </w:rPr>
        <w:t>data interpretation</w:t>
      </w:r>
      <w:r w:rsidR="006F524F" w:rsidRPr="006213FA">
        <w:rPr>
          <w:lang w:val="en-AU" w:eastAsia="en-AU"/>
        </w:rPr>
        <w:t xml:space="preserve"> when samplers are not/</w:t>
      </w:r>
      <w:r w:rsidR="00332BFF">
        <w:rPr>
          <w:lang w:val="en-AU" w:eastAsia="en-AU"/>
        </w:rPr>
        <w:t xml:space="preserve"> </w:t>
      </w:r>
      <w:r w:rsidR="006F524F" w:rsidRPr="006213FA">
        <w:rPr>
          <w:lang w:val="en-AU" w:eastAsia="en-AU"/>
        </w:rPr>
        <w:t xml:space="preserve">cannot be deployed or are </w:t>
      </w:r>
      <w:r w:rsidR="006213FA" w:rsidRPr="006213FA">
        <w:rPr>
          <w:lang w:val="en-AU" w:eastAsia="en-AU"/>
        </w:rPr>
        <w:t>lost</w:t>
      </w:r>
      <w:r w:rsidR="00A63CE0">
        <w:rPr>
          <w:lang w:val="en-AU" w:eastAsia="en-AU"/>
        </w:rPr>
        <w:t xml:space="preserve"> </w:t>
      </w:r>
      <w:r w:rsidR="006F524F" w:rsidRPr="006213FA">
        <w:rPr>
          <w:lang w:val="en-AU" w:eastAsia="en-AU"/>
        </w:rPr>
        <w:t xml:space="preserve">are given in </w:t>
      </w:r>
      <w:r w:rsidR="00015E51">
        <w:rPr>
          <w:lang w:val="en-AU" w:eastAsia="en-AU"/>
        </w:rPr>
        <w:t>Appendix A</w:t>
      </w:r>
      <w:r w:rsidR="00AA5CA2">
        <w:rPr>
          <w:lang w:val="en-AU" w:eastAsia="en-AU"/>
        </w:rPr>
        <w:t>:</w:t>
      </w:r>
      <w:r w:rsidR="002409CC" w:rsidRPr="006213FA">
        <w:rPr>
          <w:lang w:val="en-AU" w:eastAsia="en-AU"/>
        </w:rPr>
        <w:t xml:space="preserve"> A-1.</w:t>
      </w:r>
    </w:p>
    <w:p w14:paraId="09AB6C8E" w14:textId="77777777" w:rsidR="00F36829" w:rsidRDefault="00F36829" w:rsidP="002439C8">
      <w:pPr>
        <w:spacing w:line="276" w:lineRule="auto"/>
        <w:jc w:val="left"/>
        <w:rPr>
          <w:lang w:val="en-AU" w:eastAsia="en-AU"/>
        </w:rPr>
      </w:pPr>
    </w:p>
    <w:p w14:paraId="107027C8" w14:textId="77777777" w:rsidR="002D401F" w:rsidRPr="002D401F" w:rsidRDefault="000648FB" w:rsidP="002439C8">
      <w:pPr>
        <w:pStyle w:val="Heading2"/>
        <w:jc w:val="left"/>
      </w:pPr>
      <w:bookmarkStart w:id="118" w:name="_Toc14435684"/>
      <w:bookmarkStart w:id="119" w:name="_Toc461457757"/>
      <w:r>
        <w:t>P</w:t>
      </w:r>
      <w:r w:rsidR="00170EC4" w:rsidRPr="004E0EF8">
        <w:t>esticide</w:t>
      </w:r>
      <w:r>
        <w:t xml:space="preserve"> </w:t>
      </w:r>
      <w:r w:rsidR="00170EC4" w:rsidRPr="004E0EF8">
        <w:t>analys</w:t>
      </w:r>
      <w:r>
        <w:t>e</w:t>
      </w:r>
      <w:r w:rsidR="00170EC4" w:rsidRPr="004E0EF8">
        <w:t xml:space="preserve">s and </w:t>
      </w:r>
      <w:r>
        <w:t>reporting QA</w:t>
      </w:r>
      <w:r w:rsidR="00913F0E">
        <w:t>/</w:t>
      </w:r>
      <w:r>
        <w:t>QC</w:t>
      </w:r>
      <w:bookmarkEnd w:id="118"/>
      <w:r w:rsidR="00170EC4" w:rsidRPr="004E0EF8">
        <w:t xml:space="preserve"> </w:t>
      </w:r>
    </w:p>
    <w:p w14:paraId="39B2CCDE" w14:textId="77777777" w:rsidR="000648FB" w:rsidRDefault="000648FB" w:rsidP="002439C8">
      <w:pPr>
        <w:pStyle w:val="Heading3"/>
        <w:jc w:val="left"/>
      </w:pPr>
      <w:bookmarkStart w:id="120" w:name="_Toc14435685"/>
      <w:r>
        <w:t>Target pesticides</w:t>
      </w:r>
      <w:bookmarkEnd w:id="120"/>
    </w:p>
    <w:p w14:paraId="1B6A36BE" w14:textId="27249466" w:rsidR="002D401F" w:rsidRDefault="006213FA" w:rsidP="002439C8">
      <w:pPr>
        <w:spacing w:line="276" w:lineRule="auto"/>
        <w:jc w:val="left"/>
        <w:rPr>
          <w:lang w:val="en-AU"/>
        </w:rPr>
      </w:pPr>
      <w:r>
        <w:rPr>
          <w:lang w:val="en-AU"/>
        </w:rPr>
        <w:t xml:space="preserve">The list of target pesticides included in this report and their rationale for inclusion are given in </w:t>
      </w:r>
      <w:r w:rsidR="00015E51">
        <w:rPr>
          <w:lang w:val="en-AU" w:eastAsia="en-AU"/>
        </w:rPr>
        <w:t>Appendix A</w:t>
      </w:r>
      <w:r>
        <w:rPr>
          <w:lang w:val="en-AU"/>
        </w:rPr>
        <w:t>:</w:t>
      </w:r>
      <w:r w:rsidRPr="006213FA">
        <w:rPr>
          <w:lang w:val="en-AU" w:eastAsia="en-AU"/>
        </w:rPr>
        <w:t xml:space="preserve"> A-</w:t>
      </w:r>
      <w:r>
        <w:rPr>
          <w:lang w:val="en-AU" w:eastAsia="en-AU"/>
        </w:rPr>
        <w:t xml:space="preserve">2 and </w:t>
      </w:r>
      <w:r>
        <w:rPr>
          <w:rFonts w:cs="Arial"/>
          <w:highlight w:val="yellow"/>
          <w:lang w:val="en-AU"/>
        </w:rPr>
        <w:fldChar w:fldCharType="begin"/>
      </w:r>
      <w:r>
        <w:rPr>
          <w:rFonts w:cs="Arial"/>
          <w:highlight w:val="yellow"/>
          <w:lang w:val="en-AU"/>
        </w:rPr>
        <w:instrText xml:space="preserve"> REF _Ref480726503 \h </w:instrText>
      </w:r>
      <w:r w:rsidR="002439C8">
        <w:rPr>
          <w:rFonts w:cs="Arial"/>
          <w:highlight w:val="yellow"/>
          <w:lang w:val="en-AU"/>
        </w:rPr>
        <w:instrText xml:space="preserve"> \* MERGEFORMAT </w:instrText>
      </w:r>
      <w:r>
        <w:rPr>
          <w:rFonts w:cs="Arial"/>
          <w:highlight w:val="yellow"/>
          <w:lang w:val="en-AU"/>
        </w:rPr>
      </w:r>
      <w:r>
        <w:rPr>
          <w:rFonts w:cs="Arial"/>
          <w:highlight w:val="yellow"/>
          <w:lang w:val="en-AU"/>
        </w:rPr>
        <w:fldChar w:fldCharType="separate"/>
      </w:r>
      <w:r w:rsidR="00251B46" w:rsidRPr="00D706B9">
        <w:t xml:space="preserve">Table </w:t>
      </w:r>
      <w:r w:rsidR="00251B46">
        <w:rPr>
          <w:noProof/>
        </w:rPr>
        <w:t>A</w:t>
      </w:r>
      <w:r w:rsidR="00251B46" w:rsidRPr="00D706B9">
        <w:rPr>
          <w:noProof/>
        </w:rPr>
        <w:noBreakHyphen/>
      </w:r>
      <w:r w:rsidR="00251B46">
        <w:rPr>
          <w:noProof/>
        </w:rPr>
        <w:t>4</w:t>
      </w:r>
      <w:r>
        <w:rPr>
          <w:rFonts w:cs="Arial"/>
          <w:highlight w:val="yellow"/>
          <w:lang w:val="en-AU"/>
        </w:rPr>
        <w:fldChar w:fldCharType="end"/>
      </w:r>
      <w:r>
        <w:rPr>
          <w:lang w:val="en-AU"/>
        </w:rPr>
        <w:t>.</w:t>
      </w:r>
    </w:p>
    <w:p w14:paraId="54C2E58C" w14:textId="77777777" w:rsidR="0059608E" w:rsidRPr="00C11BBA" w:rsidRDefault="00170EC4" w:rsidP="002439C8">
      <w:pPr>
        <w:pStyle w:val="Heading3"/>
        <w:jc w:val="left"/>
      </w:pPr>
      <w:bookmarkStart w:id="121" w:name="_Toc14435686"/>
      <w:r>
        <w:t>Instrument analyses</w:t>
      </w:r>
      <w:bookmarkEnd w:id="119"/>
      <w:r w:rsidR="0059608E" w:rsidRPr="00C11BBA">
        <w:t xml:space="preserve"> </w:t>
      </w:r>
      <w:r w:rsidR="002255B7">
        <w:t>and quality assurance quality control (QA</w:t>
      </w:r>
      <w:r w:rsidR="000F1331">
        <w:t>/</w:t>
      </w:r>
      <w:r w:rsidR="002255B7">
        <w:t>QC)</w:t>
      </w:r>
      <w:bookmarkEnd w:id="121"/>
    </w:p>
    <w:p w14:paraId="53ED137C" w14:textId="77777777" w:rsidR="00AA5CA2" w:rsidRDefault="0059608E" w:rsidP="002439C8">
      <w:pPr>
        <w:spacing w:line="276" w:lineRule="auto"/>
        <w:jc w:val="left"/>
        <w:rPr>
          <w:lang w:val="en-AU"/>
        </w:rPr>
      </w:pPr>
      <w:r>
        <w:rPr>
          <w:lang w:val="en-AU"/>
        </w:rPr>
        <w:t xml:space="preserve">Analysis of non-polar pesticides </w:t>
      </w:r>
      <w:r w:rsidR="001A16CC">
        <w:rPr>
          <w:lang w:val="en-AU"/>
        </w:rPr>
        <w:t xml:space="preserve">using </w:t>
      </w:r>
      <w:r w:rsidR="00F039E6">
        <w:rPr>
          <w:lang w:val="en-AU"/>
        </w:rPr>
        <w:t>G</w:t>
      </w:r>
      <w:r w:rsidR="001A16CC">
        <w:rPr>
          <w:lang w:val="en-AU"/>
        </w:rPr>
        <w:t xml:space="preserve">as </w:t>
      </w:r>
      <w:r w:rsidR="00F039E6">
        <w:rPr>
          <w:lang w:val="en-AU"/>
        </w:rPr>
        <w:t>C</w:t>
      </w:r>
      <w:r w:rsidR="001A16CC">
        <w:rPr>
          <w:lang w:val="en-AU"/>
        </w:rPr>
        <w:t>hromatography</w:t>
      </w:r>
      <w:r w:rsidR="00BF4F25">
        <w:rPr>
          <w:lang w:val="en-AU"/>
        </w:rPr>
        <w:t>-</w:t>
      </w:r>
      <w:r w:rsidR="00F039E6">
        <w:rPr>
          <w:lang w:val="en-AU"/>
        </w:rPr>
        <w:t>Mass S</w:t>
      </w:r>
      <w:r w:rsidR="001A16CC">
        <w:rPr>
          <w:lang w:val="en-AU"/>
        </w:rPr>
        <w:t>pectrometry (</w:t>
      </w:r>
      <w:r>
        <w:rPr>
          <w:lang w:val="en-AU"/>
        </w:rPr>
        <w:t xml:space="preserve">GC-MS) and </w:t>
      </w:r>
      <w:r w:rsidR="006145AF">
        <w:rPr>
          <w:lang w:val="en-AU"/>
        </w:rPr>
        <w:t xml:space="preserve">polar </w:t>
      </w:r>
      <w:r w:rsidR="00FC6A00">
        <w:rPr>
          <w:lang w:val="en-AU"/>
        </w:rPr>
        <w:t>pesticides</w:t>
      </w:r>
      <w:r>
        <w:rPr>
          <w:lang w:val="en-AU"/>
        </w:rPr>
        <w:t xml:space="preserve"> </w:t>
      </w:r>
      <w:r w:rsidR="006145AF">
        <w:rPr>
          <w:lang w:val="en-AU"/>
        </w:rPr>
        <w:t xml:space="preserve">using </w:t>
      </w:r>
      <w:r w:rsidR="00F039E6">
        <w:rPr>
          <w:lang w:val="en-AU"/>
        </w:rPr>
        <w:t>L</w:t>
      </w:r>
      <w:r w:rsidR="001A16CC">
        <w:rPr>
          <w:lang w:val="en-AU"/>
        </w:rPr>
        <w:t xml:space="preserve">iquid </w:t>
      </w:r>
      <w:r w:rsidR="00F039E6">
        <w:rPr>
          <w:lang w:val="en-AU"/>
        </w:rPr>
        <w:t>C</w:t>
      </w:r>
      <w:r w:rsidR="001A16CC">
        <w:rPr>
          <w:lang w:val="en-AU"/>
        </w:rPr>
        <w:t>hromatography</w:t>
      </w:r>
      <w:r w:rsidR="00BF4F25">
        <w:rPr>
          <w:lang w:val="en-AU"/>
        </w:rPr>
        <w:t>-</w:t>
      </w:r>
      <w:r w:rsidR="0078355E">
        <w:rPr>
          <w:lang w:val="en-AU"/>
        </w:rPr>
        <w:t xml:space="preserve">tandem </w:t>
      </w:r>
      <w:r w:rsidR="00F039E6">
        <w:rPr>
          <w:lang w:val="en-AU"/>
        </w:rPr>
        <w:t>M</w:t>
      </w:r>
      <w:r w:rsidR="001A16CC">
        <w:rPr>
          <w:lang w:val="en-AU"/>
        </w:rPr>
        <w:t xml:space="preserve">ass </w:t>
      </w:r>
      <w:r w:rsidR="00F039E6">
        <w:rPr>
          <w:lang w:val="en-AU"/>
        </w:rPr>
        <w:t>S</w:t>
      </w:r>
      <w:r w:rsidR="001A16CC">
        <w:rPr>
          <w:lang w:val="en-AU"/>
        </w:rPr>
        <w:t xml:space="preserve">pectrometry </w:t>
      </w:r>
      <w:r>
        <w:rPr>
          <w:lang w:val="en-AU"/>
        </w:rPr>
        <w:t>(LC-MS</w:t>
      </w:r>
      <w:r w:rsidR="0078355E">
        <w:rPr>
          <w:lang w:val="en-AU"/>
        </w:rPr>
        <w:t>/MS</w:t>
      </w:r>
      <w:r>
        <w:rPr>
          <w:lang w:val="en-AU"/>
        </w:rPr>
        <w:t xml:space="preserve">) </w:t>
      </w:r>
      <w:r w:rsidR="00FF0A36">
        <w:rPr>
          <w:lang w:val="en-AU"/>
        </w:rPr>
        <w:t>was</w:t>
      </w:r>
      <w:r>
        <w:rPr>
          <w:lang w:val="en-AU"/>
        </w:rPr>
        <w:t xml:space="preserve"> conducted at </w:t>
      </w:r>
      <w:r w:rsidR="00272020">
        <w:rPr>
          <w:rFonts w:cs="Arial"/>
          <w:lang w:val="en-AU"/>
        </w:rPr>
        <w:t>Queensland Alliance for Environmental Health Sciences (formerly Entox) (</w:t>
      </w:r>
      <w:r w:rsidR="00170EC4">
        <w:rPr>
          <w:lang w:val="en-AU"/>
        </w:rPr>
        <w:t>QAEHS</w:t>
      </w:r>
      <w:r w:rsidR="00272020">
        <w:rPr>
          <w:lang w:val="en-AU"/>
        </w:rPr>
        <w:t>)</w:t>
      </w:r>
      <w:r>
        <w:rPr>
          <w:lang w:val="en-AU"/>
        </w:rPr>
        <w:t xml:space="preserve">. </w:t>
      </w:r>
      <w:r w:rsidR="00A8743F">
        <w:rPr>
          <w:lang w:val="en-AU"/>
        </w:rPr>
        <w:t xml:space="preserve">Further </w:t>
      </w:r>
      <w:r w:rsidR="005D5EEF">
        <w:rPr>
          <w:lang w:val="en-AU"/>
        </w:rPr>
        <w:t xml:space="preserve">analytical </w:t>
      </w:r>
      <w:r w:rsidR="00A8743F">
        <w:rPr>
          <w:lang w:val="en-AU"/>
        </w:rPr>
        <w:t>details are given in</w:t>
      </w:r>
      <w:r w:rsidR="007C49F7">
        <w:rPr>
          <w:lang w:val="en-AU"/>
        </w:rPr>
        <w:t xml:space="preserve"> Appendix A.</w:t>
      </w:r>
    </w:p>
    <w:p w14:paraId="49115DE7" w14:textId="77777777" w:rsidR="00FF0A36" w:rsidRPr="00FF0A36" w:rsidRDefault="00FF0A36" w:rsidP="002439C8">
      <w:pPr>
        <w:spacing w:line="276" w:lineRule="auto"/>
        <w:jc w:val="left"/>
        <w:rPr>
          <w:lang w:val="en-AU"/>
        </w:rPr>
      </w:pPr>
    </w:p>
    <w:p w14:paraId="3A4C494D" w14:textId="77777777" w:rsidR="00AA5CA2" w:rsidRDefault="00AA5CA2" w:rsidP="002439C8">
      <w:pPr>
        <w:spacing w:line="276" w:lineRule="auto"/>
        <w:jc w:val="left"/>
        <w:rPr>
          <w:lang w:val="en-AU"/>
        </w:rPr>
      </w:pPr>
      <w:r>
        <w:rPr>
          <w:lang w:val="en-AU"/>
        </w:rPr>
        <w:t>Q</w:t>
      </w:r>
      <w:r w:rsidRPr="00113274">
        <w:rPr>
          <w:lang w:val="en-AU"/>
        </w:rPr>
        <w:t>uality assurance quality control (QA</w:t>
      </w:r>
      <w:r>
        <w:rPr>
          <w:lang w:val="en-AU"/>
        </w:rPr>
        <w:t>/</w:t>
      </w:r>
      <w:r w:rsidRPr="00113274">
        <w:rPr>
          <w:lang w:val="en-AU"/>
        </w:rPr>
        <w:t xml:space="preserve">QC) includes the extraction and analysis of replicate ED samplers </w:t>
      </w:r>
      <w:r w:rsidRPr="005D5EEF">
        <w:rPr>
          <w:lang w:val="en-AU"/>
        </w:rPr>
        <w:t>(</w:t>
      </w:r>
      <w:r>
        <w:rPr>
          <w:lang w:val="en-AU"/>
        </w:rPr>
        <w:t>i.e. to test the</w:t>
      </w:r>
      <w:r w:rsidRPr="00AA5CA2">
        <w:t xml:space="preserve"> </w:t>
      </w:r>
      <w:r>
        <w:t>variability in the overall performance (chemical uptake) of the EDs</w:t>
      </w:r>
      <w:r w:rsidRPr="005D5EEF">
        <w:rPr>
          <w:lang w:val="en-AU"/>
        </w:rPr>
        <w:t>).</w:t>
      </w:r>
      <w:r w:rsidR="00FF698F">
        <w:rPr>
          <w:noProof/>
          <w:lang w:val="en-AU"/>
        </w:rPr>
        <w:t xml:space="preserve"> </w:t>
      </w:r>
      <w:r>
        <w:rPr>
          <w:noProof/>
          <w:lang w:val="en-AU"/>
        </w:rPr>
        <w:t>Duplicate</w:t>
      </w:r>
      <w:r w:rsidRPr="002255B7">
        <w:rPr>
          <w:lang w:val="en-AU"/>
        </w:rPr>
        <w:t xml:space="preserve"> analysis of </w:t>
      </w:r>
      <w:r w:rsidR="00647D60">
        <w:rPr>
          <w:lang w:val="en-AU"/>
        </w:rPr>
        <w:t xml:space="preserve">24 </w:t>
      </w:r>
      <w:r>
        <w:rPr>
          <w:lang w:val="en-AU"/>
        </w:rPr>
        <w:t xml:space="preserve">ED samplers </w:t>
      </w:r>
      <w:r w:rsidR="00647D60">
        <w:rPr>
          <w:lang w:val="en-AU"/>
        </w:rPr>
        <w:t xml:space="preserve">and four grab samples </w:t>
      </w:r>
      <w:r>
        <w:rPr>
          <w:lang w:val="en-AU"/>
        </w:rPr>
        <w:t>resulted in</w:t>
      </w:r>
      <w:r w:rsidRPr="002255B7">
        <w:rPr>
          <w:lang w:val="en-AU"/>
        </w:rPr>
        <w:t xml:space="preserve"> </w:t>
      </w:r>
      <w:r>
        <w:rPr>
          <w:lang w:val="en-AU"/>
        </w:rPr>
        <w:t>mean coefficients of variation</w:t>
      </w:r>
      <w:r w:rsidRPr="002255B7">
        <w:rPr>
          <w:lang w:val="en-AU"/>
        </w:rPr>
        <w:t xml:space="preserve"> for replicates </w:t>
      </w:r>
      <w:r>
        <w:rPr>
          <w:lang w:val="en-AU"/>
        </w:rPr>
        <w:t>ranging from</w:t>
      </w:r>
      <w:r w:rsidRPr="002255B7">
        <w:rPr>
          <w:lang w:val="en-AU"/>
        </w:rPr>
        <w:t xml:space="preserve"> </w:t>
      </w:r>
      <w:r w:rsidR="00500E83">
        <w:rPr>
          <w:lang w:val="en-AU"/>
        </w:rPr>
        <w:t>3.3</w:t>
      </w:r>
      <w:r w:rsidRPr="002255B7">
        <w:rPr>
          <w:lang w:val="en-AU"/>
        </w:rPr>
        <w:t xml:space="preserve">% </w:t>
      </w:r>
      <w:r>
        <w:rPr>
          <w:lang w:val="en-AU"/>
        </w:rPr>
        <w:t xml:space="preserve">to </w:t>
      </w:r>
      <w:r w:rsidR="00500E83">
        <w:rPr>
          <w:lang w:val="en-AU"/>
        </w:rPr>
        <w:t>55</w:t>
      </w:r>
      <w:r w:rsidRPr="002255B7">
        <w:rPr>
          <w:lang w:val="en-AU"/>
        </w:rPr>
        <w:t>%</w:t>
      </w:r>
      <w:r>
        <w:rPr>
          <w:lang w:val="en-AU"/>
        </w:rPr>
        <w:t xml:space="preserve"> </w:t>
      </w:r>
      <w:r w:rsidR="00AC47A9">
        <w:rPr>
          <w:lang w:val="en-AU"/>
        </w:rPr>
        <w:t>Table A-1).</w:t>
      </w:r>
      <w:r w:rsidRPr="002255B7">
        <w:rPr>
          <w:lang w:val="en-AU"/>
        </w:rPr>
        <w:t xml:space="preserve"> </w:t>
      </w:r>
    </w:p>
    <w:p w14:paraId="1BA4D568" w14:textId="77777777" w:rsidR="00AA5CA2" w:rsidRPr="00F61105" w:rsidRDefault="00AA5CA2" w:rsidP="002439C8">
      <w:pPr>
        <w:spacing w:line="276" w:lineRule="auto"/>
        <w:jc w:val="left"/>
        <w:rPr>
          <w:lang w:val="en-AU"/>
        </w:rPr>
      </w:pPr>
    </w:p>
    <w:p w14:paraId="1D9BC6BB" w14:textId="415DC673" w:rsidR="0078355E" w:rsidRDefault="002255B7" w:rsidP="002439C8">
      <w:pPr>
        <w:spacing w:line="276" w:lineRule="auto"/>
        <w:jc w:val="left"/>
        <w:rPr>
          <w:lang w:val="en-AU"/>
        </w:rPr>
      </w:pPr>
      <w:r w:rsidRPr="002255B7">
        <w:rPr>
          <w:lang w:val="en-AU"/>
        </w:rPr>
        <w:t xml:space="preserve">Blanks were extracted and analysed with every batch of samples. </w:t>
      </w:r>
      <w:r w:rsidR="0083578F" w:rsidRPr="002255B7">
        <w:rPr>
          <w:lang w:val="en-AU"/>
        </w:rPr>
        <w:t>Most</w:t>
      </w:r>
      <w:r w:rsidRPr="002255B7">
        <w:rPr>
          <w:lang w:val="en-AU"/>
        </w:rPr>
        <w:t xml:space="preserve"> </w:t>
      </w:r>
      <w:r>
        <w:rPr>
          <w:lang w:val="en-AU"/>
        </w:rPr>
        <w:t>pesticides</w:t>
      </w:r>
      <w:r w:rsidRPr="002255B7">
        <w:rPr>
          <w:lang w:val="en-AU"/>
        </w:rPr>
        <w:t xml:space="preserve"> were below the limit of </w:t>
      </w:r>
      <w:r>
        <w:rPr>
          <w:lang w:val="en-AU"/>
        </w:rPr>
        <w:t>detection</w:t>
      </w:r>
      <w:r w:rsidRPr="002255B7">
        <w:rPr>
          <w:lang w:val="en-AU"/>
        </w:rPr>
        <w:t xml:space="preserve"> (LO</w:t>
      </w:r>
      <w:r>
        <w:rPr>
          <w:lang w:val="en-AU"/>
        </w:rPr>
        <w:t>D</w:t>
      </w:r>
      <w:r w:rsidRPr="002255B7">
        <w:rPr>
          <w:lang w:val="en-AU"/>
        </w:rPr>
        <w:t xml:space="preserve">) in batch blanks. </w:t>
      </w:r>
      <w:r w:rsidR="0038278E">
        <w:rPr>
          <w:lang w:val="en-AU"/>
        </w:rPr>
        <w:t xml:space="preserve">Where blank values were detected, sample concentrations in that batch that were less than 3 times the blank value were excluded from summary statistics and are </w:t>
      </w:r>
      <w:r w:rsidR="002A0D7D">
        <w:rPr>
          <w:lang w:val="en-AU"/>
        </w:rPr>
        <w:t xml:space="preserve">shown with a “&lt;” in the data tables in </w:t>
      </w:r>
      <w:r w:rsidR="005D5EEF">
        <w:rPr>
          <w:lang w:val="en-AU"/>
        </w:rPr>
        <w:fldChar w:fldCharType="begin"/>
      </w:r>
      <w:r w:rsidR="005D5EEF">
        <w:rPr>
          <w:lang w:val="en-AU"/>
        </w:rPr>
        <w:instrText xml:space="preserve"> REF _Ref335637596 \n \h </w:instrText>
      </w:r>
      <w:r w:rsidR="002439C8">
        <w:rPr>
          <w:lang w:val="en-AU"/>
        </w:rPr>
        <w:instrText xml:space="preserve"> \* MERGEFORMAT </w:instrText>
      </w:r>
      <w:r w:rsidR="005D5EEF">
        <w:rPr>
          <w:lang w:val="en-AU"/>
        </w:rPr>
      </w:r>
      <w:r w:rsidR="005D5EEF">
        <w:rPr>
          <w:lang w:val="en-AU"/>
        </w:rPr>
        <w:fldChar w:fldCharType="separate"/>
      </w:r>
      <w:r w:rsidR="00251B46">
        <w:rPr>
          <w:lang w:val="en-AU"/>
        </w:rPr>
        <w:t xml:space="preserve">Appendix F </w:t>
      </w:r>
      <w:r w:rsidR="005D5EEF">
        <w:rPr>
          <w:lang w:val="en-AU"/>
        </w:rPr>
        <w:fldChar w:fldCharType="end"/>
      </w:r>
      <w:r w:rsidR="005D5EEF">
        <w:rPr>
          <w:lang w:val="en-AU"/>
        </w:rPr>
        <w:t xml:space="preserve">. </w:t>
      </w:r>
    </w:p>
    <w:p w14:paraId="7C23C680" w14:textId="77777777" w:rsidR="00500E83" w:rsidRDefault="00500E83" w:rsidP="002439C8">
      <w:pPr>
        <w:spacing w:line="276" w:lineRule="auto"/>
        <w:jc w:val="left"/>
        <w:rPr>
          <w:lang w:val="en-AU"/>
        </w:rPr>
      </w:pPr>
    </w:p>
    <w:p w14:paraId="03832326" w14:textId="73B0EFB1" w:rsidR="0078355E" w:rsidRDefault="0078355E" w:rsidP="002439C8">
      <w:pPr>
        <w:spacing w:line="276" w:lineRule="auto"/>
        <w:jc w:val="left"/>
        <w:rPr>
          <w:rFonts w:cs="Arial"/>
        </w:rPr>
      </w:pPr>
      <w:r w:rsidRPr="0078355E">
        <w:rPr>
          <w:rFonts w:cs="Arial"/>
        </w:rPr>
        <w:t xml:space="preserve">The </w:t>
      </w:r>
      <w:r w:rsidR="009B5FAA">
        <w:rPr>
          <w:rFonts w:cs="Arial"/>
        </w:rPr>
        <w:t>LOD</w:t>
      </w:r>
      <w:r w:rsidRPr="0078355E">
        <w:rPr>
          <w:rFonts w:cs="Arial"/>
        </w:rPr>
        <w:t xml:space="preserve"> for the LC</w:t>
      </w:r>
      <w:r>
        <w:rPr>
          <w:rFonts w:cs="Arial"/>
        </w:rPr>
        <w:t>-</w:t>
      </w:r>
      <w:r w:rsidRPr="0078355E">
        <w:rPr>
          <w:rFonts w:cs="Arial"/>
        </w:rPr>
        <w:t xml:space="preserve">MS/MS instrument data are defined as follows: LODs are determined by adding a very low level of analyte to a matrix and injecting </w:t>
      </w:r>
      <w:r w:rsidR="00272020">
        <w:rPr>
          <w:rFonts w:cs="Arial"/>
        </w:rPr>
        <w:t>nine</w:t>
      </w:r>
      <w:r w:rsidR="00272020" w:rsidRPr="0078355E">
        <w:rPr>
          <w:rFonts w:cs="Arial"/>
        </w:rPr>
        <w:t xml:space="preserve"> </w:t>
      </w:r>
      <w:r w:rsidRPr="0078355E">
        <w:rPr>
          <w:rFonts w:cs="Arial"/>
        </w:rPr>
        <w:t xml:space="preserve">times into the instrument. The standard deviation of the resultant signals is obtained and a multiplication factor of </w:t>
      </w:r>
      <w:r w:rsidR="00272020">
        <w:rPr>
          <w:rFonts w:cs="Arial"/>
        </w:rPr>
        <w:t>three</w:t>
      </w:r>
      <w:r w:rsidRPr="0078355E">
        <w:rPr>
          <w:rFonts w:cs="Arial"/>
        </w:rPr>
        <w:t xml:space="preserve"> is applied to obtain the LOD. Values below the LOD are defined as </w:t>
      </w:r>
      <w:r w:rsidR="0083578F">
        <w:rPr>
          <w:rFonts w:cs="Arial"/>
        </w:rPr>
        <w:t>non-detects (</w:t>
      </w:r>
      <w:r w:rsidRPr="0078355E">
        <w:rPr>
          <w:rFonts w:cs="Arial"/>
        </w:rPr>
        <w:t>n.d.</w:t>
      </w:r>
      <w:r w:rsidR="0083578F">
        <w:rPr>
          <w:rFonts w:cs="Arial"/>
        </w:rPr>
        <w:t>)</w:t>
      </w:r>
      <w:r w:rsidRPr="0078355E">
        <w:rPr>
          <w:rFonts w:cs="Arial"/>
        </w:rPr>
        <w:t xml:space="preserve"> in all tables in this report. The limit of reporting (LOR) is defined as </w:t>
      </w:r>
      <w:r w:rsidR="00272020">
        <w:rPr>
          <w:rFonts w:cs="Arial"/>
        </w:rPr>
        <w:t>three</w:t>
      </w:r>
      <w:r w:rsidRPr="0078355E">
        <w:rPr>
          <w:rFonts w:cs="Arial"/>
        </w:rPr>
        <w:t xml:space="preserve"> times the LOD. Values above </w:t>
      </w:r>
      <w:r w:rsidR="00AA5CA2">
        <w:rPr>
          <w:rFonts w:cs="Arial"/>
        </w:rPr>
        <w:t>LOD but below LOR</w:t>
      </w:r>
      <w:r w:rsidRPr="0078355E">
        <w:rPr>
          <w:rFonts w:cs="Arial"/>
        </w:rPr>
        <w:t xml:space="preserve"> are shown in the tables in this report in italic</w:t>
      </w:r>
      <w:r>
        <w:rPr>
          <w:rFonts w:cs="Arial"/>
        </w:rPr>
        <w:t xml:space="preserve">s. Whilst there is some uncertainty regarding the accuracy of these relatively low concentrations, to be conservative, these values are included in summary statistics and </w:t>
      </w:r>
      <w:r w:rsidR="00272020">
        <w:rPr>
          <w:rFonts w:cs="Arial"/>
          <w:lang w:val="en-AU"/>
        </w:rPr>
        <w:t>m</w:t>
      </w:r>
      <w:r w:rsidR="00272020" w:rsidRPr="00E30957">
        <w:rPr>
          <w:rFonts w:cs="Arial"/>
          <w:lang w:val="en-AU"/>
        </w:rPr>
        <w:t>ulti</w:t>
      </w:r>
      <w:r w:rsidR="00272020">
        <w:rPr>
          <w:rFonts w:cs="Arial"/>
          <w:lang w:val="en-AU"/>
        </w:rPr>
        <w:t>-</w:t>
      </w:r>
      <w:r w:rsidR="00272020" w:rsidRPr="00E30957">
        <w:rPr>
          <w:rFonts w:cs="Arial"/>
          <w:lang w:val="en-AU"/>
        </w:rPr>
        <w:t>substance potentially affected fraction</w:t>
      </w:r>
      <w:r w:rsidR="00272020">
        <w:rPr>
          <w:rFonts w:cs="Arial"/>
        </w:rPr>
        <w:t xml:space="preserve"> (</w:t>
      </w:r>
      <w:r w:rsidR="005E2B71">
        <w:rPr>
          <w:rFonts w:cs="Arial"/>
        </w:rPr>
        <w:t>ms</w:t>
      </w:r>
      <w:r w:rsidR="005E2B71">
        <w:rPr>
          <w:rFonts w:cs="Arial"/>
        </w:rPr>
        <w:noBreakHyphen/>
        <w:t>PAF</w:t>
      </w:r>
      <w:r w:rsidR="00272020">
        <w:rPr>
          <w:rFonts w:cs="Arial"/>
        </w:rPr>
        <w:t>)</w:t>
      </w:r>
      <w:r>
        <w:rPr>
          <w:rFonts w:cs="Arial"/>
        </w:rPr>
        <w:t xml:space="preserve"> values and thus represent the </w:t>
      </w:r>
      <w:r w:rsidR="00200C83">
        <w:rPr>
          <w:rFonts w:cs="Arial"/>
        </w:rPr>
        <w:t>worst-case</w:t>
      </w:r>
      <w:r>
        <w:rPr>
          <w:rFonts w:cs="Arial"/>
        </w:rPr>
        <w:t xml:space="preserve"> scenario.</w:t>
      </w:r>
    </w:p>
    <w:p w14:paraId="786EC671" w14:textId="77777777" w:rsidR="00ED04A1" w:rsidRDefault="00ED04A1" w:rsidP="002439C8">
      <w:pPr>
        <w:pStyle w:val="Heading3"/>
        <w:jc w:val="left"/>
      </w:pPr>
      <w:bookmarkStart w:id="122" w:name="_Toc14435687"/>
      <w:r>
        <w:t>Calculating the pesticide concentrations</w:t>
      </w:r>
      <w:bookmarkEnd w:id="122"/>
    </w:p>
    <w:p w14:paraId="4CBFD396" w14:textId="1BADC76C" w:rsidR="00ED04A1" w:rsidRDefault="00ED04A1" w:rsidP="002439C8">
      <w:pPr>
        <w:spacing w:line="276" w:lineRule="auto"/>
        <w:jc w:val="left"/>
        <w:rPr>
          <w:lang w:val="en-AU"/>
        </w:rPr>
      </w:pPr>
      <w:r>
        <w:rPr>
          <w:lang w:val="en-AU"/>
        </w:rPr>
        <w:t xml:space="preserve">Once the concentrations of pesticides in the extract were measured, they are converted to </w:t>
      </w:r>
      <w:r w:rsidR="007E71A2" w:rsidRPr="007E71A2">
        <w:rPr>
          <w:lang w:val="en-AU"/>
        </w:rPr>
        <w:t>a time-integrated concentration in water (n</w:t>
      </w:r>
      <w:r w:rsidR="00FE6E97">
        <w:rPr>
          <w:lang w:val="en-AU"/>
        </w:rPr>
        <w:t>g L</w:t>
      </w:r>
      <w:r w:rsidR="005C25EE" w:rsidRPr="00A209AA">
        <w:rPr>
          <w:vertAlign w:val="superscript"/>
          <w:lang w:val="en-GB" w:eastAsia="en-AU"/>
        </w:rPr>
        <w:noBreakHyphen/>
        <w:t>1</w:t>
      </w:r>
      <w:r w:rsidR="007E71A2" w:rsidRPr="007E71A2">
        <w:rPr>
          <w:lang w:val="en-AU"/>
        </w:rPr>
        <w:t>) using an in-situ derived sampling rate R</w:t>
      </w:r>
      <w:r w:rsidR="007E71A2" w:rsidRPr="00581507">
        <w:rPr>
          <w:vertAlign w:val="subscript"/>
          <w:lang w:val="en-AU"/>
        </w:rPr>
        <w:t>S</w:t>
      </w:r>
      <w:r w:rsidR="007E71A2" w:rsidRPr="007E71A2">
        <w:rPr>
          <w:lang w:val="en-AU"/>
        </w:rPr>
        <w:t xml:space="preserve"> (L</w:t>
      </w:r>
      <w:r w:rsidR="007E71A2">
        <w:rPr>
          <w:lang w:val="en-AU"/>
        </w:rPr>
        <w:t>/</w:t>
      </w:r>
      <w:r w:rsidR="007E71A2" w:rsidRPr="007E71A2">
        <w:rPr>
          <w:lang w:val="en-AU"/>
        </w:rPr>
        <w:t>day). In-situ sampling rates were derived usin</w:t>
      </w:r>
      <w:r w:rsidR="007E71A2">
        <w:rPr>
          <w:lang w:val="en-AU"/>
        </w:rPr>
        <w:t xml:space="preserve">g passive flow monitors (PFMs) </w:t>
      </w:r>
      <w:r w:rsidR="007E71A2" w:rsidRPr="007E71A2">
        <w:rPr>
          <w:lang w:val="en-AU"/>
        </w:rPr>
        <w:t>deployed in duplicate alongside the passive samplers</w:t>
      </w:r>
      <w:r w:rsidR="008C7A35">
        <w:rPr>
          <w:lang w:val="en-AU"/>
        </w:rPr>
        <w:t xml:space="preserve"> </w:t>
      </w:r>
      <w:r w:rsidR="008C7A35">
        <w:rPr>
          <w:lang w:val="en-AU"/>
        </w:rPr>
        <w:fldChar w:fldCharType="begin"/>
      </w:r>
      <w:r w:rsidR="008C7A35">
        <w:rPr>
          <w:lang w:val="en-AU"/>
        </w:rPr>
        <w:instrText xml:space="preserve"> ADDIN EN.CITE &lt;EndNote&gt;&lt;Cite&gt;&lt;Author&gt;O’Brien&lt;/Author&gt;&lt;Year&gt;2011&lt;/Year&gt;&lt;RecNum&gt;80&lt;/RecNum&gt;&lt;DisplayText&gt;(O’Brien et al., 2011a)&lt;/DisplayText&gt;&lt;record&gt;&lt;rec-number&gt;80&lt;/rec-number&gt;&lt;foreign-keys&gt;&lt;key app="EN" db-id="xtpvpwz0ufxa2me5tv6v2prn2ez5p9atsvtr" timestamp="1539144945"&gt;80&lt;/key&gt;&lt;/foreign-keys&gt;&lt;ref-type name="Journal Article"&gt;17&lt;/ref-type&gt;&lt;contributors&gt;&lt;authors&gt;&lt;author&gt;O’Brien, Dominique&lt;/author&gt;&lt;author&gt;Bartkow, Michael&lt;/author&gt;&lt;author&gt;Mueller, Jochen F&lt;/author&gt;&lt;/authors&gt;&lt;/contributors&gt;&lt;titles&gt;&lt;title&gt;Determination of deployment specific chemical uptake rates for SDB-RPD Empore disk using a passive flow monitor (PFM)&lt;/title&gt;&lt;secondary-title&gt;Chemosphere&lt;/secondary-title&gt;&lt;/titles&gt;&lt;periodical&gt;&lt;full-title&gt;Chemosphere&lt;/full-title&gt;&lt;/periodical&gt;&lt;pages&gt;1290-1295&lt;/pages&gt;&lt;volume&gt;83&lt;/volume&gt;&lt;number&gt;9&lt;/number&gt;&lt;dates&gt;&lt;year&gt;2011&lt;/year&gt;&lt;/dates&gt;&lt;isbn&gt;0045-6535&lt;/isbn&gt;&lt;urls&gt;&lt;/urls&gt;&lt;/record&gt;&lt;/Cite&gt;&lt;/EndNote&gt;</w:instrText>
      </w:r>
      <w:r w:rsidR="008C7A35">
        <w:rPr>
          <w:lang w:val="en-AU"/>
        </w:rPr>
        <w:fldChar w:fldCharType="separate"/>
      </w:r>
      <w:r w:rsidR="008C7A35">
        <w:rPr>
          <w:noProof/>
          <w:lang w:val="en-AU"/>
        </w:rPr>
        <w:t>(O’Brien et al., 2011a)</w:t>
      </w:r>
      <w:r w:rsidR="008C7A35">
        <w:rPr>
          <w:lang w:val="en-AU"/>
        </w:rPr>
        <w:fldChar w:fldCharType="end"/>
      </w:r>
      <w:r w:rsidR="007E71A2" w:rsidRPr="007E71A2">
        <w:rPr>
          <w:lang w:val="en-AU"/>
        </w:rPr>
        <w:t>. The R</w:t>
      </w:r>
      <w:r w:rsidR="007E71A2" w:rsidRPr="00581507">
        <w:rPr>
          <w:vertAlign w:val="subscript"/>
          <w:lang w:val="en-AU"/>
        </w:rPr>
        <w:t>S</w:t>
      </w:r>
      <w:r w:rsidR="007E71A2" w:rsidRPr="007E71A2">
        <w:rPr>
          <w:lang w:val="en-AU"/>
        </w:rPr>
        <w:t xml:space="preserve"> for atrazine and prometryn were directly predicted from the average in-situ flow velocity (m</w:t>
      </w:r>
      <w:r w:rsidR="008C7A35">
        <w:rPr>
          <w:lang w:val="en-AU"/>
        </w:rPr>
        <w:t>/</w:t>
      </w:r>
      <w:r w:rsidR="007E71A2" w:rsidRPr="007E71A2">
        <w:rPr>
          <w:lang w:val="en-AU"/>
        </w:rPr>
        <w:t>s) estimated by the rate of loss of plaster from the PFMs during the deployment period based on data from previous calibration studies</w:t>
      </w:r>
      <w:r w:rsidR="008C7A35">
        <w:rPr>
          <w:lang w:val="en-AU"/>
        </w:rPr>
        <w:t xml:space="preserve"> </w:t>
      </w:r>
      <w:r w:rsidR="008C7A35">
        <w:rPr>
          <w:lang w:val="en-AU"/>
        </w:rPr>
        <w:fldChar w:fldCharType="begin"/>
      </w:r>
      <w:r w:rsidR="002D0872">
        <w:rPr>
          <w:lang w:val="en-AU"/>
        </w:rPr>
        <w:instrText xml:space="preserve"> ADDIN EN.CITE &lt;EndNote&gt;&lt;Cite&gt;&lt;Author&gt;O’Brien&lt;/Author&gt;&lt;Year&gt;2011&lt;/Year&gt;&lt;RecNum&gt;80&lt;/RecNum&gt;&lt;DisplayText&gt;(O’Brien et al., 2011a; O’Brien et al., 2011b)&lt;/DisplayText&gt;&lt;record&gt;&lt;rec-number&gt;80&lt;/rec-number&gt;&lt;foreign-keys&gt;&lt;key app="EN" db-id="xtpvpwz0ufxa2me5tv6v2prn2ez5p9atsvtr" timestamp="1539144945"&gt;80&lt;/key&gt;&lt;/foreign-keys&gt;&lt;ref-type name="Journal Article"&gt;17&lt;/ref-type&gt;&lt;contributors&gt;&lt;authors&gt;&lt;author&gt;O’Brien, Dominique&lt;/author&gt;&lt;author&gt;Bartkow, Michael&lt;/author&gt;&lt;author&gt;Mueller, Jochen F&lt;/author&gt;&lt;/authors&gt;&lt;/contributors&gt;&lt;titles&gt;&lt;title&gt;Determination of deployment specific chemical uptake rates for SDB-RPD Empore disk using a passive flow monitor (PFM)&lt;/title&gt;&lt;secondary-title&gt;Chemosphere&lt;/secondary-title&gt;&lt;/titles&gt;&lt;periodical&gt;&lt;full-title&gt;Chemosphere&lt;/full-title&gt;&lt;/periodical&gt;&lt;pages&gt;1290-1295&lt;/pages&gt;&lt;volume&gt;83&lt;/volume&gt;&lt;number&gt;9&lt;/number&gt;&lt;dates&gt;&lt;year&gt;2011&lt;/year&gt;&lt;/dates&gt;&lt;isbn&gt;0045-6535&lt;/isbn&gt;&lt;urls&gt;&lt;/urls&gt;&lt;/record&gt;&lt;/Cite&gt;&lt;Cite&gt;&lt;Author&gt;O’Brien&lt;/Author&gt;&lt;Year&gt;2011&lt;/Year&gt;&lt;RecNum&gt;74&lt;/RecNum&gt;&lt;record&gt;&lt;rec-number&gt;74&lt;/rec-number&gt;&lt;foreign-keys&gt;&lt;key app="EN" db-id="xtpvpwz0ufxa2me5tv6v2prn2ez5p9atsvtr" timestamp="1539144945"&gt;74&lt;/key&gt;&lt;/foreign-keys&gt;&lt;ref-type name="Journal Article"&gt;17&lt;/ref-type&gt;&lt;contributors&gt;&lt;authors&gt;&lt;author&gt;O’Brien, Dominique S&lt;/author&gt;&lt;author&gt;Booij, Kees&lt;/author&gt;&lt;author&gt;Hawker, Darryl W&lt;/author&gt;&lt;author&gt;Mueller, Jochen F&lt;/author&gt;&lt;/authors&gt;&lt;/contributors&gt;&lt;titles&gt;&lt;title&gt;Method for the in situ calibration of a passive phosphate sampler in estuarine and marine waters&lt;/title&gt;&lt;secondary-title&gt;Environmental science &amp;amp; technology&lt;/secondary-title&gt;&lt;/titles&gt;&lt;periodical&gt;&lt;full-title&gt;Environmental science &amp;amp; technology&lt;/full-title&gt;&lt;/periodical&gt;&lt;pages&gt;2871-2877&lt;/pages&gt;&lt;volume&gt;45&lt;/volume&gt;&lt;number&gt;7&lt;/number&gt;&lt;dates&gt;&lt;year&gt;2011&lt;/year&gt;&lt;/dates&gt;&lt;isbn&gt;0013-936X&lt;/isbn&gt;&lt;urls&gt;&lt;/urls&gt;&lt;/record&gt;&lt;/Cite&gt;&lt;/EndNote&gt;</w:instrText>
      </w:r>
      <w:r w:rsidR="008C7A35">
        <w:rPr>
          <w:lang w:val="en-AU"/>
        </w:rPr>
        <w:fldChar w:fldCharType="separate"/>
      </w:r>
      <w:r w:rsidR="002D0872">
        <w:rPr>
          <w:noProof/>
          <w:lang w:val="en-AU"/>
        </w:rPr>
        <w:t>(O’Brien et al., 2011a; O’Brien et al., 2011b)</w:t>
      </w:r>
      <w:r w:rsidR="008C7A35">
        <w:rPr>
          <w:lang w:val="en-AU"/>
        </w:rPr>
        <w:fldChar w:fldCharType="end"/>
      </w:r>
      <w:r w:rsidR="007E71A2" w:rsidRPr="007E71A2">
        <w:rPr>
          <w:lang w:val="en-AU"/>
        </w:rPr>
        <w:t>. The sampling rates of all other contaminants were either predicted from average ratios for the R</w:t>
      </w:r>
      <w:r w:rsidR="007E71A2" w:rsidRPr="00581507">
        <w:rPr>
          <w:vertAlign w:val="subscript"/>
          <w:lang w:val="en-AU"/>
        </w:rPr>
        <w:t>S</w:t>
      </w:r>
      <w:r w:rsidR="007E71A2" w:rsidRPr="007E71A2">
        <w:rPr>
          <w:lang w:val="en-AU"/>
        </w:rPr>
        <w:t xml:space="preserve"> of the target contaminant to that of atrazine based on a number of calibration studies (including for analogous contaminants for which no calibration data exist) or the sampling rate of atrazine was assumed (when no calibration data were available for analogous contaminants). </w:t>
      </w:r>
      <w:r>
        <w:rPr>
          <w:lang w:val="en-AU"/>
        </w:rPr>
        <w:t xml:space="preserve"> </w:t>
      </w:r>
    </w:p>
    <w:p w14:paraId="7625091D" w14:textId="77777777" w:rsidR="008C7A35" w:rsidRDefault="008C7A35" w:rsidP="002439C8">
      <w:pPr>
        <w:spacing w:line="276" w:lineRule="auto"/>
        <w:jc w:val="left"/>
        <w:rPr>
          <w:lang w:val="en-AU"/>
        </w:rPr>
      </w:pPr>
    </w:p>
    <w:p w14:paraId="05DBA5C2" w14:textId="77777777" w:rsidR="00ED04A1" w:rsidRPr="005C35F0" w:rsidRDefault="00ED04A1" w:rsidP="002439C8">
      <w:pPr>
        <w:spacing w:line="276" w:lineRule="auto"/>
        <w:jc w:val="left"/>
        <w:rPr>
          <w:lang w:val="en-AU" w:eastAsia="en-AU"/>
        </w:rPr>
      </w:pPr>
      <w:r w:rsidRPr="005C35F0">
        <w:rPr>
          <w:lang w:val="en-AU" w:eastAsia="en-AU"/>
        </w:rPr>
        <w:t xml:space="preserve">At present, there are limited passive sampler calibration data available for many of the other pesticides now in use in Reef </w:t>
      </w:r>
      <w:r>
        <w:rPr>
          <w:lang w:val="en-AU" w:eastAsia="en-AU"/>
        </w:rPr>
        <w:t>basin</w:t>
      </w:r>
      <w:r w:rsidRPr="005C35F0">
        <w:rPr>
          <w:lang w:val="en-AU" w:eastAsia="en-AU"/>
        </w:rPr>
        <w:t xml:space="preserve">s. Some pesticides (e.g. the herbicide asulam) are highly water soluble and unlikely to accumulate in passive samplers, and therefore grab </w:t>
      </w:r>
      <w:r w:rsidRPr="005C35F0">
        <w:rPr>
          <w:lang w:val="en-AU" w:eastAsia="en-AU"/>
        </w:rPr>
        <w:lastRenderedPageBreak/>
        <w:t xml:space="preserve">sampling </w:t>
      </w:r>
      <w:r>
        <w:rPr>
          <w:lang w:val="en-AU" w:eastAsia="en-AU"/>
        </w:rPr>
        <w:t>may</w:t>
      </w:r>
      <w:r w:rsidRPr="005C35F0">
        <w:rPr>
          <w:lang w:val="en-AU" w:eastAsia="en-AU"/>
        </w:rPr>
        <w:t xml:space="preserve"> increase the probability of detecting them in the marine environment. Calibration studies in the field are labour intensive</w:t>
      </w:r>
      <w:r>
        <w:rPr>
          <w:lang w:val="en-AU" w:eastAsia="en-AU"/>
        </w:rPr>
        <w:t>;</w:t>
      </w:r>
      <w:r w:rsidRPr="005C35F0">
        <w:rPr>
          <w:lang w:val="en-AU" w:eastAsia="en-AU"/>
        </w:rPr>
        <w:t xml:space="preserve"> however</w:t>
      </w:r>
      <w:r>
        <w:rPr>
          <w:lang w:val="en-AU" w:eastAsia="en-AU"/>
        </w:rPr>
        <w:t>,</w:t>
      </w:r>
      <w:r w:rsidRPr="005C35F0">
        <w:rPr>
          <w:lang w:val="en-AU" w:eastAsia="en-AU"/>
        </w:rPr>
        <w:t xml:space="preserve"> they may need to be considered in the future to better understand the uptake of these chemicals into passive samplers, and more accurately estimate water concentrations.</w:t>
      </w:r>
      <w:r>
        <w:rPr>
          <w:lang w:val="en-AU" w:eastAsia="en-AU"/>
        </w:rPr>
        <w:t xml:space="preserve"> </w:t>
      </w:r>
    </w:p>
    <w:p w14:paraId="5672BFA5" w14:textId="77777777" w:rsidR="00ED04A1" w:rsidRPr="0078355E" w:rsidRDefault="00ED04A1" w:rsidP="002439C8">
      <w:pPr>
        <w:spacing w:line="276" w:lineRule="auto"/>
        <w:jc w:val="left"/>
        <w:rPr>
          <w:lang w:val="en-AU"/>
        </w:rPr>
      </w:pPr>
    </w:p>
    <w:p w14:paraId="0B2EF150" w14:textId="77777777" w:rsidR="0059608E" w:rsidRPr="004E0EF8" w:rsidRDefault="00170EC4" w:rsidP="002439C8">
      <w:pPr>
        <w:pStyle w:val="Heading2"/>
        <w:jc w:val="left"/>
      </w:pPr>
      <w:bookmarkStart w:id="123" w:name="_Toc455069276"/>
      <w:bookmarkStart w:id="124" w:name="_Toc455069926"/>
      <w:bookmarkStart w:id="125" w:name="_Toc455070198"/>
      <w:bookmarkStart w:id="126" w:name="_Toc455151585"/>
      <w:bookmarkStart w:id="127" w:name="_Toc455069277"/>
      <w:bookmarkStart w:id="128" w:name="_Toc455069927"/>
      <w:bookmarkStart w:id="129" w:name="_Toc455070199"/>
      <w:bookmarkStart w:id="130" w:name="_Toc455151586"/>
      <w:bookmarkStart w:id="131" w:name="_Toc455069278"/>
      <w:bookmarkStart w:id="132" w:name="_Toc455069928"/>
      <w:bookmarkStart w:id="133" w:name="_Toc455070200"/>
      <w:bookmarkStart w:id="134" w:name="_Toc455151587"/>
      <w:bookmarkStart w:id="135" w:name="_Toc455069279"/>
      <w:bookmarkStart w:id="136" w:name="_Toc455069929"/>
      <w:bookmarkStart w:id="137" w:name="_Toc455070201"/>
      <w:bookmarkStart w:id="138" w:name="_Toc455151588"/>
      <w:bookmarkStart w:id="139" w:name="_Toc455069280"/>
      <w:bookmarkStart w:id="140" w:name="_Toc455069930"/>
      <w:bookmarkStart w:id="141" w:name="_Toc455070202"/>
      <w:bookmarkStart w:id="142" w:name="_Toc455151589"/>
      <w:bookmarkStart w:id="143" w:name="_Toc455069281"/>
      <w:bookmarkStart w:id="144" w:name="_Toc455069931"/>
      <w:bookmarkStart w:id="145" w:name="_Toc455070203"/>
      <w:bookmarkStart w:id="146" w:name="_Toc455151590"/>
      <w:bookmarkStart w:id="147" w:name="_Toc455069283"/>
      <w:bookmarkStart w:id="148" w:name="_Toc455069933"/>
      <w:bookmarkStart w:id="149" w:name="_Toc455070205"/>
      <w:bookmarkStart w:id="150" w:name="_Toc455151592"/>
      <w:bookmarkStart w:id="151" w:name="_Toc335638142"/>
      <w:bookmarkStart w:id="152" w:name="_Toc335640752"/>
      <w:bookmarkStart w:id="153" w:name="_Toc335638143"/>
      <w:bookmarkStart w:id="154" w:name="_Toc335640753"/>
      <w:bookmarkStart w:id="155" w:name="_Toc335638144"/>
      <w:bookmarkStart w:id="156" w:name="_Toc335640754"/>
      <w:bookmarkStart w:id="157" w:name="_Toc335638146"/>
      <w:bookmarkStart w:id="158" w:name="_Toc335640756"/>
      <w:bookmarkStart w:id="159" w:name="_Toc335638147"/>
      <w:bookmarkStart w:id="160" w:name="_Toc335640757"/>
      <w:bookmarkStart w:id="161" w:name="_Toc335638148"/>
      <w:bookmarkStart w:id="162" w:name="_Toc335640758"/>
      <w:bookmarkStart w:id="163" w:name="_Toc335638149"/>
      <w:bookmarkStart w:id="164" w:name="_Toc335640759"/>
      <w:bookmarkStart w:id="165" w:name="_Toc335638150"/>
      <w:bookmarkStart w:id="166" w:name="_Toc335640760"/>
      <w:bookmarkStart w:id="167" w:name="_Toc335638152"/>
      <w:bookmarkStart w:id="168" w:name="_Toc335640762"/>
      <w:bookmarkStart w:id="169" w:name="_Toc335638153"/>
      <w:bookmarkStart w:id="170" w:name="_Toc335640763"/>
      <w:bookmarkStart w:id="171" w:name="_Toc335638159"/>
      <w:bookmarkStart w:id="172" w:name="_Toc335640769"/>
      <w:bookmarkStart w:id="173" w:name="_Toc335638211"/>
      <w:bookmarkStart w:id="174" w:name="_Toc335640821"/>
      <w:bookmarkStart w:id="175" w:name="_Toc335638212"/>
      <w:bookmarkStart w:id="176" w:name="_Toc335640822"/>
      <w:bookmarkStart w:id="177" w:name="_Toc335638213"/>
      <w:bookmarkStart w:id="178" w:name="_Toc335640823"/>
      <w:bookmarkStart w:id="179" w:name="_Toc335638215"/>
      <w:bookmarkStart w:id="180" w:name="_Toc335640825"/>
      <w:bookmarkStart w:id="181" w:name="_Toc335638216"/>
      <w:bookmarkStart w:id="182" w:name="_Toc335640826"/>
      <w:bookmarkStart w:id="183" w:name="_Toc335638217"/>
      <w:bookmarkStart w:id="184" w:name="_Toc335640827"/>
      <w:bookmarkStart w:id="185" w:name="_Toc335638218"/>
      <w:bookmarkStart w:id="186" w:name="_Toc335640828"/>
      <w:bookmarkStart w:id="187" w:name="_Toc335638219"/>
      <w:bookmarkStart w:id="188" w:name="_Toc335640829"/>
      <w:bookmarkStart w:id="189" w:name="_Toc335638220"/>
      <w:bookmarkStart w:id="190" w:name="_Toc335640830"/>
      <w:bookmarkStart w:id="191" w:name="_Toc335638221"/>
      <w:bookmarkStart w:id="192" w:name="_Toc335640831"/>
      <w:bookmarkStart w:id="193" w:name="_Toc335638222"/>
      <w:bookmarkStart w:id="194" w:name="_Toc335640832"/>
      <w:bookmarkStart w:id="195" w:name="_Toc335638223"/>
      <w:bookmarkStart w:id="196" w:name="_Toc335640833"/>
      <w:bookmarkStart w:id="197" w:name="_Toc335638224"/>
      <w:bookmarkStart w:id="198" w:name="_Toc335640834"/>
      <w:bookmarkStart w:id="199" w:name="_Toc335638225"/>
      <w:bookmarkStart w:id="200" w:name="_Toc335640835"/>
      <w:bookmarkStart w:id="201" w:name="_Toc335638226"/>
      <w:bookmarkStart w:id="202" w:name="_Toc335640836"/>
      <w:bookmarkStart w:id="203" w:name="_Toc335638227"/>
      <w:bookmarkStart w:id="204" w:name="_Toc335640837"/>
      <w:bookmarkStart w:id="205" w:name="_Toc335638228"/>
      <w:bookmarkStart w:id="206" w:name="_Toc335640838"/>
      <w:bookmarkStart w:id="207" w:name="_Toc335638229"/>
      <w:bookmarkStart w:id="208" w:name="_Toc335640839"/>
      <w:bookmarkStart w:id="209" w:name="_Toc335638230"/>
      <w:bookmarkStart w:id="210" w:name="_Toc335640840"/>
      <w:bookmarkStart w:id="211" w:name="_Toc335638231"/>
      <w:bookmarkStart w:id="212" w:name="_Toc335640841"/>
      <w:bookmarkStart w:id="213" w:name="_Toc335638232"/>
      <w:bookmarkStart w:id="214" w:name="_Toc335640842"/>
      <w:bookmarkStart w:id="215" w:name="_Toc335638233"/>
      <w:bookmarkStart w:id="216" w:name="_Toc335640843"/>
      <w:bookmarkStart w:id="217" w:name="_Toc335638234"/>
      <w:bookmarkStart w:id="218" w:name="_Toc335640844"/>
      <w:bookmarkStart w:id="219" w:name="_Toc335638235"/>
      <w:bookmarkStart w:id="220" w:name="_Toc335640845"/>
      <w:bookmarkStart w:id="221" w:name="_Toc335638236"/>
      <w:bookmarkStart w:id="222" w:name="_Toc335640846"/>
      <w:bookmarkStart w:id="223" w:name="_Toc335638237"/>
      <w:bookmarkStart w:id="224" w:name="_Toc335640847"/>
      <w:bookmarkStart w:id="225" w:name="_Toc335638238"/>
      <w:bookmarkStart w:id="226" w:name="_Toc335640848"/>
      <w:bookmarkStart w:id="227" w:name="_Toc335638239"/>
      <w:bookmarkStart w:id="228" w:name="_Toc335640849"/>
      <w:bookmarkStart w:id="229" w:name="_Toc335638240"/>
      <w:bookmarkStart w:id="230" w:name="_Toc335640850"/>
      <w:bookmarkStart w:id="231" w:name="_Toc335638241"/>
      <w:bookmarkStart w:id="232" w:name="_Toc335640851"/>
      <w:bookmarkStart w:id="233" w:name="_Toc335638242"/>
      <w:bookmarkStart w:id="234" w:name="_Toc335640852"/>
      <w:bookmarkStart w:id="235" w:name="_Toc335638243"/>
      <w:bookmarkStart w:id="236" w:name="_Toc335640853"/>
      <w:bookmarkStart w:id="237" w:name="_Toc335638244"/>
      <w:bookmarkStart w:id="238" w:name="_Toc335640854"/>
      <w:bookmarkStart w:id="239" w:name="_Toc335638245"/>
      <w:bookmarkStart w:id="240" w:name="_Toc335640855"/>
      <w:bookmarkStart w:id="241" w:name="_Toc335638246"/>
      <w:bookmarkStart w:id="242" w:name="_Toc335640856"/>
      <w:bookmarkStart w:id="243" w:name="_Toc335638247"/>
      <w:bookmarkStart w:id="244" w:name="_Toc335640857"/>
      <w:bookmarkStart w:id="245" w:name="_Toc335638248"/>
      <w:bookmarkStart w:id="246" w:name="_Toc335640858"/>
      <w:bookmarkStart w:id="247" w:name="_Toc335638249"/>
      <w:bookmarkStart w:id="248" w:name="_Toc335640859"/>
      <w:bookmarkStart w:id="249" w:name="_Toc335638250"/>
      <w:bookmarkStart w:id="250" w:name="_Toc335640860"/>
      <w:bookmarkStart w:id="251" w:name="_Toc335638251"/>
      <w:bookmarkStart w:id="252" w:name="_Toc335640861"/>
      <w:bookmarkStart w:id="253" w:name="_Toc335638252"/>
      <w:bookmarkStart w:id="254" w:name="_Toc335640862"/>
      <w:bookmarkStart w:id="255" w:name="_Toc335638253"/>
      <w:bookmarkStart w:id="256" w:name="_Toc335640863"/>
      <w:bookmarkStart w:id="257" w:name="_Toc335638254"/>
      <w:bookmarkStart w:id="258" w:name="_Toc335640864"/>
      <w:bookmarkStart w:id="259" w:name="_Toc335638255"/>
      <w:bookmarkStart w:id="260" w:name="_Toc335640865"/>
      <w:bookmarkStart w:id="261" w:name="_Toc335638256"/>
      <w:bookmarkStart w:id="262" w:name="_Toc335640866"/>
      <w:bookmarkStart w:id="263" w:name="_Toc335638257"/>
      <w:bookmarkStart w:id="264" w:name="_Toc335640867"/>
      <w:bookmarkStart w:id="265" w:name="_Toc335638258"/>
      <w:bookmarkStart w:id="266" w:name="_Toc335640868"/>
      <w:bookmarkStart w:id="267" w:name="_Toc335638259"/>
      <w:bookmarkStart w:id="268" w:name="_Toc335640869"/>
      <w:bookmarkStart w:id="269" w:name="_Toc461186680"/>
      <w:bookmarkStart w:id="270" w:name="_Toc461457759"/>
      <w:bookmarkStart w:id="271" w:name="_Toc461459023"/>
      <w:bookmarkStart w:id="272" w:name="_Toc461459108"/>
      <w:bookmarkStart w:id="273" w:name="_Toc461459196"/>
      <w:bookmarkStart w:id="274" w:name="_Toc461459243"/>
      <w:bookmarkStart w:id="275" w:name="_Toc461459304"/>
      <w:bookmarkStart w:id="276" w:name="_Toc461459473"/>
      <w:bookmarkStart w:id="277" w:name="_Toc461457760"/>
      <w:bookmarkStart w:id="278" w:name="_Toc14435688"/>
      <w:bookmarkEnd w:id="30"/>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r w:rsidRPr="004E0EF8">
        <w:t xml:space="preserve">Data analyses and reporting </w:t>
      </w:r>
      <w:bookmarkEnd w:id="277"/>
      <w:r w:rsidRPr="004E0EF8">
        <w:t>metrics</w:t>
      </w:r>
      <w:bookmarkEnd w:id="278"/>
      <w:r w:rsidRPr="004E0EF8">
        <w:t xml:space="preserve"> </w:t>
      </w:r>
    </w:p>
    <w:p w14:paraId="22EC51C5" w14:textId="77777777" w:rsidR="00BA71CA" w:rsidRPr="004E0EF8" w:rsidRDefault="00BA71CA" w:rsidP="002439C8">
      <w:pPr>
        <w:pStyle w:val="Heading3"/>
        <w:jc w:val="left"/>
      </w:pPr>
      <w:bookmarkStart w:id="279" w:name="_Ref480727057"/>
      <w:bookmarkStart w:id="280" w:name="_Toc14435689"/>
      <w:r>
        <w:t>Water quality guideline values (GVs)</w:t>
      </w:r>
      <w:bookmarkEnd w:id="279"/>
      <w:bookmarkEnd w:id="280"/>
    </w:p>
    <w:p w14:paraId="5F09C5E3" w14:textId="77777777" w:rsidR="00784103" w:rsidRDefault="00935C61" w:rsidP="002439C8">
      <w:pPr>
        <w:spacing w:line="276" w:lineRule="auto"/>
        <w:jc w:val="left"/>
        <w:rPr>
          <w:lang w:val="en-AU" w:eastAsia="en-AU"/>
        </w:rPr>
      </w:pPr>
      <w:r>
        <w:rPr>
          <w:lang w:val="en-AU" w:eastAsia="en-AU"/>
        </w:rPr>
        <w:t xml:space="preserve">A key aim of this </w:t>
      </w:r>
      <w:r w:rsidR="00941667">
        <w:rPr>
          <w:lang w:val="en-AU" w:eastAsia="en-AU"/>
        </w:rPr>
        <w:t>program</w:t>
      </w:r>
      <w:r>
        <w:rPr>
          <w:lang w:val="en-AU" w:eastAsia="en-AU"/>
        </w:rPr>
        <w:t xml:space="preserve"> is to compare m</w:t>
      </w:r>
      <w:r w:rsidR="0059608E" w:rsidRPr="00150F01">
        <w:rPr>
          <w:lang w:val="en-AU" w:eastAsia="en-AU"/>
        </w:rPr>
        <w:t xml:space="preserve">easured concentrations of pesticides </w:t>
      </w:r>
      <w:r w:rsidR="0059608E">
        <w:rPr>
          <w:lang w:val="en-AU" w:eastAsia="en-AU"/>
        </w:rPr>
        <w:t>to</w:t>
      </w:r>
      <w:r w:rsidR="00BA71CA">
        <w:rPr>
          <w:lang w:val="en-AU" w:eastAsia="en-AU"/>
        </w:rPr>
        <w:t xml:space="preserve"> </w:t>
      </w:r>
      <w:r>
        <w:rPr>
          <w:lang w:val="en-AU" w:eastAsia="en-AU"/>
        </w:rPr>
        <w:t xml:space="preserve">current </w:t>
      </w:r>
      <w:r w:rsidR="00784103">
        <w:rPr>
          <w:lang w:val="en-AU" w:eastAsia="en-AU"/>
        </w:rPr>
        <w:t>guideline values</w:t>
      </w:r>
      <w:r w:rsidR="00784103" w:rsidRPr="008B115C">
        <w:rPr>
          <w:lang w:val="en-AU" w:eastAsia="en-AU"/>
        </w:rPr>
        <w:t xml:space="preserve"> </w:t>
      </w:r>
      <w:r w:rsidR="008B115C" w:rsidRPr="008B115C">
        <w:rPr>
          <w:lang w:val="en-AU" w:eastAsia="en-AU"/>
        </w:rPr>
        <w:t xml:space="preserve">for chemicals in </w:t>
      </w:r>
      <w:r w:rsidR="008B115C">
        <w:rPr>
          <w:lang w:val="en-AU" w:eastAsia="en-AU"/>
        </w:rPr>
        <w:t xml:space="preserve">marine </w:t>
      </w:r>
      <w:r w:rsidR="008B115C" w:rsidRPr="008B115C">
        <w:rPr>
          <w:lang w:val="en-AU" w:eastAsia="en-AU"/>
        </w:rPr>
        <w:t>water</w:t>
      </w:r>
      <w:r w:rsidR="008B115C">
        <w:rPr>
          <w:lang w:val="en-AU" w:eastAsia="en-AU"/>
        </w:rPr>
        <w:t>s</w:t>
      </w:r>
      <w:r w:rsidR="008B115C" w:rsidRPr="008B115C">
        <w:rPr>
          <w:lang w:val="en-AU" w:eastAsia="en-AU"/>
        </w:rPr>
        <w:t>.</w:t>
      </w:r>
      <w:r>
        <w:rPr>
          <w:lang w:val="en-AU" w:eastAsia="en-AU"/>
        </w:rPr>
        <w:t xml:space="preserve"> </w:t>
      </w:r>
    </w:p>
    <w:p w14:paraId="14F96EB5" w14:textId="77777777" w:rsidR="00784103" w:rsidRDefault="00784103" w:rsidP="002439C8">
      <w:pPr>
        <w:spacing w:line="276" w:lineRule="auto"/>
        <w:jc w:val="left"/>
        <w:rPr>
          <w:lang w:val="en-AU" w:eastAsia="en-AU"/>
        </w:rPr>
      </w:pPr>
    </w:p>
    <w:p w14:paraId="4018D60B" w14:textId="459308DD" w:rsidR="008A1440" w:rsidRDefault="009B5FAA" w:rsidP="002439C8">
      <w:pPr>
        <w:spacing w:line="276" w:lineRule="auto"/>
        <w:jc w:val="left"/>
        <w:rPr>
          <w:lang w:val="en-AU" w:eastAsia="en-AU"/>
        </w:rPr>
      </w:pPr>
      <w:r w:rsidRPr="009B5FAA">
        <w:rPr>
          <w:lang w:val="en-AU" w:eastAsia="en-AU"/>
        </w:rPr>
        <w:t xml:space="preserve">The </w:t>
      </w:r>
      <w:r w:rsidR="007E5A1E">
        <w:rPr>
          <w:lang w:val="en-AU" w:eastAsia="en-AU"/>
        </w:rPr>
        <w:t xml:space="preserve">Australian and New Zealand </w:t>
      </w:r>
      <w:r w:rsidR="009723BE">
        <w:rPr>
          <w:lang w:val="en-AU" w:eastAsia="en-AU"/>
        </w:rPr>
        <w:t xml:space="preserve">water quality </w:t>
      </w:r>
      <w:r w:rsidRPr="009B5FAA">
        <w:rPr>
          <w:lang w:val="en-AU" w:eastAsia="en-AU"/>
        </w:rPr>
        <w:t xml:space="preserve">guidelines </w:t>
      </w:r>
      <w:r w:rsidR="00750BB9">
        <w:rPr>
          <w:lang w:val="en-AU" w:eastAsia="en-AU"/>
        </w:rPr>
        <w:t xml:space="preserve">(see </w:t>
      </w:r>
      <w:r w:rsidR="00750BB9">
        <w:rPr>
          <w:highlight w:val="yellow"/>
          <w:lang w:val="en-AU" w:eastAsia="en-AU"/>
        </w:rPr>
        <w:fldChar w:fldCharType="begin"/>
      </w:r>
      <w:r w:rsidR="00750BB9">
        <w:rPr>
          <w:lang w:val="en-AU" w:eastAsia="en-AU"/>
        </w:rPr>
        <w:instrText xml:space="preserve"> REF _Ref480726661 \n \h </w:instrText>
      </w:r>
      <w:r w:rsidR="002439C8">
        <w:rPr>
          <w:highlight w:val="yellow"/>
          <w:lang w:val="en-AU" w:eastAsia="en-AU"/>
        </w:rPr>
        <w:instrText xml:space="preserve"> \* MERGEFORMAT </w:instrText>
      </w:r>
      <w:r w:rsidR="00750BB9">
        <w:rPr>
          <w:highlight w:val="yellow"/>
          <w:lang w:val="en-AU" w:eastAsia="en-AU"/>
        </w:rPr>
      </w:r>
      <w:r w:rsidR="00750BB9">
        <w:rPr>
          <w:highlight w:val="yellow"/>
          <w:lang w:val="en-AU" w:eastAsia="en-AU"/>
        </w:rPr>
        <w:fldChar w:fldCharType="separate"/>
      </w:r>
      <w:r w:rsidR="00251B46">
        <w:rPr>
          <w:lang w:val="en-AU" w:eastAsia="en-AU"/>
        </w:rPr>
        <w:t xml:space="preserve">Appendix B </w:t>
      </w:r>
      <w:r w:rsidR="00750BB9">
        <w:rPr>
          <w:highlight w:val="yellow"/>
          <w:lang w:val="en-AU" w:eastAsia="en-AU"/>
        </w:rPr>
        <w:fldChar w:fldCharType="end"/>
      </w:r>
      <w:r w:rsidR="00750BB9">
        <w:rPr>
          <w:lang w:val="en-AU" w:eastAsia="en-AU"/>
        </w:rPr>
        <w:t xml:space="preserve">for more details) </w:t>
      </w:r>
      <w:r w:rsidR="007E5A1E">
        <w:rPr>
          <w:lang w:val="en-AU" w:eastAsia="en-AU"/>
        </w:rPr>
        <w:t xml:space="preserve">for freshwater and marine ecosystems </w:t>
      </w:r>
      <w:r w:rsidRPr="009B5FAA">
        <w:rPr>
          <w:lang w:val="en-AU" w:eastAsia="en-AU"/>
        </w:rPr>
        <w:t xml:space="preserve">are </w:t>
      </w:r>
      <w:r w:rsidR="00D71699">
        <w:rPr>
          <w:lang w:val="en-AU" w:eastAsia="en-AU"/>
        </w:rPr>
        <w:t>rec</w:t>
      </w:r>
      <w:r w:rsidRPr="009B5FAA">
        <w:rPr>
          <w:lang w:val="en-AU" w:eastAsia="en-AU"/>
        </w:rPr>
        <w:t xml:space="preserve">ently revised </w:t>
      </w:r>
      <w:r w:rsidR="00C91BF5" w:rsidRPr="00387CDA">
        <w:rPr>
          <w:lang w:val="en-AU"/>
        </w:rPr>
        <w:fldChar w:fldCharType="begin">
          <w:fldData xml:space="preserve">PEVuZE5vdGU+PENpdGU+PEF1dGhvcj5Eb0U8L0F1dGhvcj48WWVhcj4yMDE2PC9ZZWFyPjxSZWNO
dW0+NDI8L1JlY051bT48RGlzcGxheVRleHQ+KERvRSwgMjAxNjsgV2FybmUgZXQgYWwuLCAyMDE1
OyBXYXJuZSBldCBhbC4sIDIwMTgpPC9EaXNwbGF5VGV4dD48cmVjb3JkPjxyZWMtbnVtYmVyPjQy
PC9yZWMtbnVtYmVyPjxmb3JlaWduLWtleXM+PGtleSBhcHA9IkVOIiBkYi1pZD0ieHRwdnB3ejB1
ZnhhMm1lNXR2NnYycHJuMmV6NXA5YXRzdnRyIiB0aW1lc3RhbXA9IjE1MzkxNDQ5NDQiPjQyPC9r
ZXk+PC9mb3JlaWduLWtleXM+PHJlZi10eXBlIG5hbWU9IldlYiBQYWdlIj4xMjwvcmVmLXR5cGU+
PGNvbnRyaWJ1dG9ycz48YXV0aG9ycz48YXV0aG9yPkRvRTwvYXV0aG9yPjwvYXV0aG9ycz48L2Nv
bnRyaWJ1dG9ycz48dGl0bGVzPjx0aXRsZT5OYXRpb25hbCBXYXRlciBRdWFsaXR5IE1hbmFnZW1l
bnQgU3RyYXRlZ3k8L3RpdGxlPjwvdGl0bGVzPjx2b2x1bWU+MjAxNjwvdm9sdW1lPjxudW1iZXI+
MTQgSnVuZTwvbnVtYmVyPjxkYXRlcz48eWVhcj4yMDE2PC95ZWFyPjwvZGF0ZXM+PHB1Yi1sb2Nh
dGlvbj5EZXBhcnRtZW50IG9mIHRoZSBFbnZpcm9ubWVudCwgQ2FuYmVycmE8L3B1Yi1sb2NhdGlv
bj48dXJscz48cmVsYXRlZC11cmxzPjx1cmw+aHR0cHM6Ly93d3cuZW52aXJvbm1lbnQuZ292LmF1
L3dhdGVyL3F1YWxpdHkvbmF0aW9uYWwtd2F0ZXItcXVhbGl0eS1tYW5hZ2VtZW50LXN0cmF0ZWd5
I3Byb2Nlc3M8L3VybD48L3JlbGF0ZWQtdXJscz48L3VybHM+PC9yZWNvcmQ+PC9DaXRlPjxDaXRl
PjxBdXRob3I+V2FybmU8L0F1dGhvcj48WWVhcj4yMDE1PC9ZZWFyPjxSZWNOdW0+NDM8L1JlY051
bT48cmVjb3JkPjxyZWMtbnVtYmVyPjQzPC9yZWMtbnVtYmVyPjxmb3JlaWduLWtleXM+PGtleSBh
cHA9IkVOIiBkYi1pZD0ieHRwdnB3ejB1ZnhhMm1lNXR2NnYycHJuMmV6NXA5YXRzdnRyIiB0aW1l
c3RhbXA9IjE1MzkxNDQ5NDQiPjQzPC9rZXk+PC9mb3JlaWduLWtleXM+PHJlZi10eXBlIG5hbWU9
IlJlcG9ydCI+Mjc8L3JlZi10eXBlPjxjb250cmlidXRvcnM+PGF1dGhvcnM+PGF1dGhvcj5XYXJu
ZSwgTS5TdCBKLjwvYXV0aG9yPjxhdXRob3I+QmF0bGV5LCBHLkUuPC9hdXRob3I+PGF1dGhvcj52
YW4gRGFtLCBSLkEuPC9hdXRob3I+PGF1dGhvcj5DaGFwbWFuLCBKLkMuPC9hdXRob3I+PGF1dGhv
cj5Gb3gsIEQuUi48L2F1dGhvcj48YXV0aG9yPkhpY2tleSwgQy5XLjwvYXV0aG9yPjxhdXRob3I+
U3RhdWJlciwgSi5MLjwvYXV0aG9yPjwvYXV0aG9ycz48L2NvbnRyaWJ1dG9ycz48dGl0bGVzPjx0
aXRsZT5SZXZpc2VkIE1ldGhvZCBmb3IgRGVyaXZpbmcgQXVzdHJhbGlhbiBhbmQgTmV3IFplYWxh
bmQgV2F0ZXIgUXVhbGl0eSBHdWlkZWxpbmUgVmFsdWVzIGZvciBUb3hpY2FudHMuIFByZXBhcmVk
IGZvciB0aGUgQ291bmNpbCBvZiBBdXN0cmFsaWFuIEdvdmVybm1lbnTigJlzIFN0YW5kaW5nIENv
dW5jaWwgb24gRW52aXJvbm1lbnQgYW5kIFdhdGVyIChTQ0VXKTwvdGl0bGU+PC90aXRsZXM+PHBh
Z2VzPjUwIHBwPC9wYWdlcz48ZGF0ZXM+PHllYXI+MjAxNTwveWVhcj48L2RhdGVzPjxwdWItbG9j
YXRpb24+RGVwYXJ0bWVudCBvZiBTY2llbmNlLCBJbmZvcm1hdGlvbiBUZWNobm9sb2d5IGFuZCBJ
bm5vdmF0aW9uLCBCcmlzYmFuZTwvcHViLWxvY2F0aW9uPjx1cmxzPjwvdXJscz48L3JlY29yZD48
L0NpdGU+PENpdGU+PEF1dGhvcj5XYXJuZTwvQXV0aG9yPjxZZWFyPjIwMTg8L1llYXI+PFJlY051
bT40NDwvUmVjTnVtPjxyZWNvcmQ+PHJlYy1udW1iZXI+NDQ8L3JlYy1udW1iZXI+PGZvcmVpZ24t
a2V5cz48a2V5IGFwcD0iRU4iIGRiLWlkPSJ4dHB2cHd6MHVmeGEybWU1dHY2djJwcm4yZXo1cDlh
dHN2dHIiIHRpbWVzdGFtcD0iMTUzOTE0NDk0NCI+NDQ8L2tleT48L2ZvcmVpZ24ta2V5cz48cmVm
LXR5cGUgbmFtZT0iSm91cm5hbCBBcnRpY2xlIj4xNzwvcmVmLXR5cGU+PGNvbnRyaWJ1dG9ycz48
YXV0aG9ycz48YXV0aG9yPldhcm5lLCBNaWNoYWVsIFN0IEo8L2F1dGhvcj48YXV0aG9yPktpbmcs
IE9saXZpYTwvYXV0aG9yPjxhdXRob3I+U21pdGgsIFJhY2hhZWwgQTwvYXV0aG9yPjwvYXV0aG9y
cz48L2NvbnRyaWJ1dG9ycz48dGl0bGVzPjx0aXRsZT5FY290b3hpY2l0eSB0aHJlc2hvbGRzIGZv
ciBhbWV0cnluLCBkaXVyb24sIGhleGF6aW5vbmUgYW5kIHNpbWF6aW5lIGluIGZyZXNoIGFuZCBt
YXJpbmUgd2F0ZXJzPC90aXRsZT48c2Vjb25kYXJ5LXRpdGxlPkVudmlyb25tZW50YWwgU2NpZW5j
ZSBhbmQgUG9sbHV0aW9uIFJlc2VhcmNoPC9zZWNvbmRhcnktdGl0bGU+PC90aXRsZXM+PHBlcmlv
ZGljYWw+PGZ1bGwtdGl0bGU+RW52aXJvbm1lbnRhbCBTY2llbmNlIGFuZCBQb2xsdXRpb24gUmVz
ZWFyY2g8L2Z1bGwtdGl0bGU+PC9wZXJpb2RpY2FsPjxwYWdlcz4xLTE5PC9wYWdlcz48ZGF0ZXM+
PHllYXI+MjAxODwveWVhcj48L2RhdGVzPjxpc2JuPjA5NDQtMTM0NDwvaXNibj48dXJscz48L3Vy
bHM+PC9yZWNvcmQ+PC9DaXRlPjwvRW5kTm90ZT4A
</w:fldData>
        </w:fldChar>
      </w:r>
      <w:r w:rsidR="002D0872" w:rsidRPr="00387CDA">
        <w:rPr>
          <w:lang w:val="en-AU"/>
        </w:rPr>
        <w:instrText xml:space="preserve"> ADDIN EN.CITE </w:instrText>
      </w:r>
      <w:r w:rsidR="002D0872" w:rsidRPr="00387CDA">
        <w:rPr>
          <w:lang w:val="en-AU"/>
        </w:rPr>
        <w:fldChar w:fldCharType="begin">
          <w:fldData xml:space="preserve">PEVuZE5vdGU+PENpdGU+PEF1dGhvcj5Eb0U8L0F1dGhvcj48WWVhcj4yMDE2PC9ZZWFyPjxSZWNO
dW0+NDI8L1JlY051bT48RGlzcGxheVRleHQ+KERvRSwgMjAxNjsgV2FybmUgZXQgYWwuLCAyMDE1
OyBXYXJuZSBldCBhbC4sIDIwMTgpPC9EaXNwbGF5VGV4dD48cmVjb3JkPjxyZWMtbnVtYmVyPjQy
PC9yZWMtbnVtYmVyPjxmb3JlaWduLWtleXM+PGtleSBhcHA9IkVOIiBkYi1pZD0ieHRwdnB3ejB1
ZnhhMm1lNXR2NnYycHJuMmV6NXA5YXRzdnRyIiB0aW1lc3RhbXA9IjE1MzkxNDQ5NDQiPjQyPC9r
ZXk+PC9mb3JlaWduLWtleXM+PHJlZi10eXBlIG5hbWU9IldlYiBQYWdlIj4xMjwvcmVmLXR5cGU+
PGNvbnRyaWJ1dG9ycz48YXV0aG9ycz48YXV0aG9yPkRvRTwvYXV0aG9yPjwvYXV0aG9ycz48L2Nv
bnRyaWJ1dG9ycz48dGl0bGVzPjx0aXRsZT5OYXRpb25hbCBXYXRlciBRdWFsaXR5IE1hbmFnZW1l
bnQgU3RyYXRlZ3k8L3RpdGxlPjwvdGl0bGVzPjx2b2x1bWU+MjAxNjwvdm9sdW1lPjxudW1iZXI+
MTQgSnVuZTwvbnVtYmVyPjxkYXRlcz48eWVhcj4yMDE2PC95ZWFyPjwvZGF0ZXM+PHB1Yi1sb2Nh
dGlvbj5EZXBhcnRtZW50IG9mIHRoZSBFbnZpcm9ubWVudCwgQ2FuYmVycmE8L3B1Yi1sb2NhdGlv
bj48dXJscz48cmVsYXRlZC11cmxzPjx1cmw+aHR0cHM6Ly93d3cuZW52aXJvbm1lbnQuZ292LmF1
L3dhdGVyL3F1YWxpdHkvbmF0aW9uYWwtd2F0ZXItcXVhbGl0eS1tYW5hZ2VtZW50LXN0cmF0ZWd5
I3Byb2Nlc3M8L3VybD48L3JlbGF0ZWQtdXJscz48L3VybHM+PC9yZWNvcmQ+PC9DaXRlPjxDaXRl
PjxBdXRob3I+V2FybmU8L0F1dGhvcj48WWVhcj4yMDE1PC9ZZWFyPjxSZWNOdW0+NDM8L1JlY051
bT48cmVjb3JkPjxyZWMtbnVtYmVyPjQzPC9yZWMtbnVtYmVyPjxmb3JlaWduLWtleXM+PGtleSBh
cHA9IkVOIiBkYi1pZD0ieHRwdnB3ejB1ZnhhMm1lNXR2NnYycHJuMmV6NXA5YXRzdnRyIiB0aW1l
c3RhbXA9IjE1MzkxNDQ5NDQiPjQzPC9rZXk+PC9mb3JlaWduLWtleXM+PHJlZi10eXBlIG5hbWU9
IlJlcG9ydCI+Mjc8L3JlZi10eXBlPjxjb250cmlidXRvcnM+PGF1dGhvcnM+PGF1dGhvcj5XYXJu
ZSwgTS5TdCBKLjwvYXV0aG9yPjxhdXRob3I+QmF0bGV5LCBHLkUuPC9hdXRob3I+PGF1dGhvcj52
YW4gRGFtLCBSLkEuPC9hdXRob3I+PGF1dGhvcj5DaGFwbWFuLCBKLkMuPC9hdXRob3I+PGF1dGhv
cj5Gb3gsIEQuUi48L2F1dGhvcj48YXV0aG9yPkhpY2tleSwgQy5XLjwvYXV0aG9yPjxhdXRob3I+
U3RhdWJlciwgSi5MLjwvYXV0aG9yPjwvYXV0aG9ycz48L2NvbnRyaWJ1dG9ycz48dGl0bGVzPjx0
aXRsZT5SZXZpc2VkIE1ldGhvZCBmb3IgRGVyaXZpbmcgQXVzdHJhbGlhbiBhbmQgTmV3IFplYWxh
bmQgV2F0ZXIgUXVhbGl0eSBHdWlkZWxpbmUgVmFsdWVzIGZvciBUb3hpY2FudHMuIFByZXBhcmVk
IGZvciB0aGUgQ291bmNpbCBvZiBBdXN0cmFsaWFuIEdvdmVybm1lbnTigJlzIFN0YW5kaW5nIENv
dW5jaWwgb24gRW52aXJvbm1lbnQgYW5kIFdhdGVyIChTQ0VXKTwvdGl0bGU+PC90aXRsZXM+PHBh
Z2VzPjUwIHBwPC9wYWdlcz48ZGF0ZXM+PHllYXI+MjAxNTwveWVhcj48L2RhdGVzPjxwdWItbG9j
YXRpb24+RGVwYXJ0bWVudCBvZiBTY2llbmNlLCBJbmZvcm1hdGlvbiBUZWNobm9sb2d5IGFuZCBJ
bm5vdmF0aW9uLCBCcmlzYmFuZTwvcHViLWxvY2F0aW9uPjx1cmxzPjwvdXJscz48L3JlY29yZD48
L0NpdGU+PENpdGU+PEF1dGhvcj5XYXJuZTwvQXV0aG9yPjxZZWFyPjIwMTg8L1llYXI+PFJlY051
bT40NDwvUmVjTnVtPjxyZWNvcmQ+PHJlYy1udW1iZXI+NDQ8L3JlYy1udW1iZXI+PGZvcmVpZ24t
a2V5cz48a2V5IGFwcD0iRU4iIGRiLWlkPSJ4dHB2cHd6MHVmeGEybWU1dHY2djJwcm4yZXo1cDlh
dHN2dHIiIHRpbWVzdGFtcD0iMTUzOTE0NDk0NCI+NDQ8L2tleT48L2ZvcmVpZ24ta2V5cz48cmVm
LXR5cGUgbmFtZT0iSm91cm5hbCBBcnRpY2xlIj4xNzwvcmVmLXR5cGU+PGNvbnRyaWJ1dG9ycz48
YXV0aG9ycz48YXV0aG9yPldhcm5lLCBNaWNoYWVsIFN0IEo8L2F1dGhvcj48YXV0aG9yPktpbmcs
IE9saXZpYTwvYXV0aG9yPjxhdXRob3I+U21pdGgsIFJhY2hhZWwgQTwvYXV0aG9yPjwvYXV0aG9y
cz48L2NvbnRyaWJ1dG9ycz48dGl0bGVzPjx0aXRsZT5FY290b3hpY2l0eSB0aHJlc2hvbGRzIGZv
ciBhbWV0cnluLCBkaXVyb24sIGhleGF6aW5vbmUgYW5kIHNpbWF6aW5lIGluIGZyZXNoIGFuZCBt
YXJpbmUgd2F0ZXJzPC90aXRsZT48c2Vjb25kYXJ5LXRpdGxlPkVudmlyb25tZW50YWwgU2NpZW5j
ZSBhbmQgUG9sbHV0aW9uIFJlc2VhcmNoPC9zZWNvbmRhcnktdGl0bGU+PC90aXRsZXM+PHBlcmlv
ZGljYWw+PGZ1bGwtdGl0bGU+RW52aXJvbm1lbnRhbCBTY2llbmNlIGFuZCBQb2xsdXRpb24gUmVz
ZWFyY2g8L2Z1bGwtdGl0bGU+PC9wZXJpb2RpY2FsPjxwYWdlcz4xLTE5PC9wYWdlcz48ZGF0ZXM+
PHllYXI+MjAxODwveWVhcj48L2RhdGVzPjxpc2JuPjA5NDQtMTM0NDwvaXNibj48dXJscz48L3Vy
bHM+PC9yZWNvcmQ+PC9DaXRlPjwvRW5kTm90ZT4A
</w:fldData>
        </w:fldChar>
      </w:r>
      <w:r w:rsidR="002D0872" w:rsidRPr="00387CDA">
        <w:rPr>
          <w:lang w:val="en-AU"/>
        </w:rPr>
        <w:instrText xml:space="preserve"> ADDIN EN.CITE.DATA </w:instrText>
      </w:r>
      <w:r w:rsidR="002D0872" w:rsidRPr="00387CDA">
        <w:rPr>
          <w:lang w:val="en-AU"/>
        </w:rPr>
      </w:r>
      <w:r w:rsidR="002D0872" w:rsidRPr="00387CDA">
        <w:rPr>
          <w:lang w:val="en-AU"/>
        </w:rPr>
        <w:fldChar w:fldCharType="end"/>
      </w:r>
      <w:r w:rsidR="00C91BF5" w:rsidRPr="00387CDA">
        <w:rPr>
          <w:lang w:val="en-AU"/>
        </w:rPr>
      </w:r>
      <w:r w:rsidR="00C91BF5" w:rsidRPr="00387CDA">
        <w:rPr>
          <w:lang w:val="en-AU"/>
        </w:rPr>
        <w:fldChar w:fldCharType="separate"/>
      </w:r>
      <w:r w:rsidR="002D0872" w:rsidRPr="00387CDA">
        <w:rPr>
          <w:noProof/>
          <w:lang w:val="en-AU"/>
        </w:rPr>
        <w:t>(DoE, 2016; Warne et al., 2015; Warne et al., 2018)</w:t>
      </w:r>
      <w:r w:rsidR="00C91BF5" w:rsidRPr="00387CDA">
        <w:rPr>
          <w:lang w:val="en-AU"/>
        </w:rPr>
        <w:fldChar w:fldCharType="end"/>
      </w:r>
      <w:r w:rsidRPr="00387CDA">
        <w:rPr>
          <w:lang w:val="en-AU"/>
        </w:rPr>
        <w:t>.</w:t>
      </w:r>
      <w:r w:rsidRPr="00387CDA">
        <w:rPr>
          <w:lang w:val="en-AU" w:eastAsia="en-AU"/>
        </w:rPr>
        <w:t xml:space="preserve"> </w:t>
      </w:r>
      <w:r w:rsidR="008A1440" w:rsidRPr="00387CDA">
        <w:rPr>
          <w:lang w:val="en-AU" w:eastAsia="en-AU"/>
        </w:rPr>
        <w:t>For the purposes of this report, monitoring data are com</w:t>
      </w:r>
      <w:r w:rsidR="008A1440" w:rsidRPr="00E05386">
        <w:rPr>
          <w:lang w:val="en-AU" w:eastAsia="en-AU"/>
        </w:rPr>
        <w:t xml:space="preserve">pared against the ANZECC </w:t>
      </w:r>
      <w:r w:rsidR="008A1440" w:rsidRPr="00E05386">
        <w:t>and ARMCANZ guidelines</w:t>
      </w:r>
      <w:r w:rsidR="008A1440">
        <w:t xml:space="preserve"> however, </w:t>
      </w:r>
      <w:r w:rsidR="008A1440" w:rsidRPr="00E05386">
        <w:t xml:space="preserve">pesticide concentrations that exceed the </w:t>
      </w:r>
      <w:r w:rsidR="008A1440" w:rsidRPr="00E05386">
        <w:rPr>
          <w:lang w:val="en-AU" w:eastAsia="en-AU"/>
        </w:rPr>
        <w:t xml:space="preserve">proposed </w:t>
      </w:r>
      <w:r w:rsidR="00327C9F">
        <w:rPr>
          <w:rFonts w:cs="Arial"/>
          <w:lang w:val="en-AU"/>
        </w:rPr>
        <w:t>aquatic ecosystem protection guideline values (P</w:t>
      </w:r>
      <w:r w:rsidR="00327C9F" w:rsidRPr="00CC1A49">
        <w:rPr>
          <w:rFonts w:cs="Arial"/>
          <w:lang w:val="en-AU"/>
        </w:rPr>
        <w:t>GV</w:t>
      </w:r>
      <w:r w:rsidR="00327C9F">
        <w:rPr>
          <w:rFonts w:cs="Arial"/>
          <w:lang w:val="en-AU"/>
        </w:rPr>
        <w:t>)</w:t>
      </w:r>
      <w:r w:rsidR="008A1440" w:rsidRPr="00E05386">
        <w:rPr>
          <w:lang w:val="en-AU" w:eastAsia="en-AU"/>
        </w:rPr>
        <w:t>, which are still undergoing endorsement, are highlighted.</w:t>
      </w:r>
    </w:p>
    <w:p w14:paraId="13D837FE" w14:textId="77777777" w:rsidR="008A1440" w:rsidRDefault="008A1440" w:rsidP="002439C8">
      <w:pPr>
        <w:spacing w:line="276" w:lineRule="auto"/>
        <w:jc w:val="left"/>
        <w:rPr>
          <w:lang w:val="en-AU" w:eastAsia="en-AU"/>
        </w:rPr>
      </w:pPr>
    </w:p>
    <w:p w14:paraId="68E8D680" w14:textId="77777777" w:rsidR="005C5E88" w:rsidRDefault="00926CC9" w:rsidP="002439C8">
      <w:pPr>
        <w:spacing w:line="276" w:lineRule="auto"/>
        <w:jc w:val="left"/>
        <w:rPr>
          <w:rFonts w:cs="Arial"/>
          <w:lang w:val="en-AU"/>
        </w:rPr>
      </w:pPr>
      <w:r>
        <w:rPr>
          <w:rFonts w:cs="Arial"/>
          <w:lang w:val="en-AU"/>
        </w:rPr>
        <w:t>P</w:t>
      </w:r>
      <w:r w:rsidRPr="00CC1A49">
        <w:rPr>
          <w:rFonts w:cs="Arial"/>
          <w:lang w:val="en-AU"/>
        </w:rPr>
        <w:t>GV</w:t>
      </w:r>
      <w:r w:rsidR="00327C9F">
        <w:rPr>
          <w:rFonts w:cs="Arial"/>
          <w:lang w:val="en-AU"/>
        </w:rPr>
        <w:t>s</w:t>
      </w:r>
      <w:r>
        <w:rPr>
          <w:rFonts w:cs="Arial"/>
          <w:lang w:val="en-AU"/>
        </w:rPr>
        <w:t xml:space="preserve"> </w:t>
      </w:r>
      <w:r w:rsidR="007E5A1E">
        <w:rPr>
          <w:rFonts w:cs="Arial"/>
          <w:lang w:val="en-AU"/>
        </w:rPr>
        <w:t>for 28 pesticides for freshwater and marine ecosystems</w:t>
      </w:r>
      <w:r w:rsidR="00750BB9">
        <w:rPr>
          <w:rFonts w:cs="Arial"/>
          <w:lang w:val="en-AU"/>
        </w:rPr>
        <w:t xml:space="preserve"> have been</w:t>
      </w:r>
      <w:r w:rsidR="004B6BC7">
        <w:rPr>
          <w:rFonts w:cs="Arial"/>
          <w:lang w:val="en-AU"/>
        </w:rPr>
        <w:t xml:space="preserve"> determined using </w:t>
      </w:r>
      <w:r w:rsidR="00784103">
        <w:rPr>
          <w:rFonts w:cs="Arial"/>
          <w:lang w:val="en-AU"/>
        </w:rPr>
        <w:t xml:space="preserve">species sensitivity </w:t>
      </w:r>
      <w:r>
        <w:rPr>
          <w:rFonts w:cs="Arial"/>
          <w:lang w:val="en-AU"/>
        </w:rPr>
        <w:t>distributions</w:t>
      </w:r>
      <w:r w:rsidR="00327C9F">
        <w:rPr>
          <w:rFonts w:cs="Arial"/>
          <w:lang w:val="en-AU"/>
        </w:rPr>
        <w:t xml:space="preserve"> </w:t>
      </w:r>
      <w:r w:rsidR="00784103">
        <w:rPr>
          <w:rFonts w:cs="Arial"/>
          <w:lang w:val="en-AU"/>
        </w:rPr>
        <w:t>(</w:t>
      </w:r>
      <w:r w:rsidR="004B6BC7">
        <w:rPr>
          <w:rFonts w:cs="Arial"/>
          <w:lang w:val="en-AU"/>
        </w:rPr>
        <w:t>SSD</w:t>
      </w:r>
      <w:r w:rsidR="00784103">
        <w:rPr>
          <w:rFonts w:cs="Arial"/>
          <w:lang w:val="en-AU"/>
        </w:rPr>
        <w:t>)</w:t>
      </w:r>
      <w:r w:rsidR="007E5A1E">
        <w:rPr>
          <w:rFonts w:cs="Arial"/>
          <w:lang w:val="en-AU"/>
        </w:rPr>
        <w:t xml:space="preserve"> </w:t>
      </w:r>
      <w:r w:rsidR="00C72CA2">
        <w:rPr>
          <w:rFonts w:cs="Arial"/>
          <w:lang w:val="en-AU"/>
        </w:rPr>
        <w:t xml:space="preserve">by </w:t>
      </w:r>
      <w:r w:rsidR="008C7DB4">
        <w:rPr>
          <w:rFonts w:cs="Arial"/>
          <w:lang w:val="en-AU"/>
        </w:rPr>
        <w:t xml:space="preserve">the </w:t>
      </w:r>
      <w:r w:rsidR="008C7DB4" w:rsidRPr="008C7DB4">
        <w:rPr>
          <w:rFonts w:cs="Arial"/>
          <w:lang w:val="en-AU"/>
        </w:rPr>
        <w:t xml:space="preserve">Department of </w:t>
      </w:r>
      <w:r w:rsidR="0090299F">
        <w:rPr>
          <w:rFonts w:cs="Arial"/>
          <w:lang w:val="en-AU"/>
        </w:rPr>
        <w:t xml:space="preserve">Environment and </w:t>
      </w:r>
      <w:r w:rsidR="008C7DB4" w:rsidRPr="008C7DB4">
        <w:rPr>
          <w:rFonts w:cs="Arial"/>
          <w:lang w:val="en-AU"/>
        </w:rPr>
        <w:t>Science</w:t>
      </w:r>
      <w:r w:rsidR="0090299F">
        <w:rPr>
          <w:rFonts w:cs="Arial"/>
          <w:lang w:val="en-AU"/>
        </w:rPr>
        <w:t xml:space="preserve"> </w:t>
      </w:r>
      <w:r w:rsidR="008C7DB4">
        <w:rPr>
          <w:rFonts w:cs="Arial"/>
          <w:lang w:val="en-AU"/>
        </w:rPr>
        <w:t>(</w:t>
      </w:r>
      <w:r w:rsidR="0090299F">
        <w:rPr>
          <w:rFonts w:cs="Arial"/>
          <w:lang w:val="en-AU"/>
        </w:rPr>
        <w:t>DES</w:t>
      </w:r>
      <w:r w:rsidR="008C7DB4">
        <w:rPr>
          <w:rFonts w:cs="Arial"/>
          <w:lang w:val="en-AU"/>
        </w:rPr>
        <w:t>)</w:t>
      </w:r>
      <w:r w:rsidR="00784103">
        <w:rPr>
          <w:rFonts w:cs="Arial"/>
          <w:lang w:val="en-AU"/>
        </w:rPr>
        <w:t xml:space="preserve">. </w:t>
      </w:r>
      <w:r w:rsidR="00B37444">
        <w:rPr>
          <w:rFonts w:cs="Arial"/>
          <w:lang w:val="en-AU"/>
        </w:rPr>
        <w:t xml:space="preserve">All these guidelines </w:t>
      </w:r>
      <w:r w:rsidR="00A4205C">
        <w:rPr>
          <w:rFonts w:cs="Arial"/>
          <w:lang w:val="en-AU"/>
        </w:rPr>
        <w:t>wi</w:t>
      </w:r>
      <w:r w:rsidR="00BA2390">
        <w:rPr>
          <w:rFonts w:cs="Arial"/>
          <w:lang w:val="en-AU"/>
        </w:rPr>
        <w:t>l</w:t>
      </w:r>
      <w:r w:rsidR="00A4205C">
        <w:rPr>
          <w:rFonts w:cs="Arial"/>
          <w:lang w:val="en-AU"/>
        </w:rPr>
        <w:t>l be</w:t>
      </w:r>
      <w:r w:rsidR="00C72CA2" w:rsidRPr="00C72CA2">
        <w:rPr>
          <w:rFonts w:cs="Arial"/>
          <w:lang w:val="en-AU"/>
        </w:rPr>
        <w:t xml:space="preserve"> submitted for </w:t>
      </w:r>
      <w:r w:rsidR="001A21B2" w:rsidRPr="00C72CA2">
        <w:rPr>
          <w:rFonts w:cs="Arial"/>
          <w:lang w:val="en-AU"/>
        </w:rPr>
        <w:t>consid</w:t>
      </w:r>
      <w:r w:rsidR="001A21B2">
        <w:rPr>
          <w:rFonts w:cs="Arial"/>
          <w:lang w:val="en-AU"/>
        </w:rPr>
        <w:t>e</w:t>
      </w:r>
      <w:r w:rsidR="001A21B2" w:rsidRPr="00C72CA2">
        <w:rPr>
          <w:rFonts w:cs="Arial"/>
          <w:lang w:val="en-AU"/>
        </w:rPr>
        <w:t>ration</w:t>
      </w:r>
      <w:r w:rsidR="00B37444">
        <w:rPr>
          <w:rFonts w:cs="Arial"/>
          <w:lang w:val="en-AU"/>
        </w:rPr>
        <w:t xml:space="preserve"> for</w:t>
      </w:r>
      <w:r w:rsidR="00C72CA2" w:rsidRPr="00C72CA2">
        <w:rPr>
          <w:rFonts w:cs="Arial"/>
          <w:lang w:val="en-AU"/>
        </w:rPr>
        <w:t xml:space="preserve"> national endorsement and inclusion into the Australian and New Zealand </w:t>
      </w:r>
      <w:r w:rsidR="00B37444">
        <w:rPr>
          <w:rFonts w:cs="Arial"/>
          <w:lang w:val="en-AU"/>
        </w:rPr>
        <w:t>W</w:t>
      </w:r>
      <w:r w:rsidR="00C72CA2" w:rsidRPr="00C72CA2">
        <w:rPr>
          <w:rFonts w:cs="Arial"/>
          <w:lang w:val="en-AU"/>
        </w:rPr>
        <w:t xml:space="preserve">ater </w:t>
      </w:r>
      <w:r w:rsidR="00B37444">
        <w:rPr>
          <w:rFonts w:cs="Arial"/>
          <w:lang w:val="en-AU"/>
        </w:rPr>
        <w:t>Q</w:t>
      </w:r>
      <w:r w:rsidR="00C72CA2" w:rsidRPr="00C72CA2">
        <w:rPr>
          <w:rFonts w:cs="Arial"/>
          <w:lang w:val="en-AU"/>
        </w:rPr>
        <w:t xml:space="preserve">uality </w:t>
      </w:r>
      <w:r w:rsidR="00B37444">
        <w:rPr>
          <w:rFonts w:cs="Arial"/>
          <w:lang w:val="en-AU"/>
        </w:rPr>
        <w:t>G</w:t>
      </w:r>
      <w:r w:rsidR="00C72CA2" w:rsidRPr="00C72CA2">
        <w:rPr>
          <w:rFonts w:cs="Arial"/>
          <w:lang w:val="en-AU"/>
        </w:rPr>
        <w:t>uidelines</w:t>
      </w:r>
      <w:r w:rsidR="00F047C2">
        <w:rPr>
          <w:rFonts w:cs="Arial"/>
          <w:lang w:val="en-AU"/>
        </w:rPr>
        <w:t xml:space="preserve"> </w:t>
      </w:r>
      <w:r w:rsidR="00F047C2">
        <w:rPr>
          <w:rFonts w:cs="Arial"/>
          <w:lang w:val="en-AU"/>
        </w:rPr>
        <w:fldChar w:fldCharType="begin"/>
      </w:r>
      <w:r w:rsidR="002D0872">
        <w:rPr>
          <w:rFonts w:cs="Arial"/>
          <w:lang w:val="en-AU"/>
        </w:rPr>
        <w:instrText xml:space="preserve"> ADDIN EN.CITE &lt;EndNote&gt;&lt;Cite&gt;&lt;Author&gt;King&lt;/Author&gt;&lt;Year&gt;2017&lt;/Year&gt;&lt;RecNum&gt;111&lt;/RecNum&gt;&lt;DisplayText&gt;(King et al., 2017b; King et al., 2017c)&lt;/DisplayText&gt;&lt;record&gt;&lt;rec-number&gt;111&lt;/rec-number&gt;&lt;foreign-keys&gt;&lt;key app="EN" db-id="xtpvpwz0ufxa2me5tv6v2prn2ez5p9atsvtr" timestamp="1550112221"&gt;111&lt;/key&gt;&lt;/foreign-keys&gt;&lt;ref-type name="Report"&gt;27&lt;/ref-type&gt;&lt;contributors&gt;&lt;authors&gt;&lt;author&gt;King, O.C.&lt;/author&gt;&lt;author&gt;Smith, R.A.&lt;/author&gt;&lt;author&gt;Warne M. St J.&lt;/author&gt;&lt;author&gt;Frangos J.S.&lt;/author&gt;&lt;author&gt;Mann, R.&lt;/author&gt;&lt;/authors&gt;&lt;/contributors&gt;&lt;titles&gt;&lt;title&gt;Proposed aquatic ecosystem protection guideline values for pesticides commonly used in the Great Barrier Reef catchment area: Part 2 - Bromacil, Chlorothalonil, Fipronil, Fluometuron, Fluroxypyr, Haloxyfop, MCPA, Pendimethalin, Prometryn, Propazine, Propiconazole, Terbutryn, Triclopyr and Terbuthylazine&lt;/title&gt;&lt;/titles&gt;&lt;dates&gt;&lt;year&gt;2017&lt;/year&gt;&lt;/dates&gt;&lt;pub-location&gt;Brisbane, Australia&lt;/pub-location&gt;&lt;publisher&gt;Department of Science, Information Technology and Innovation&lt;/publisher&gt;&lt;urls&gt;&lt;/urls&gt;&lt;/record&gt;&lt;/Cite&gt;&lt;Cite&gt;&lt;Author&gt;King&lt;/Author&gt;&lt;Year&gt;2017&lt;/Year&gt;&lt;RecNum&gt;110&lt;/RecNum&gt;&lt;record&gt;&lt;rec-number&gt;110&lt;/rec-number&gt;&lt;foreign-keys&gt;&lt;key app="EN" db-id="xtpvpwz0ufxa2me5tv6v2prn2ez5p9atsvtr" timestamp="1550110696"&gt;110&lt;/key&gt;&lt;/foreign-keys&gt;&lt;ref-type name="Report"&gt;27&lt;/ref-type&gt;&lt;contributors&gt;&lt;authors&gt;&lt;author&gt;King, O.C.&lt;/author&gt;&lt;author&gt;Smith, R.A.&lt;/author&gt;&lt;author&gt;Mann, R.&lt;/author&gt;&lt;author&gt;Warne M. St J.&lt;/author&gt;&lt;/authors&gt;&lt;/contributors&gt;&lt;titles&gt;&lt;title&gt;Proposed aquatic ecosystem protection guideline values for pesticides commonly used in the Great Barrier Reef catchment area: Part 1 (amended) - 2,4-D, Ametryn, Diuron, Glyphosate, Hexazinone, Imazapic, Imidacloprid, Isoxaflutole, Metolachlor, Metribuzin, Metsulfuron-methyl, Simazine, Tebuthiuron.&lt;/title&gt;&lt;/titles&gt;&lt;pages&gt;pp 296&lt;/pages&gt;&lt;dates&gt;&lt;year&gt;2017&lt;/year&gt;&lt;/dates&gt;&lt;pub-location&gt;Brisbane, Queensland, Australia&lt;/pub-location&gt;&lt;publisher&gt;Department of Environment and Science&lt;/publisher&gt;&lt;urls&gt;&lt;/urls&gt;&lt;/record&gt;&lt;/Cite&gt;&lt;/EndNote&gt;</w:instrText>
      </w:r>
      <w:r w:rsidR="00F047C2">
        <w:rPr>
          <w:rFonts w:cs="Arial"/>
          <w:lang w:val="en-AU"/>
        </w:rPr>
        <w:fldChar w:fldCharType="separate"/>
      </w:r>
      <w:r w:rsidR="002D0872">
        <w:rPr>
          <w:rFonts w:cs="Arial"/>
          <w:noProof/>
          <w:lang w:val="en-AU"/>
        </w:rPr>
        <w:t>(King et al., 2017b; King et al., 2017c)</w:t>
      </w:r>
      <w:r w:rsidR="00F047C2">
        <w:rPr>
          <w:rFonts w:cs="Arial"/>
          <w:lang w:val="en-AU"/>
        </w:rPr>
        <w:fldChar w:fldCharType="end"/>
      </w:r>
      <w:r w:rsidR="00C72CA2" w:rsidRPr="00C72CA2">
        <w:rPr>
          <w:rFonts w:cs="Arial"/>
          <w:lang w:val="en-AU"/>
        </w:rPr>
        <w:t>. If endorsed</w:t>
      </w:r>
      <w:r w:rsidR="0022112D">
        <w:rPr>
          <w:rFonts w:cs="Arial"/>
          <w:lang w:val="en-AU"/>
        </w:rPr>
        <w:t>,</w:t>
      </w:r>
      <w:r w:rsidR="00C72CA2" w:rsidRPr="00C72CA2">
        <w:rPr>
          <w:rFonts w:cs="Arial"/>
          <w:lang w:val="en-AU"/>
        </w:rPr>
        <w:t xml:space="preserve"> they will supersede the </w:t>
      </w:r>
      <w:r w:rsidR="00827C2A">
        <w:rPr>
          <w:rFonts w:cs="Arial"/>
          <w:lang w:val="en-AU"/>
        </w:rPr>
        <w:t xml:space="preserve">current </w:t>
      </w:r>
      <w:r w:rsidR="00C72CA2" w:rsidRPr="00C72CA2">
        <w:rPr>
          <w:rFonts w:cs="Arial"/>
          <w:lang w:val="en-AU"/>
        </w:rPr>
        <w:t>Water Quality Guidelines for the Great Barrier Reef Marine Park</w:t>
      </w:r>
      <w:r w:rsidR="00827C2A">
        <w:rPr>
          <w:rFonts w:cs="Arial"/>
          <w:lang w:val="en-AU"/>
        </w:rPr>
        <w:t xml:space="preserve"> </w:t>
      </w:r>
      <w:r w:rsidR="00827C2A">
        <w:rPr>
          <w:rFonts w:cs="Arial"/>
          <w:lang w:val="en-AU"/>
        </w:rPr>
        <w:fldChar w:fldCharType="begin"/>
      </w:r>
      <w:r w:rsidR="00827C2A">
        <w:rPr>
          <w:rFonts w:cs="Arial"/>
          <w:lang w:val="en-AU"/>
        </w:rPr>
        <w:instrText xml:space="preserve"> ADDIN EN.CITE &lt;EndNote&gt;&lt;Cite&gt;&lt;Author&gt;GBRMPA&lt;/Author&gt;&lt;Year&gt;2010&lt;/Year&gt;&lt;RecNum&gt;85&lt;/RecNum&gt;&lt;DisplayText&gt;(GBRMPA, 2010)&lt;/DisplayText&gt;&lt;record&gt;&lt;rec-number&gt;85&lt;/rec-number&gt;&lt;foreign-keys&gt;&lt;key app="EN" db-id="xtpvpwz0ufxa2me5tv6v2prn2ez5p9atsvtr" timestamp="1539144945"&gt;85&lt;/key&gt;&lt;/foreign-keys&gt;&lt;ref-type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2010.&lt;/title&gt;&lt;/titles&gt;&lt;dates&gt;&lt;year&gt;2010&lt;/year&gt;&lt;/dates&gt;&lt;pub-location&gt;Great Barrier Reef Marine Park Authority, Townsville&lt;/pub-location&gt;&lt;urls&gt;&lt;/urls&gt;&lt;/record&gt;&lt;/Cite&gt;&lt;/EndNote&gt;</w:instrText>
      </w:r>
      <w:r w:rsidR="00827C2A">
        <w:rPr>
          <w:rFonts w:cs="Arial"/>
          <w:lang w:val="en-AU"/>
        </w:rPr>
        <w:fldChar w:fldCharType="separate"/>
      </w:r>
      <w:r w:rsidR="00827C2A">
        <w:rPr>
          <w:rFonts w:cs="Arial"/>
          <w:noProof/>
          <w:lang w:val="en-AU"/>
        </w:rPr>
        <w:t>(GBRMPA, 2010)</w:t>
      </w:r>
      <w:r w:rsidR="00827C2A">
        <w:rPr>
          <w:rFonts w:cs="Arial"/>
          <w:lang w:val="en-AU"/>
        </w:rPr>
        <w:fldChar w:fldCharType="end"/>
      </w:r>
      <w:r w:rsidR="008C7DB4">
        <w:rPr>
          <w:rFonts w:cs="Arial"/>
          <w:lang w:val="en-AU"/>
        </w:rPr>
        <w:t xml:space="preserve"> </w:t>
      </w:r>
      <w:r w:rsidR="00827C2A">
        <w:rPr>
          <w:rFonts w:cs="Arial"/>
          <w:lang w:val="en-AU"/>
        </w:rPr>
        <w:t>I</w:t>
      </w:r>
      <w:r w:rsidR="002C0EC9">
        <w:rPr>
          <w:rFonts w:cs="Arial"/>
          <w:lang w:val="en-AU"/>
        </w:rPr>
        <w:t xml:space="preserve">n advance of endorsed </w:t>
      </w:r>
      <w:r w:rsidR="00585850">
        <w:rPr>
          <w:rFonts w:cs="Arial"/>
          <w:lang w:val="en-AU"/>
        </w:rPr>
        <w:t>P</w:t>
      </w:r>
      <w:r w:rsidR="002C0EC9">
        <w:rPr>
          <w:rFonts w:cs="Arial"/>
          <w:lang w:val="en-AU"/>
        </w:rPr>
        <w:t xml:space="preserve">GVs being released, ecotoxicity threshold </w:t>
      </w:r>
      <w:r w:rsidR="00327C9F">
        <w:rPr>
          <w:rFonts w:cs="Arial"/>
          <w:lang w:val="en-AU"/>
        </w:rPr>
        <w:t xml:space="preserve">(ET) </w:t>
      </w:r>
      <w:r w:rsidR="002C0EC9">
        <w:rPr>
          <w:rFonts w:cs="Arial"/>
          <w:lang w:val="en-AU"/>
        </w:rPr>
        <w:t>values</w:t>
      </w:r>
      <w:r w:rsidR="002C0EC9" w:rsidRPr="004B6BC7">
        <w:rPr>
          <w:rFonts w:cs="Arial"/>
          <w:lang w:val="en-AU"/>
        </w:rPr>
        <w:t xml:space="preserve"> for diuron</w:t>
      </w:r>
      <w:r w:rsidR="002C0EC9">
        <w:rPr>
          <w:rFonts w:cs="Arial"/>
          <w:lang w:val="en-AU"/>
        </w:rPr>
        <w:t>, ametryn, hexazinone and simazine</w:t>
      </w:r>
      <w:r w:rsidR="002C0EC9" w:rsidRPr="004B6BC7">
        <w:rPr>
          <w:rFonts w:cs="Arial"/>
          <w:lang w:val="en-AU"/>
        </w:rPr>
        <w:t xml:space="preserve"> </w:t>
      </w:r>
      <w:r w:rsidR="002C0EC9">
        <w:rPr>
          <w:rFonts w:cs="Arial"/>
          <w:lang w:val="en-AU"/>
        </w:rPr>
        <w:t>in marine waters (PC99, 95, 90, 80) have</w:t>
      </w:r>
      <w:r w:rsidR="002C0EC9" w:rsidRPr="004B6BC7">
        <w:rPr>
          <w:rFonts w:cs="Arial"/>
          <w:lang w:val="en-AU"/>
        </w:rPr>
        <w:t xml:space="preserve"> recently been </w:t>
      </w:r>
      <w:r w:rsidR="002C0EC9">
        <w:rPr>
          <w:rFonts w:cs="Arial"/>
          <w:lang w:val="en-AU"/>
        </w:rPr>
        <w:t xml:space="preserve">published </w:t>
      </w:r>
      <w:r w:rsidR="00C91BF5">
        <w:rPr>
          <w:rFonts w:cs="Arial"/>
          <w:lang w:val="en-AU"/>
        </w:rPr>
        <w:fldChar w:fldCharType="begin">
          <w:fldData xml:space="preserve">PEVuZE5vdGU+PENpdGU+PEF1dGhvcj5LaW5nPC9BdXRob3I+PFllYXI+MjAxNzwvWWVhcj48UmVj
TnVtPjQ3PC9SZWNOdW0+PERpc3BsYXlUZXh0PihLaW5nIGV0IGFsLiwgMjAxN2E7IEtpbmcgZXQg
YWwuLCAyMDE3YzsgV2FybmUgZXQgYWwuLCAyMDE4KTwvRGlzcGxheVRleHQ+PHJlY29yZD48cmVj
LW51bWJlcj40NzwvcmVjLW51bWJlcj48Zm9yZWlnbi1rZXlzPjxrZXkgYXBwPSJFTiIgZGItaWQ9
Inh0cHZwd3owdWZ4YTJtZTV0djZ2MnBybjJlejVwOWF0c3Z0ciIgdGltZXN0YW1wPSIxNTM5MTQ0
OTQ0Ij40Nzwva2V5PjwvZm9yZWlnbi1rZXlzPjxyZWYtdHlwZSBuYW1lPSJSZXBvcnQiPjI3PC9y
ZWYtdHlwZT48Y29udHJpYnV0b3JzPjxhdXRob3JzPjxhdXRob3I+S2luZywgTy5DLjwvYXV0aG9y
PjxhdXRob3I+U21pdGgsIFIuQS48L2F1dGhvcj48YXV0aG9yPldhcm5lIE0uIFN0IEouPC9hdXRo
b3I+PC9hdXRob3JzPjwvY29udHJpYnV0b3JzPjx0aXRsZXM+PHRpdGxlPlByb3Bvc2VkIERlZmF1
bHQgR3VpZGVsaW5lIFZhbHVlcyBmb3IgVG94aWNhbnRzOiBEaXVyb24g4oCTIE1hcmluZTwvdGl0
bGU+PC90aXRsZXM+PHBhZ2VzPnBwIDM3IDwvcGFnZXM+PGRhdGVzPjx5ZWFyPjIwMTc8L3llYXI+
PC9kYXRlcz48cHViLWxvY2F0aW9uPkJyaXNiYW5lLCBBdXN0cmFsaWE8L3B1Yi1sb2NhdGlvbj48
cHVibGlzaGVyPkRlcGFydG1lbnQgb2YgU2NpZW5jZSwgSW5mb3JtYXRpb24gVGVjaG5vbG9neSBh
bmQgSW5ub3ZhdGlvbjwvcHVibGlzaGVyPjx1cmxzPjwvdXJscz48L3JlY29yZD48L0NpdGU+PENp
dGU+PEF1dGhvcj5XYXJuZTwvQXV0aG9yPjxZZWFyPjIwMTg8L1llYXI+PFJlY051bT40NDwvUmVj
TnVtPjxyZWNvcmQ+PHJlYy1udW1iZXI+NDQ8L3JlYy1udW1iZXI+PGZvcmVpZ24ta2V5cz48a2V5
IGFwcD0iRU4iIGRiLWlkPSJ4dHB2cHd6MHVmeGEybWU1dHY2djJwcm4yZXo1cDlhdHN2dHIiIHRp
bWVzdGFtcD0iMTUzOTE0NDk0NCI+NDQ8L2tleT48L2ZvcmVpZ24ta2V5cz48cmVmLXR5cGUgbmFt
ZT0iSm91cm5hbCBBcnRpY2xlIj4xNzwvcmVmLXR5cGU+PGNvbnRyaWJ1dG9ycz48YXV0aG9ycz48
YXV0aG9yPldhcm5lLCBNaWNoYWVsIFN0IEo8L2F1dGhvcj48YXV0aG9yPktpbmcsIE9saXZpYTwv
YXV0aG9yPjxhdXRob3I+U21pdGgsIFJhY2hhZWwgQTwvYXV0aG9yPjwvYXV0aG9ycz48L2NvbnRy
aWJ1dG9ycz48dGl0bGVzPjx0aXRsZT5FY290b3hpY2l0eSB0aHJlc2hvbGRzIGZvciBhbWV0cnlu
LCBkaXVyb24sIGhleGF6aW5vbmUgYW5kIHNpbWF6aW5lIGluIGZyZXNoIGFuZCBtYXJpbmUgd2F0
ZXJzPC90aXRsZT48c2Vjb25kYXJ5LXRpdGxlPkVudmlyb25tZW50YWwgU2NpZW5jZSBhbmQgUG9s
bHV0aW9uIFJlc2VhcmNoPC9zZWNvbmRhcnktdGl0bGU+PC90aXRsZXM+PHBlcmlvZGljYWw+PGZ1
bGwtdGl0bGU+RW52aXJvbm1lbnRhbCBTY2llbmNlIGFuZCBQb2xsdXRpb24gUmVzZWFyY2g8L2Z1
bGwtdGl0bGU+PC9wZXJpb2RpY2FsPjxwYWdlcz4xLTE5PC9wYWdlcz48ZGF0ZXM+PHllYXI+MjAx
ODwveWVhcj48L2RhdGVzPjxpc2JuPjA5NDQtMTM0NDwvaXNibj48dXJscz48L3VybHM+PC9yZWNv
cmQ+PC9DaXRlPjxDaXRlPjxBdXRob3I+S2luZzwvQXV0aG9yPjxZZWFyPjIwMTc8L1llYXI+PFJl
Y051bT4xMTA8L1JlY051bT48cmVjb3JkPjxyZWMtbnVtYmVyPjExMDwvcmVjLW51bWJlcj48Zm9y
ZWlnbi1rZXlzPjxrZXkgYXBwPSJFTiIgZGItaWQ9Inh0cHZwd3owdWZ4YTJtZTV0djZ2MnBybjJl
ejVwOWF0c3Z0ciIgdGltZXN0YW1wPSIxNTUwMTEwNjk2Ij4xMTA8L2tleT48L2ZvcmVpZ24ta2V5
cz48cmVmLXR5cGUgbmFtZT0iUmVwb3J0Ij4yNzwvcmVmLXR5cGU+PGNvbnRyaWJ1dG9ycz48YXV0
aG9ycz48YXV0aG9yPktpbmcsIE8uQy48L2F1dGhvcj48YXV0aG9yPlNtaXRoLCBSLkEuPC9hdXRo
b3I+PGF1dGhvcj5NYW5uLCBSLjwvYXV0aG9yPjxhdXRob3I+V2FybmUgTS4gU3QgSi48L2F1dGhv
cj48L2F1dGhvcnM+PC9jb250cmlidXRvcnM+PHRpdGxlcz48dGl0bGU+UHJvcG9zZWQgYXF1YXRp
YyBlY29zeXN0ZW0gcHJvdGVjdGlvbiBndWlkZWxpbmUgdmFsdWVzIGZvciBwZXN0aWNpZGVzIGNv
bW1vbmx5IHVzZWQgaW4gdGhlIEdyZWF0IEJhcnJpZXIgUmVlZiBjYXRjaG1lbnQgYXJlYTogUGFy
dCAxIChhbWVuZGVkKSAtIDIsNC1ELCBBbWV0cnluLCBEaXVyb24sIEdseXBob3NhdGUsIEhleGF6
aW5vbmUsIEltYXphcGljLCBJbWlkYWNsb3ByaWQsIElzb3hhZmx1dG9sZSwgTWV0b2xhY2hsb3Is
IE1ldHJpYnV6aW4sIE1ldHN1bGZ1cm9uLW1ldGh5bCwgU2ltYXppbmUsIFRlYnV0aGl1cm9uLjwv
dGl0bGU+PC90aXRsZXM+PHBhZ2VzPnBwIDI5NjwvcGFnZXM+PGRhdGVzPjx5ZWFyPjIwMTc8L3ll
YXI+PC9kYXRlcz48cHViLWxvY2F0aW9uPkJyaXNiYW5lLCBRdWVlbnNsYW5kLCBBdXN0cmFsaWE8
L3B1Yi1sb2NhdGlvbj48cHVibGlzaGVyPkRlcGFydG1lbnQgb2YgRW52aXJvbm1lbnQgYW5kIFNj
aWVuY2U8L3B1Ymxpc2hlcj48dXJscz48L3VybHM+PC9yZWNvcmQ+PC9DaXRlPjwvRW5kTm90ZT5=
</w:fldData>
        </w:fldChar>
      </w:r>
      <w:r w:rsidR="002D0872">
        <w:rPr>
          <w:rFonts w:cs="Arial"/>
          <w:lang w:val="en-AU"/>
        </w:rPr>
        <w:instrText xml:space="preserve"> ADDIN EN.CITE </w:instrText>
      </w:r>
      <w:r w:rsidR="002D0872">
        <w:rPr>
          <w:rFonts w:cs="Arial"/>
          <w:lang w:val="en-AU"/>
        </w:rPr>
        <w:fldChar w:fldCharType="begin">
          <w:fldData xml:space="preserve">PEVuZE5vdGU+PENpdGU+PEF1dGhvcj5LaW5nPC9BdXRob3I+PFllYXI+MjAxNzwvWWVhcj48UmVj
TnVtPjQ3PC9SZWNOdW0+PERpc3BsYXlUZXh0PihLaW5nIGV0IGFsLiwgMjAxN2E7IEtpbmcgZXQg
YWwuLCAyMDE3YzsgV2FybmUgZXQgYWwuLCAyMDE4KTwvRGlzcGxheVRleHQ+PHJlY29yZD48cmVj
LW51bWJlcj40NzwvcmVjLW51bWJlcj48Zm9yZWlnbi1rZXlzPjxrZXkgYXBwPSJFTiIgZGItaWQ9
Inh0cHZwd3owdWZ4YTJtZTV0djZ2MnBybjJlejVwOWF0c3Z0ciIgdGltZXN0YW1wPSIxNTM5MTQ0
OTQ0Ij40Nzwva2V5PjwvZm9yZWlnbi1rZXlzPjxyZWYtdHlwZSBuYW1lPSJSZXBvcnQiPjI3PC9y
ZWYtdHlwZT48Y29udHJpYnV0b3JzPjxhdXRob3JzPjxhdXRob3I+S2luZywgTy5DLjwvYXV0aG9y
PjxhdXRob3I+U21pdGgsIFIuQS48L2F1dGhvcj48YXV0aG9yPldhcm5lIE0uIFN0IEouPC9hdXRo
b3I+PC9hdXRob3JzPjwvY29udHJpYnV0b3JzPjx0aXRsZXM+PHRpdGxlPlByb3Bvc2VkIERlZmF1
bHQgR3VpZGVsaW5lIFZhbHVlcyBmb3IgVG94aWNhbnRzOiBEaXVyb24g4oCTIE1hcmluZTwvdGl0
bGU+PC90aXRsZXM+PHBhZ2VzPnBwIDM3IDwvcGFnZXM+PGRhdGVzPjx5ZWFyPjIwMTc8L3llYXI+
PC9kYXRlcz48cHViLWxvY2F0aW9uPkJyaXNiYW5lLCBBdXN0cmFsaWE8L3B1Yi1sb2NhdGlvbj48
cHVibGlzaGVyPkRlcGFydG1lbnQgb2YgU2NpZW5jZSwgSW5mb3JtYXRpb24gVGVjaG5vbG9neSBh
bmQgSW5ub3ZhdGlvbjwvcHVibGlzaGVyPjx1cmxzPjwvdXJscz48L3JlY29yZD48L0NpdGU+PENp
dGU+PEF1dGhvcj5XYXJuZTwvQXV0aG9yPjxZZWFyPjIwMTg8L1llYXI+PFJlY051bT40NDwvUmVj
TnVtPjxyZWNvcmQ+PHJlYy1udW1iZXI+NDQ8L3JlYy1udW1iZXI+PGZvcmVpZ24ta2V5cz48a2V5
IGFwcD0iRU4iIGRiLWlkPSJ4dHB2cHd6MHVmeGEybWU1dHY2djJwcm4yZXo1cDlhdHN2dHIiIHRp
bWVzdGFtcD0iMTUzOTE0NDk0NCI+NDQ8L2tleT48L2ZvcmVpZ24ta2V5cz48cmVmLXR5cGUgbmFt
ZT0iSm91cm5hbCBBcnRpY2xlIj4xNzwvcmVmLXR5cGU+PGNvbnRyaWJ1dG9ycz48YXV0aG9ycz48
YXV0aG9yPldhcm5lLCBNaWNoYWVsIFN0IEo8L2F1dGhvcj48YXV0aG9yPktpbmcsIE9saXZpYTwv
YXV0aG9yPjxhdXRob3I+U21pdGgsIFJhY2hhZWwgQTwvYXV0aG9yPjwvYXV0aG9ycz48L2NvbnRy
aWJ1dG9ycz48dGl0bGVzPjx0aXRsZT5FY290b3hpY2l0eSB0aHJlc2hvbGRzIGZvciBhbWV0cnlu
LCBkaXVyb24sIGhleGF6aW5vbmUgYW5kIHNpbWF6aW5lIGluIGZyZXNoIGFuZCBtYXJpbmUgd2F0
ZXJzPC90aXRsZT48c2Vjb25kYXJ5LXRpdGxlPkVudmlyb25tZW50YWwgU2NpZW5jZSBhbmQgUG9s
bHV0aW9uIFJlc2VhcmNoPC9zZWNvbmRhcnktdGl0bGU+PC90aXRsZXM+PHBlcmlvZGljYWw+PGZ1
bGwtdGl0bGU+RW52aXJvbm1lbnRhbCBTY2llbmNlIGFuZCBQb2xsdXRpb24gUmVzZWFyY2g8L2Z1
bGwtdGl0bGU+PC9wZXJpb2RpY2FsPjxwYWdlcz4xLTE5PC9wYWdlcz48ZGF0ZXM+PHllYXI+MjAx
ODwveWVhcj48L2RhdGVzPjxpc2JuPjA5NDQtMTM0NDwvaXNibj48dXJscz48L3VybHM+PC9yZWNv
cmQ+PC9DaXRlPjxDaXRlPjxBdXRob3I+S2luZzwvQXV0aG9yPjxZZWFyPjIwMTc8L1llYXI+PFJl
Y051bT4xMTA8L1JlY051bT48cmVjb3JkPjxyZWMtbnVtYmVyPjExMDwvcmVjLW51bWJlcj48Zm9y
ZWlnbi1rZXlzPjxrZXkgYXBwPSJFTiIgZGItaWQ9Inh0cHZwd3owdWZ4YTJtZTV0djZ2MnBybjJl
ejVwOWF0c3Z0ciIgdGltZXN0YW1wPSIxNTUwMTEwNjk2Ij4xMTA8L2tleT48L2ZvcmVpZ24ta2V5
cz48cmVmLXR5cGUgbmFtZT0iUmVwb3J0Ij4yNzwvcmVmLXR5cGU+PGNvbnRyaWJ1dG9ycz48YXV0
aG9ycz48YXV0aG9yPktpbmcsIE8uQy48L2F1dGhvcj48YXV0aG9yPlNtaXRoLCBSLkEuPC9hdXRo
b3I+PGF1dGhvcj5NYW5uLCBSLjwvYXV0aG9yPjxhdXRob3I+V2FybmUgTS4gU3QgSi48L2F1dGhv
cj48L2F1dGhvcnM+PC9jb250cmlidXRvcnM+PHRpdGxlcz48dGl0bGU+UHJvcG9zZWQgYXF1YXRp
YyBlY29zeXN0ZW0gcHJvdGVjdGlvbiBndWlkZWxpbmUgdmFsdWVzIGZvciBwZXN0aWNpZGVzIGNv
bW1vbmx5IHVzZWQgaW4gdGhlIEdyZWF0IEJhcnJpZXIgUmVlZiBjYXRjaG1lbnQgYXJlYTogUGFy
dCAxIChhbWVuZGVkKSAtIDIsNC1ELCBBbWV0cnluLCBEaXVyb24sIEdseXBob3NhdGUsIEhleGF6
aW5vbmUsIEltYXphcGljLCBJbWlkYWNsb3ByaWQsIElzb3hhZmx1dG9sZSwgTWV0b2xhY2hsb3Is
IE1ldHJpYnV6aW4sIE1ldHN1bGZ1cm9uLW1ldGh5bCwgU2ltYXppbmUsIFRlYnV0aGl1cm9uLjwv
dGl0bGU+PC90aXRsZXM+PHBhZ2VzPnBwIDI5NjwvcGFnZXM+PGRhdGVzPjx5ZWFyPjIwMTc8L3ll
YXI+PC9kYXRlcz48cHViLWxvY2F0aW9uPkJyaXNiYW5lLCBRdWVlbnNsYW5kLCBBdXN0cmFsaWE8
L3B1Yi1sb2NhdGlvbj48cHVibGlzaGVyPkRlcGFydG1lbnQgb2YgRW52aXJvbm1lbnQgYW5kIFNj
aWVuY2U8L3B1Ymxpc2hlcj48dXJscz48L3VybHM+PC9yZWNvcmQ+PC9DaXRlPjwvRW5kTm90ZT5=
</w:fldData>
        </w:fldChar>
      </w:r>
      <w:r w:rsidR="002D0872">
        <w:rPr>
          <w:rFonts w:cs="Arial"/>
          <w:lang w:val="en-AU"/>
        </w:rPr>
        <w:instrText xml:space="preserve"> ADDIN EN.CITE.DATA </w:instrText>
      </w:r>
      <w:r w:rsidR="002D0872">
        <w:rPr>
          <w:rFonts w:cs="Arial"/>
          <w:lang w:val="en-AU"/>
        </w:rPr>
      </w:r>
      <w:r w:rsidR="002D0872">
        <w:rPr>
          <w:rFonts w:cs="Arial"/>
          <w:lang w:val="en-AU"/>
        </w:rPr>
        <w:fldChar w:fldCharType="end"/>
      </w:r>
      <w:r w:rsidR="00C91BF5">
        <w:rPr>
          <w:rFonts w:cs="Arial"/>
          <w:lang w:val="en-AU"/>
        </w:rPr>
      </w:r>
      <w:r w:rsidR="00C91BF5">
        <w:rPr>
          <w:rFonts w:cs="Arial"/>
          <w:lang w:val="en-AU"/>
        </w:rPr>
        <w:fldChar w:fldCharType="separate"/>
      </w:r>
      <w:r w:rsidR="002D0872">
        <w:rPr>
          <w:rFonts w:cs="Arial"/>
          <w:noProof/>
          <w:lang w:val="en-AU"/>
        </w:rPr>
        <w:t>(King et al., 2017a; King et al., 2017c; Warne et al., 2018)</w:t>
      </w:r>
      <w:r w:rsidR="00C91BF5">
        <w:rPr>
          <w:rFonts w:cs="Arial"/>
          <w:lang w:val="en-AU"/>
        </w:rPr>
        <w:fldChar w:fldCharType="end"/>
      </w:r>
      <w:r w:rsidR="007116AB">
        <w:rPr>
          <w:rFonts w:cs="Arial"/>
          <w:lang w:val="en-AU"/>
        </w:rPr>
        <w:t>.</w:t>
      </w:r>
      <w:r w:rsidR="00662785">
        <w:rPr>
          <w:rFonts w:cs="Arial"/>
          <w:lang w:val="en-AU"/>
        </w:rPr>
        <w:t xml:space="preserve"> </w:t>
      </w:r>
    </w:p>
    <w:p w14:paraId="4779D46D" w14:textId="77777777" w:rsidR="005C5E88" w:rsidRDefault="005C5E88" w:rsidP="002439C8">
      <w:pPr>
        <w:spacing w:line="276" w:lineRule="auto"/>
        <w:jc w:val="left"/>
        <w:rPr>
          <w:rFonts w:cs="Arial"/>
          <w:lang w:val="en-AU"/>
        </w:rPr>
      </w:pPr>
    </w:p>
    <w:p w14:paraId="27D730F7" w14:textId="7010FE46" w:rsidR="00152D7C" w:rsidRDefault="00750BB9" w:rsidP="002439C8">
      <w:pPr>
        <w:spacing w:line="276" w:lineRule="auto"/>
        <w:jc w:val="left"/>
        <w:rPr>
          <w:lang w:val="en-AU" w:eastAsia="en-AU"/>
        </w:rPr>
      </w:pPr>
      <w:r>
        <w:rPr>
          <w:rFonts w:cs="Arial"/>
          <w:lang w:val="en-AU"/>
        </w:rPr>
        <w:t>Due to the high ecological value of the Reef, PC99 values are relevant to this ecosystem</w:t>
      </w:r>
      <w:r w:rsidR="002C0EC9">
        <w:rPr>
          <w:rFonts w:cs="Arial"/>
          <w:lang w:val="en-AU"/>
        </w:rPr>
        <w:t xml:space="preserve">, and are required by </w:t>
      </w:r>
      <w:r w:rsidR="00784103" w:rsidRPr="00784103">
        <w:rPr>
          <w:rFonts w:cs="Arial"/>
          <w:lang w:val="en-AU"/>
        </w:rPr>
        <w:t>Great Barrier Reef Marine Park Authority</w:t>
      </w:r>
      <w:r w:rsidR="00784103" w:rsidRPr="00BE05C8">
        <w:rPr>
          <w:sz w:val="18"/>
        </w:rPr>
        <w:t xml:space="preserve"> </w:t>
      </w:r>
      <w:r w:rsidR="002C0EC9">
        <w:rPr>
          <w:rFonts w:cs="Arial"/>
          <w:lang w:val="en-AU"/>
        </w:rPr>
        <w:t xml:space="preserve">water quality guidelines </w:t>
      </w:r>
      <w:r w:rsidR="00E05386">
        <w:rPr>
          <w:rFonts w:cs="Arial"/>
          <w:lang w:val="en-AU"/>
        </w:rPr>
        <w:fldChar w:fldCharType="begin"/>
      </w:r>
      <w:r w:rsidR="00E05386">
        <w:rPr>
          <w:rFonts w:cs="Arial"/>
          <w:lang w:val="en-AU"/>
        </w:rPr>
        <w:instrText xml:space="preserve"> ADDIN EN.CITE &lt;EndNote&gt;&lt;Cite&gt;&lt;Author&gt;GBRMPA&lt;/Author&gt;&lt;Year&gt;2010&lt;/Year&gt;&lt;RecNum&gt;85&lt;/RecNum&gt;&lt;DisplayText&gt;(GBRMPA, 2010)&lt;/DisplayText&gt;&lt;record&gt;&lt;rec-number&gt;85&lt;/rec-number&gt;&lt;foreign-keys&gt;&lt;key app="EN" db-id="xtpvpwz0ufxa2me5tv6v2prn2ez5p9atsvtr" timestamp="1539144945"&gt;85&lt;/key&gt;&lt;/foreign-keys&gt;&lt;ref-type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2010.&lt;/title&gt;&lt;/titles&gt;&lt;dates&gt;&lt;year&gt;2010&lt;/year&gt;&lt;/dates&gt;&lt;pub-location&gt;Great Barrier Reef Marine Park Authority, Townsville&lt;/pub-location&gt;&lt;urls&gt;&lt;/urls&gt;&lt;/record&gt;&lt;/Cite&gt;&lt;/EndNote&gt;</w:instrText>
      </w:r>
      <w:r w:rsidR="00E05386">
        <w:rPr>
          <w:rFonts w:cs="Arial"/>
          <w:lang w:val="en-AU"/>
        </w:rPr>
        <w:fldChar w:fldCharType="separate"/>
      </w:r>
      <w:r w:rsidR="00E05386">
        <w:rPr>
          <w:rFonts w:cs="Arial"/>
          <w:noProof/>
          <w:lang w:val="en-AU"/>
        </w:rPr>
        <w:t>(GBRMPA, 2010)</w:t>
      </w:r>
      <w:r w:rsidR="00E05386">
        <w:rPr>
          <w:rFonts w:cs="Arial"/>
          <w:lang w:val="en-AU"/>
        </w:rPr>
        <w:fldChar w:fldCharType="end"/>
      </w:r>
      <w:r>
        <w:rPr>
          <w:rFonts w:cs="Arial"/>
          <w:lang w:val="en-AU"/>
        </w:rPr>
        <w:t xml:space="preserve">. </w:t>
      </w:r>
      <w:r w:rsidR="007116AB">
        <w:rPr>
          <w:rFonts w:cs="Arial"/>
          <w:lang w:val="en-AU"/>
        </w:rPr>
        <w:t>The</w:t>
      </w:r>
      <w:r>
        <w:rPr>
          <w:rFonts w:cs="Arial"/>
          <w:lang w:val="en-AU"/>
        </w:rPr>
        <w:t xml:space="preserve"> published </w:t>
      </w:r>
      <w:r w:rsidR="00327C9F">
        <w:rPr>
          <w:rFonts w:cs="Arial"/>
          <w:lang w:val="en-AU"/>
        </w:rPr>
        <w:t xml:space="preserve">ETs </w:t>
      </w:r>
      <w:r w:rsidR="007116AB">
        <w:rPr>
          <w:rFonts w:cs="Arial"/>
          <w:lang w:val="en-AU"/>
        </w:rPr>
        <w:t xml:space="preserve">and the </w:t>
      </w:r>
      <w:r w:rsidR="00585850">
        <w:rPr>
          <w:rFonts w:cs="Arial"/>
          <w:lang w:val="en-AU"/>
        </w:rPr>
        <w:t>P</w:t>
      </w:r>
      <w:r w:rsidR="00662785">
        <w:rPr>
          <w:rFonts w:cs="Arial"/>
          <w:lang w:val="en-AU"/>
        </w:rPr>
        <w:t>GVs for 2</w:t>
      </w:r>
      <w:r w:rsidR="007116AB">
        <w:rPr>
          <w:rFonts w:cs="Arial"/>
          <w:lang w:val="en-AU"/>
        </w:rPr>
        <w:t>4</w:t>
      </w:r>
      <w:r w:rsidR="00662785">
        <w:rPr>
          <w:rFonts w:cs="Arial"/>
          <w:lang w:val="en-AU"/>
        </w:rPr>
        <w:t xml:space="preserve"> other pesticides</w:t>
      </w:r>
      <w:r w:rsidR="007116AB" w:rsidRPr="007116AB">
        <w:rPr>
          <w:rFonts w:cs="Arial"/>
          <w:lang w:val="en-AU"/>
        </w:rPr>
        <w:t xml:space="preserve"> </w:t>
      </w:r>
      <w:r w:rsidR="007116AB">
        <w:rPr>
          <w:rFonts w:cs="Arial"/>
          <w:lang w:val="en-AU"/>
        </w:rPr>
        <w:t>submitted for endorsement and</w:t>
      </w:r>
      <w:r w:rsidR="00662785">
        <w:rPr>
          <w:rFonts w:cs="Arial"/>
          <w:lang w:val="en-AU"/>
        </w:rPr>
        <w:t xml:space="preserve"> relevant to the current monitoring period</w:t>
      </w:r>
      <w:r w:rsidR="007E5A1E">
        <w:rPr>
          <w:rFonts w:cs="Arial"/>
          <w:lang w:val="en-AU"/>
        </w:rPr>
        <w:t>,</w:t>
      </w:r>
      <w:r w:rsidR="00662785">
        <w:rPr>
          <w:rFonts w:cs="Arial"/>
          <w:lang w:val="en-AU"/>
        </w:rPr>
        <w:t xml:space="preserve"> </w:t>
      </w:r>
      <w:r w:rsidR="007116AB">
        <w:rPr>
          <w:rFonts w:cs="Arial"/>
          <w:lang w:val="en-AU"/>
        </w:rPr>
        <w:t xml:space="preserve">are detailed in </w:t>
      </w:r>
      <w:r w:rsidR="00C91BF5">
        <w:rPr>
          <w:highlight w:val="yellow"/>
          <w:lang w:val="en-AU" w:eastAsia="en-AU"/>
        </w:rPr>
        <w:fldChar w:fldCharType="begin"/>
      </w:r>
      <w:r w:rsidR="006A6F28">
        <w:rPr>
          <w:lang w:val="en-AU" w:eastAsia="en-AU"/>
        </w:rPr>
        <w:instrText xml:space="preserve"> REF _Ref480726661 \n \h </w:instrText>
      </w:r>
      <w:r w:rsidR="002439C8">
        <w:rPr>
          <w:highlight w:val="yellow"/>
          <w:lang w:val="en-AU" w:eastAsia="en-AU"/>
        </w:rPr>
        <w:instrText xml:space="preserve"> \* MERGEFORMAT </w:instrText>
      </w:r>
      <w:r w:rsidR="00C91BF5">
        <w:rPr>
          <w:highlight w:val="yellow"/>
          <w:lang w:val="en-AU" w:eastAsia="en-AU"/>
        </w:rPr>
      </w:r>
      <w:r w:rsidR="00C91BF5">
        <w:rPr>
          <w:highlight w:val="yellow"/>
          <w:lang w:val="en-AU" w:eastAsia="en-AU"/>
        </w:rPr>
        <w:fldChar w:fldCharType="separate"/>
      </w:r>
      <w:r w:rsidR="00251B46">
        <w:rPr>
          <w:lang w:val="en-AU" w:eastAsia="en-AU"/>
        </w:rPr>
        <w:t xml:space="preserve">Appendix B </w:t>
      </w:r>
      <w:r w:rsidR="00C91BF5">
        <w:rPr>
          <w:highlight w:val="yellow"/>
          <w:lang w:val="en-AU" w:eastAsia="en-AU"/>
        </w:rPr>
        <w:fldChar w:fldCharType="end"/>
      </w:r>
      <w:r w:rsidR="007116AB" w:rsidRPr="007116AB">
        <w:rPr>
          <w:lang w:val="en-AU" w:eastAsia="en-AU"/>
        </w:rPr>
        <w:t>(</w:t>
      </w:r>
      <w:r w:rsidR="00C91BF5">
        <w:rPr>
          <w:highlight w:val="yellow"/>
          <w:lang w:val="en-AU" w:eastAsia="en-AU"/>
        </w:rPr>
        <w:fldChar w:fldCharType="begin"/>
      </w:r>
      <w:r w:rsidR="006A6F28">
        <w:rPr>
          <w:highlight w:val="yellow"/>
          <w:lang w:val="en-AU" w:eastAsia="en-AU"/>
        </w:rPr>
        <w:instrText xml:space="preserve"> REF _Ref480726648 \h </w:instrText>
      </w:r>
      <w:r w:rsidR="002439C8">
        <w:rPr>
          <w:highlight w:val="yellow"/>
          <w:lang w:val="en-AU" w:eastAsia="en-AU"/>
        </w:rPr>
        <w:instrText xml:space="preserve"> \* MERGEFORMAT </w:instrText>
      </w:r>
      <w:r w:rsidR="00C91BF5">
        <w:rPr>
          <w:highlight w:val="yellow"/>
          <w:lang w:val="en-AU" w:eastAsia="en-AU"/>
        </w:rPr>
      </w:r>
      <w:r w:rsidR="00C91BF5">
        <w:rPr>
          <w:highlight w:val="yellow"/>
          <w:lang w:val="en-AU" w:eastAsia="en-AU"/>
        </w:rPr>
        <w:fldChar w:fldCharType="separate"/>
      </w:r>
      <w:r w:rsidR="00251B46">
        <w:t xml:space="preserve">Table </w:t>
      </w:r>
      <w:r w:rsidR="00251B46">
        <w:rPr>
          <w:noProof/>
        </w:rPr>
        <w:t>B</w:t>
      </w:r>
      <w:r w:rsidR="00251B46">
        <w:rPr>
          <w:noProof/>
        </w:rPr>
        <w:noBreakHyphen/>
        <w:t>1</w:t>
      </w:r>
      <w:r w:rsidR="00C91BF5">
        <w:rPr>
          <w:highlight w:val="yellow"/>
          <w:lang w:val="en-AU" w:eastAsia="en-AU"/>
        </w:rPr>
        <w:fldChar w:fldCharType="end"/>
      </w:r>
      <w:r w:rsidR="00662785">
        <w:rPr>
          <w:lang w:val="en-AU" w:eastAsia="en-AU"/>
        </w:rPr>
        <w:t>).</w:t>
      </w:r>
      <w:r w:rsidR="001A21B2" w:rsidRPr="001A21B2">
        <w:rPr>
          <w:lang w:val="en-AU" w:eastAsia="en-AU"/>
        </w:rPr>
        <w:t xml:space="preserve"> </w:t>
      </w:r>
    </w:p>
    <w:p w14:paraId="057E45A2" w14:textId="77777777" w:rsidR="00BA71CA" w:rsidRPr="004E0EF8" w:rsidRDefault="00035468" w:rsidP="002439C8">
      <w:pPr>
        <w:pStyle w:val="Heading3"/>
        <w:jc w:val="left"/>
      </w:pPr>
      <w:bookmarkStart w:id="281" w:name="_Toc535848680"/>
      <w:bookmarkStart w:id="282" w:name="_Toc535848682"/>
      <w:bookmarkStart w:id="283" w:name="_Toc535848683"/>
      <w:bookmarkStart w:id="284" w:name="_Toc535848685"/>
      <w:bookmarkStart w:id="285" w:name="_Toc14435690"/>
      <w:bookmarkEnd w:id="281"/>
      <w:bookmarkEnd w:id="282"/>
      <w:bookmarkEnd w:id="283"/>
      <w:bookmarkEnd w:id="284"/>
      <w:r>
        <w:t>Risk assessment</w:t>
      </w:r>
      <w:r w:rsidR="00BA71CA">
        <w:t xml:space="preserve"> </w:t>
      </w:r>
      <w:r w:rsidR="00EE27E7">
        <w:t>metric</w:t>
      </w:r>
      <w:bookmarkEnd w:id="285"/>
    </w:p>
    <w:p w14:paraId="5841F96B" w14:textId="0CFD9284" w:rsidR="00DB7594" w:rsidRPr="001612F5" w:rsidRDefault="00500E83" w:rsidP="002439C8">
      <w:pPr>
        <w:spacing w:line="276" w:lineRule="auto"/>
        <w:jc w:val="left"/>
      </w:pPr>
      <w:r w:rsidRPr="001612F5">
        <w:rPr>
          <w:lang w:val="en-AU"/>
        </w:rPr>
        <w:t>Up until the 2016</w:t>
      </w:r>
      <w:r w:rsidR="00A47643" w:rsidRPr="001612F5">
        <w:rPr>
          <w:lang w:val="en-AU"/>
        </w:rPr>
        <w:t>–20</w:t>
      </w:r>
      <w:r w:rsidRPr="001612F5">
        <w:rPr>
          <w:lang w:val="en-AU"/>
        </w:rPr>
        <w:t>17 monitoring year</w:t>
      </w:r>
      <w:r w:rsidR="00E13B2E" w:rsidRPr="001612F5">
        <w:rPr>
          <w:lang w:val="en-AU"/>
        </w:rPr>
        <w:t xml:space="preserve">, the </w:t>
      </w:r>
      <w:r w:rsidR="008A1440" w:rsidRPr="001612F5">
        <w:rPr>
          <w:rFonts w:cs="Arial"/>
          <w:lang w:val="en-AU"/>
        </w:rPr>
        <w:t>Photosystem II Herbicide Equivalent Concentration (</w:t>
      </w:r>
      <w:r w:rsidR="005E2B71">
        <w:rPr>
          <w:rFonts w:cs="Arial"/>
          <w:lang w:val="en-AU"/>
        </w:rPr>
        <w:t>PSII</w:t>
      </w:r>
      <w:r w:rsidR="005E2B71">
        <w:rPr>
          <w:rFonts w:cs="Arial"/>
          <w:lang w:val="en-AU"/>
        </w:rPr>
        <w:noBreakHyphen/>
        <w:t>HEq</w:t>
      </w:r>
      <w:r w:rsidR="008A1440" w:rsidRPr="001612F5">
        <w:rPr>
          <w:rFonts w:cs="Arial"/>
          <w:lang w:val="en-AU"/>
        </w:rPr>
        <w:t>)</w:t>
      </w:r>
      <w:r w:rsidR="00E13B2E" w:rsidRPr="001612F5">
        <w:rPr>
          <w:rFonts w:cs="Arial"/>
          <w:lang w:val="en-AU"/>
        </w:rPr>
        <w:t xml:space="preserve"> Index </w:t>
      </w:r>
      <w:r w:rsidR="004451A8" w:rsidRPr="001612F5">
        <w:rPr>
          <w:rFonts w:cs="Arial"/>
          <w:lang w:val="en-AU"/>
        </w:rPr>
        <w:t xml:space="preserve">(based on diuron equivalent concentrations) </w:t>
      </w:r>
      <w:r w:rsidR="00E13B2E" w:rsidRPr="001612F5">
        <w:rPr>
          <w:rFonts w:cs="Arial"/>
          <w:lang w:val="en-AU"/>
        </w:rPr>
        <w:t>has been used to assess ecological risk</w:t>
      </w:r>
      <w:r w:rsidR="0082160E" w:rsidRPr="001612F5">
        <w:rPr>
          <w:lang w:val="en-AU"/>
        </w:rPr>
        <w:t xml:space="preserve"> </w:t>
      </w:r>
      <w:r w:rsidR="008A1440" w:rsidRPr="001612F5">
        <w:rPr>
          <w:lang w:val="en-AU"/>
        </w:rPr>
        <w:t xml:space="preserve">of mixtures </w:t>
      </w:r>
      <w:r w:rsidR="00FE0B3C" w:rsidRPr="001612F5">
        <w:rPr>
          <w:lang w:val="en-AU"/>
        </w:rPr>
        <w:t xml:space="preserve">of 13 PSII herbicides &amp; metabolites </w:t>
      </w:r>
      <w:r w:rsidR="0082160E" w:rsidRPr="001612F5">
        <w:rPr>
          <w:lang w:val="en-AU"/>
        </w:rPr>
        <w:t>for MMP reporting</w:t>
      </w:r>
      <w:r w:rsidR="00647D60" w:rsidRPr="001612F5">
        <w:rPr>
          <w:lang w:val="en-AU"/>
        </w:rPr>
        <w:t xml:space="preserve"> (for detailed information about this method see </w:t>
      </w:r>
      <w:r w:rsidR="00647D60" w:rsidRPr="001612F5">
        <w:rPr>
          <w:lang w:val="en-AU"/>
        </w:rPr>
        <w:fldChar w:fldCharType="begin"/>
      </w:r>
      <w:r w:rsidR="00E06B2D" w:rsidRPr="001612F5">
        <w:rPr>
          <w:lang w:val="en-AU"/>
        </w:rPr>
        <w:instrText xml:space="preserve"> ADDIN EN.CITE &lt;EndNote&gt;&lt;Cite&gt;&lt;Author&gt;Grant&lt;/Author&gt;&lt;Year&gt;2018&lt;/Year&gt;&lt;RecNum&gt;107&lt;/RecNum&gt;&lt;DisplayText&gt;(Grant et al., 2018)&lt;/DisplayText&gt;&lt;record&gt;&lt;rec-number&gt;107&lt;/rec-number&gt;&lt;foreign-keys&gt;&lt;key app="EN" db-id="xtpvpwz0ufxa2me5tv6v2prn2ez5p9atsvtr" timestamp="1539173736"&gt;107&lt;/key&gt;&lt;/foreign-keys&gt;&lt;ref-type name="Report"&gt;27&lt;/ref-type&gt;&lt;contributors&gt;&lt;authors&gt;&lt;author&gt;Grant, S.&lt;/author&gt;&lt;author&gt;Thompson, K.&lt;/author&gt;&lt;author&gt;Paxman, C&lt;/author&gt;&lt;author&gt;Elisei, G.&lt;/author&gt;&lt;author&gt;Gallen, C&lt;/author&gt;&lt;author&gt;Tracey, D.&lt;/author&gt;&lt;author&gt;Kaserzon, S.&lt;/author&gt;&lt;author&gt;Jiang, H.&lt;/author&gt;&lt;author&gt;Samanipour, S.&lt;/author&gt;&lt;author&gt;Mueller, J&lt;/author&gt;&lt;/authors&gt;&lt;tertiary-authors&gt;&lt;author&gt;Great Barrier Reef Marine Park Authority Townsville&lt;/author&gt;&lt;/tertiary-authors&gt;&lt;/contributors&gt;&lt;titles&gt;&lt;title&gt;Marine Monitoring Program: Annual report for inshore pesticide monitoring 2016-2017&lt;/title&gt;&lt;/titles&gt;&lt;dates&gt;&lt;year&gt;2018&lt;/year&gt;&lt;/dates&gt;&lt;urls&gt;&lt;related-urls&gt;&lt;url&gt;&lt;style face="underline" font="default" size="100%"&gt;http://elibrary.gbrmpa.gov.au/jspui/handle/11017/3399&lt;/style&gt;&lt;/url&gt;&lt;/related-urls&gt;&lt;/urls&gt;&lt;/record&gt;&lt;/Cite&gt;&lt;/EndNote&gt;</w:instrText>
      </w:r>
      <w:r w:rsidR="00647D60" w:rsidRPr="001612F5">
        <w:rPr>
          <w:lang w:val="en-AU"/>
        </w:rPr>
        <w:fldChar w:fldCharType="separate"/>
      </w:r>
      <w:r w:rsidR="00E06B2D" w:rsidRPr="001612F5">
        <w:rPr>
          <w:noProof/>
          <w:lang w:val="en-AU"/>
        </w:rPr>
        <w:t>(Grant et al., 2018)</w:t>
      </w:r>
      <w:r w:rsidR="00647D60" w:rsidRPr="001612F5">
        <w:rPr>
          <w:lang w:val="en-AU"/>
        </w:rPr>
        <w:fldChar w:fldCharType="end"/>
      </w:r>
      <w:r w:rsidR="00E13B2E" w:rsidRPr="001612F5">
        <w:rPr>
          <w:rFonts w:cs="Arial"/>
          <w:lang w:val="en-AU"/>
        </w:rPr>
        <w:t xml:space="preserve">. </w:t>
      </w:r>
      <w:r w:rsidR="001632DF" w:rsidRPr="001612F5">
        <w:rPr>
          <w:rFonts w:cs="Arial"/>
          <w:lang w:val="en-AU"/>
        </w:rPr>
        <w:t xml:space="preserve">This </w:t>
      </w:r>
      <w:r w:rsidR="00585850" w:rsidRPr="001612F5">
        <w:rPr>
          <w:rFonts w:cs="Arial"/>
          <w:lang w:val="en-AU"/>
        </w:rPr>
        <w:t>i</w:t>
      </w:r>
      <w:r w:rsidR="001632DF" w:rsidRPr="001612F5">
        <w:rPr>
          <w:rFonts w:cs="Arial"/>
          <w:lang w:val="en-AU"/>
        </w:rPr>
        <w:t xml:space="preserve">ndex defines ranges of </w:t>
      </w:r>
      <w:r w:rsidR="005E2B71">
        <w:rPr>
          <w:rFonts w:cs="Arial"/>
          <w:lang w:val="en-AU"/>
        </w:rPr>
        <w:t>PSII</w:t>
      </w:r>
      <w:r w:rsidR="005E2B71">
        <w:rPr>
          <w:rFonts w:cs="Arial"/>
          <w:lang w:val="en-AU"/>
        </w:rPr>
        <w:noBreakHyphen/>
        <w:t>HEq</w:t>
      </w:r>
      <w:r w:rsidR="001632DF" w:rsidRPr="001612F5">
        <w:rPr>
          <w:rFonts w:cs="Arial"/>
          <w:lang w:val="en-AU"/>
        </w:rPr>
        <w:t xml:space="preserve"> that equate with different levels of </w:t>
      </w:r>
      <w:r w:rsidR="008A1440" w:rsidRPr="001612F5">
        <w:rPr>
          <w:rFonts w:cs="Arial"/>
          <w:lang w:val="en-AU"/>
        </w:rPr>
        <w:t>effect</w:t>
      </w:r>
      <w:r w:rsidR="001632DF" w:rsidRPr="001612F5">
        <w:rPr>
          <w:rFonts w:cs="Arial"/>
          <w:lang w:val="en-AU"/>
        </w:rPr>
        <w:t xml:space="preserve"> (based on published toxicity data using Reef relevant species). </w:t>
      </w:r>
      <w:r w:rsidR="00585850" w:rsidRPr="001612F5">
        <w:t xml:space="preserve">The index included only the five priority PSII herbicides – ametryn, atrazine, diuron, hexazinone and tebuthiuron. </w:t>
      </w:r>
    </w:p>
    <w:p w14:paraId="760A6618" w14:textId="77777777" w:rsidR="00DB7594" w:rsidRPr="001612F5" w:rsidRDefault="00DB7594" w:rsidP="002439C8">
      <w:pPr>
        <w:spacing w:line="276" w:lineRule="auto"/>
        <w:jc w:val="left"/>
      </w:pPr>
    </w:p>
    <w:p w14:paraId="07FB99F6" w14:textId="3868FFE5" w:rsidR="00500E83" w:rsidRPr="001612F5" w:rsidRDefault="00DB7594" w:rsidP="002439C8">
      <w:pPr>
        <w:pStyle w:val="ListParagraph"/>
        <w:spacing w:line="276" w:lineRule="auto"/>
        <w:ind w:left="0"/>
        <w:jc w:val="left"/>
        <w:rPr>
          <w:lang w:val="en-AU"/>
        </w:rPr>
      </w:pPr>
      <w:r w:rsidRPr="001612F5">
        <w:rPr>
          <w:lang w:val="en-AU"/>
        </w:rPr>
        <w:t xml:space="preserve">In this current report, </w:t>
      </w:r>
      <w:r w:rsidRPr="001612F5">
        <w:rPr>
          <w:rFonts w:cs="Arial"/>
          <w:lang w:val="en-AU"/>
        </w:rPr>
        <w:t>a</w:t>
      </w:r>
      <w:r w:rsidR="001632DF" w:rsidRPr="001612F5">
        <w:rPr>
          <w:rFonts w:cs="Arial"/>
          <w:lang w:val="en-AU"/>
        </w:rPr>
        <w:t xml:space="preserve">n alternative risk assessment metric, the </w:t>
      </w:r>
      <w:r w:rsidR="005E2B71">
        <w:rPr>
          <w:lang w:val="en-AU"/>
        </w:rPr>
        <w:t>ms</w:t>
      </w:r>
      <w:r w:rsidR="005E2B71">
        <w:rPr>
          <w:lang w:val="en-AU"/>
        </w:rPr>
        <w:noBreakHyphen/>
        <w:t>PAF</w:t>
      </w:r>
      <w:r w:rsidR="00EE5C94" w:rsidRPr="001612F5">
        <w:rPr>
          <w:lang w:val="en-AU"/>
        </w:rPr>
        <w:t xml:space="preserve"> method has been proposed as a more </w:t>
      </w:r>
      <w:r w:rsidR="008A1440" w:rsidRPr="001612F5">
        <w:rPr>
          <w:lang w:val="en-AU"/>
        </w:rPr>
        <w:t xml:space="preserve">relevant </w:t>
      </w:r>
      <w:r w:rsidR="00EE5C94" w:rsidRPr="001612F5">
        <w:rPr>
          <w:lang w:val="en-AU"/>
        </w:rPr>
        <w:t>approach to quantify the overall ecological risk of mixtures of pollutants for ecological communities</w:t>
      </w:r>
      <w:r w:rsidR="00F36829" w:rsidRPr="001612F5">
        <w:rPr>
          <w:rFonts w:cs="Arial"/>
          <w:lang w:val="en-AU"/>
        </w:rPr>
        <w:t>.</w:t>
      </w:r>
      <w:r w:rsidRPr="001612F5">
        <w:rPr>
          <w:lang w:val="en-AU"/>
        </w:rPr>
        <w:t xml:space="preserve"> </w:t>
      </w:r>
      <w:r w:rsidR="005757B0" w:rsidRPr="001612F5">
        <w:rPr>
          <w:lang w:val="en-AU"/>
        </w:rPr>
        <w:t xml:space="preserve">The </w:t>
      </w:r>
      <w:r w:rsidR="005E2B71">
        <w:rPr>
          <w:lang w:val="en-AU"/>
        </w:rPr>
        <w:t>ms</w:t>
      </w:r>
      <w:r w:rsidR="005E2B71">
        <w:rPr>
          <w:lang w:val="en-AU"/>
        </w:rPr>
        <w:noBreakHyphen/>
        <w:t>PAF</w:t>
      </w:r>
      <w:r w:rsidR="005757B0" w:rsidRPr="001612F5">
        <w:rPr>
          <w:lang w:val="en-AU"/>
        </w:rPr>
        <w:t xml:space="preserve"> method allows the effect of multiple pesticides on an ecosystem to be estimated by determining the potentially affected fraction of species</w:t>
      </w:r>
      <w:r w:rsidR="002F5376" w:rsidRPr="001612F5">
        <w:rPr>
          <w:lang w:val="en-AU"/>
        </w:rPr>
        <w:t xml:space="preserve"> (</w:t>
      </w:r>
      <w:r w:rsidR="005757B0" w:rsidRPr="001612F5">
        <w:rPr>
          <w:lang w:val="en-AU"/>
        </w:rPr>
        <w:t>i.e. percentage of species that will theoretically be affected when exposed to a given mixture</w:t>
      </w:r>
      <w:r w:rsidRPr="001612F5">
        <w:rPr>
          <w:lang w:val="en-AU"/>
        </w:rPr>
        <w:t>)</w:t>
      </w:r>
      <w:r w:rsidR="005757B0" w:rsidRPr="001612F5">
        <w:rPr>
          <w:lang w:val="en-AU"/>
        </w:rPr>
        <w:t xml:space="preserve">. </w:t>
      </w:r>
      <w:r w:rsidR="002F5376" w:rsidRPr="001612F5">
        <w:rPr>
          <w:rFonts w:cs="Arial"/>
          <w:lang w:val="en-AU"/>
        </w:rPr>
        <w:t>The ultimate aim is to report a single assessment end point (PAF) for all monitored pesticides detected in the MMP program</w:t>
      </w:r>
      <w:r w:rsidRPr="001612F5">
        <w:rPr>
          <w:rFonts w:cs="Arial"/>
          <w:lang w:val="en-AU"/>
        </w:rPr>
        <w:t xml:space="preserve"> </w:t>
      </w:r>
      <w:r w:rsidRPr="001612F5">
        <w:rPr>
          <w:lang w:val="en-AU"/>
        </w:rPr>
        <w:t>(</w:t>
      </w:r>
      <w:r w:rsidRPr="001612F5">
        <w:rPr>
          <w:rFonts w:cs="Arial"/>
          <w:lang w:val="en-AU"/>
        </w:rPr>
        <w:t xml:space="preserve">further information on the </w:t>
      </w:r>
      <w:r w:rsidR="005E2B71">
        <w:rPr>
          <w:rFonts w:cs="Arial"/>
          <w:lang w:val="en-AU"/>
        </w:rPr>
        <w:t>ms</w:t>
      </w:r>
      <w:r w:rsidR="005E2B71">
        <w:rPr>
          <w:rFonts w:cs="Arial"/>
          <w:lang w:val="en-AU"/>
        </w:rPr>
        <w:noBreakHyphen/>
        <w:t>PAF</w:t>
      </w:r>
      <w:r w:rsidRPr="001612F5">
        <w:rPr>
          <w:rFonts w:cs="Arial"/>
          <w:lang w:val="en-AU"/>
        </w:rPr>
        <w:t xml:space="preserve"> metric</w:t>
      </w:r>
      <w:r w:rsidR="00F45BF5" w:rsidRPr="001612F5">
        <w:rPr>
          <w:rFonts w:cs="Arial"/>
          <w:lang w:val="en-AU"/>
        </w:rPr>
        <w:t xml:space="preserve"> and its application for this report</w:t>
      </w:r>
      <w:r w:rsidRPr="001612F5">
        <w:rPr>
          <w:rFonts w:cs="Arial"/>
          <w:lang w:val="en-AU"/>
        </w:rPr>
        <w:t xml:space="preserve"> is in </w:t>
      </w:r>
      <w:r w:rsidRPr="001612F5">
        <w:rPr>
          <w:rFonts w:cs="Arial"/>
          <w:lang w:val="en-AU"/>
        </w:rPr>
        <w:fldChar w:fldCharType="begin"/>
      </w:r>
      <w:r w:rsidRPr="001612F5">
        <w:rPr>
          <w:rFonts w:cs="Arial"/>
          <w:lang w:val="en-AU"/>
        </w:rPr>
        <w:instrText xml:space="preserve"> REF _Ref508628799 \n \h  \* MERGEFORMAT </w:instrText>
      </w:r>
      <w:r w:rsidRPr="001612F5">
        <w:rPr>
          <w:rFonts w:cs="Arial"/>
          <w:lang w:val="en-AU"/>
        </w:rPr>
      </w:r>
      <w:r w:rsidRPr="001612F5">
        <w:rPr>
          <w:rFonts w:cs="Arial"/>
          <w:lang w:val="en-AU"/>
        </w:rPr>
        <w:fldChar w:fldCharType="separate"/>
      </w:r>
      <w:r w:rsidR="00251B46">
        <w:rPr>
          <w:rFonts w:cs="Arial"/>
          <w:lang w:val="en-AU"/>
        </w:rPr>
        <w:t xml:space="preserve">Appendix C </w:t>
      </w:r>
      <w:r w:rsidRPr="001612F5">
        <w:rPr>
          <w:rFonts w:cs="Arial"/>
          <w:lang w:val="en-AU"/>
        </w:rPr>
        <w:fldChar w:fldCharType="end"/>
      </w:r>
      <w:r w:rsidRPr="001612F5">
        <w:rPr>
          <w:rFonts w:cs="Arial"/>
          <w:lang w:val="en-AU"/>
        </w:rPr>
        <w:t>)</w:t>
      </w:r>
      <w:r w:rsidR="00715FA9" w:rsidRPr="001612F5">
        <w:rPr>
          <w:rFonts w:cs="Arial"/>
          <w:lang w:val="en-AU"/>
        </w:rPr>
        <w:t>.</w:t>
      </w:r>
    </w:p>
    <w:p w14:paraId="5A4E33EE" w14:textId="77777777" w:rsidR="00500E83" w:rsidRDefault="00500E83" w:rsidP="002439C8">
      <w:pPr>
        <w:pStyle w:val="ListParagraph"/>
        <w:spacing w:line="276" w:lineRule="auto"/>
        <w:ind w:left="0"/>
        <w:jc w:val="left"/>
        <w:rPr>
          <w:highlight w:val="yellow"/>
          <w:lang w:val="en-AU"/>
        </w:rPr>
      </w:pPr>
    </w:p>
    <w:p w14:paraId="052B08D5" w14:textId="77777777" w:rsidR="005C5E88" w:rsidRPr="004728B1" w:rsidRDefault="005C5E88" w:rsidP="00064512">
      <w:pPr>
        <w:spacing w:line="276" w:lineRule="auto"/>
        <w:contextualSpacing/>
        <w:jc w:val="left"/>
      </w:pPr>
      <w:r w:rsidRPr="004728B1">
        <w:lastRenderedPageBreak/>
        <w:t>Marine results are not directly comparable with the end-of-catchment results primarily due to differences in sampling. However, they provide insight into the transport and fate of pesticides, from the end of rivers to marine sites, and the risk to marine ecosystems from the mixture of pesticides. The key differences are:</w:t>
      </w:r>
    </w:p>
    <w:p w14:paraId="5EFE7EE9" w14:textId="77777777" w:rsidR="005C5E88" w:rsidRPr="004728B1" w:rsidRDefault="005C5E88" w:rsidP="00064512">
      <w:pPr>
        <w:pStyle w:val="ListParagraph"/>
        <w:numPr>
          <w:ilvl w:val="0"/>
          <w:numId w:val="32"/>
        </w:numPr>
        <w:spacing w:line="276" w:lineRule="auto"/>
        <w:jc w:val="left"/>
      </w:pPr>
      <w:r w:rsidRPr="004728B1">
        <w:t>three of the pesticides are not analysed for in the marine samples (i.e. 19 of the 22 pesticides analysed at the end of catchment are analysed for in marine samples)</w:t>
      </w:r>
    </w:p>
    <w:p w14:paraId="64579EF0" w14:textId="77777777" w:rsidR="005C5E88" w:rsidRDefault="005C5E88" w:rsidP="00064512">
      <w:pPr>
        <w:pStyle w:val="ListParagraph"/>
        <w:numPr>
          <w:ilvl w:val="0"/>
          <w:numId w:val="32"/>
        </w:numPr>
        <w:spacing w:line="276" w:lineRule="auto"/>
        <w:jc w:val="left"/>
      </w:pPr>
      <w:r w:rsidRPr="004728B1">
        <w:t>passive sampler results are reported here and grab samples are used at end of catchment</w:t>
      </w:r>
    </w:p>
    <w:p w14:paraId="1079456A" w14:textId="77777777" w:rsidR="005C5E88" w:rsidRPr="004728B1" w:rsidRDefault="005C5E88" w:rsidP="00064512">
      <w:pPr>
        <w:pStyle w:val="ListParagraph"/>
        <w:numPr>
          <w:ilvl w:val="0"/>
          <w:numId w:val="32"/>
        </w:numPr>
        <w:spacing w:line="276" w:lineRule="auto"/>
        <w:jc w:val="left"/>
      </w:pPr>
      <w:r>
        <w:t xml:space="preserve">an </w:t>
      </w:r>
      <w:r w:rsidRPr="00D62466">
        <w:t>area under the curve mathematical calculation is used to extrapolate end of catchment mixtures to a wet season single outcome and is not applied here for the marine samples</w:t>
      </w:r>
      <w:r>
        <w:t>.</w:t>
      </w:r>
    </w:p>
    <w:p w14:paraId="1768C063" w14:textId="77777777" w:rsidR="005C5E88" w:rsidRDefault="005C5E88" w:rsidP="00064512">
      <w:pPr>
        <w:pStyle w:val="ListParagraph"/>
        <w:spacing w:line="276" w:lineRule="auto"/>
        <w:ind w:left="0"/>
        <w:jc w:val="left"/>
        <w:rPr>
          <w:highlight w:val="yellow"/>
          <w:lang w:val="en-AU"/>
        </w:rPr>
      </w:pPr>
    </w:p>
    <w:p w14:paraId="28A95761" w14:textId="3477B328" w:rsidR="005C5E88" w:rsidRDefault="005C5E88" w:rsidP="005E2B71">
      <w:pPr>
        <w:spacing w:line="276" w:lineRule="auto"/>
        <w:contextualSpacing/>
        <w:jc w:val="left"/>
      </w:pPr>
      <w:r w:rsidRPr="004728B1">
        <w:t>The missing pesticides may mean that the mixture toxicity would be higher. The three pesticides not currently analysed for are fipronil, isoxaflutole, and triclopyr. Of these three pesticides, only isoxaflutole will regularly occur in freshwater catchments (i.e. in Mackay Whitsunday catchments) at concentrations that exceed draft ecosystem protection guidelines for protection of 99% species (0.33</w:t>
      </w:r>
      <w:r w:rsidR="005C25EE" w:rsidRPr="004728B1">
        <w:t> </w:t>
      </w:r>
      <w:r w:rsidRPr="004728B1">
        <w:t>µ</w:t>
      </w:r>
      <w:r w:rsidR="00FE6E97">
        <w:t>g L</w:t>
      </w:r>
      <w:r w:rsidR="00FE6E97" w:rsidRPr="00A209AA">
        <w:rPr>
          <w:vertAlign w:val="superscript"/>
          <w:lang w:val="en-AU"/>
        </w:rPr>
        <w:noBreakHyphen/>
        <w:t>1</w:t>
      </w:r>
      <w:r w:rsidRPr="004728B1">
        <w:t>)</w:t>
      </w:r>
      <w:r>
        <w:t xml:space="preserve"> </w:t>
      </w:r>
      <w:r>
        <w:fldChar w:fldCharType="begin"/>
      </w:r>
      <w:r>
        <w:instrText>ADDIN RW.CITE{{27186 King,O.C. 2017}}</w:instrText>
      </w:r>
      <w:r>
        <w:fldChar w:fldCharType="separate"/>
      </w:r>
      <w:r w:rsidRPr="005C5E88">
        <w:t>(King et al. 2017a)</w:t>
      </w:r>
      <w:r>
        <w:fldChar w:fldCharType="end"/>
      </w:r>
      <w:r w:rsidRPr="004728B1">
        <w:t>. Even so, the highest concentration recorded during 2017–18 was 1.7 µ</w:t>
      </w:r>
      <w:r w:rsidR="00FE6E97">
        <w:t>g L</w:t>
      </w:r>
      <w:r w:rsidR="00FE6E97" w:rsidRPr="00A209AA">
        <w:rPr>
          <w:vertAlign w:val="superscript"/>
          <w:lang w:val="en-AU"/>
        </w:rPr>
        <w:noBreakHyphen/>
        <w:t>1</w:t>
      </w:r>
      <w:r w:rsidRPr="004728B1">
        <w:t xml:space="preserve"> (in water collected from Sandy Creek in Mackay Whitsunday) and is unlikely to contribute significantly to overall pesticide toxicity in inshore marine waters (Great Barrier Reef Catchment Loads Monitoring Program, </w:t>
      </w:r>
      <w:r w:rsidRPr="005C5E88">
        <w:t>pers comm</w:t>
      </w:r>
      <w:r w:rsidRPr="004728B1">
        <w:t>). Fipronil has a very low draft ecosystem protection guidelines for protection of 99% species (0.0034 µ</w:t>
      </w:r>
      <w:r w:rsidR="00FE6E97">
        <w:t>g L</w:t>
      </w:r>
      <w:r w:rsidR="00FE6E97" w:rsidRPr="00A209AA">
        <w:rPr>
          <w:vertAlign w:val="superscript"/>
          <w:lang w:val="en-AU"/>
        </w:rPr>
        <w:noBreakHyphen/>
        <w:t>1</w:t>
      </w:r>
      <w:r w:rsidRPr="004728B1">
        <w:t>)</w:t>
      </w:r>
      <w:r>
        <w:t xml:space="preserve"> </w:t>
      </w:r>
      <w:r>
        <w:fldChar w:fldCharType="begin"/>
      </w:r>
      <w:r>
        <w:instrText>ADDIN RW.CITE{{27185 King,O.C. 2017}}</w:instrText>
      </w:r>
      <w:r>
        <w:fldChar w:fldCharType="separate"/>
      </w:r>
      <w:r w:rsidRPr="005C5E88">
        <w:t>(King et al. 2017b)</w:t>
      </w:r>
      <w:r>
        <w:fldChar w:fldCharType="end"/>
      </w:r>
      <w:r w:rsidRPr="004728B1">
        <w:t>, and is below the limit of reporting for samples collected as part of routine analyses by Great Barrier Reef Catchment Loads</w:t>
      </w:r>
      <w:r w:rsidR="005E2B71">
        <w:t xml:space="preserve"> Monitoring Program (0.02</w:t>
      </w:r>
      <w:r w:rsidR="005C25EE" w:rsidRPr="004728B1">
        <w:t> </w:t>
      </w:r>
      <w:r w:rsidR="005E2B71">
        <w:t>µ</w:t>
      </w:r>
      <w:r w:rsidR="00FE6E97">
        <w:t>g L</w:t>
      </w:r>
      <w:r w:rsidR="00FE6E97" w:rsidRPr="00A209AA">
        <w:rPr>
          <w:vertAlign w:val="superscript"/>
          <w:lang w:val="en-AU"/>
        </w:rPr>
        <w:noBreakHyphen/>
        <w:t>1</w:t>
      </w:r>
      <w:r w:rsidR="005E2B71">
        <w:t>).</w:t>
      </w:r>
      <w:r w:rsidRPr="004728B1">
        <w:t xml:space="preserve"> However, where more sensitive analysis methods are used the concentrations detected (if detected at all) were very low and again unlikely to contribute significantly to overall pesticide toxicity in inshore marine waters.</w:t>
      </w:r>
    </w:p>
    <w:p w14:paraId="0389EDAC" w14:textId="77777777" w:rsidR="005C5E88" w:rsidRPr="004728B1" w:rsidRDefault="005C5E88" w:rsidP="005E2B71">
      <w:pPr>
        <w:spacing w:line="276" w:lineRule="auto"/>
        <w:contextualSpacing/>
        <w:jc w:val="left"/>
      </w:pPr>
    </w:p>
    <w:p w14:paraId="5D6F9342" w14:textId="06DB7E84" w:rsidR="005C5E88" w:rsidRPr="004728B1" w:rsidRDefault="005C5E88" w:rsidP="005E2B71">
      <w:pPr>
        <w:spacing w:line="276" w:lineRule="auto"/>
        <w:contextualSpacing/>
        <w:jc w:val="left"/>
      </w:pPr>
      <w:r w:rsidRPr="004728B1">
        <w:lastRenderedPageBreak/>
        <w:t xml:space="preserve">Passive samplers integrate pesticide concentrations over the time of their deployment so they represent a portion of the wet season, not the full season. Given there is a range of risk reported across the deployments, averaging for the season would likely result in a reduced overall score. In the coming years we will explore methods to increase the comparability. In the interim, </w:t>
      </w:r>
      <w:r w:rsidR="00E06FF9">
        <w:t xml:space="preserve">we are </w:t>
      </w:r>
      <w:r w:rsidRPr="004728B1">
        <w:t xml:space="preserve">reporting the </w:t>
      </w:r>
      <w:r w:rsidR="005E2B71">
        <w:t>ms</w:t>
      </w:r>
      <w:r w:rsidR="005E2B71">
        <w:noBreakHyphen/>
        <w:t>PAF</w:t>
      </w:r>
      <w:r w:rsidRPr="004728B1">
        <w:t xml:space="preserve"> value for the deployment with the highest concentrations (and highest </w:t>
      </w:r>
      <w:r w:rsidR="005E2B71">
        <w:t>ms</w:t>
      </w:r>
      <w:r w:rsidR="005E2B71">
        <w:noBreakHyphen/>
        <w:t>PAF</w:t>
      </w:r>
      <w:r w:rsidRPr="004728B1">
        <w:t xml:space="preserve"> scores).</w:t>
      </w:r>
    </w:p>
    <w:p w14:paraId="1C713886" w14:textId="77777777" w:rsidR="005C5E88" w:rsidRPr="00A47643" w:rsidRDefault="005C5E88" w:rsidP="005E2B71">
      <w:pPr>
        <w:pStyle w:val="ListParagraph"/>
        <w:spacing w:line="276" w:lineRule="auto"/>
        <w:ind w:left="0"/>
        <w:jc w:val="left"/>
        <w:rPr>
          <w:highlight w:val="yellow"/>
          <w:lang w:val="en-AU"/>
        </w:rPr>
      </w:pPr>
    </w:p>
    <w:p w14:paraId="3E923596" w14:textId="77777777" w:rsidR="00BA71CA" w:rsidRPr="004E0EF8" w:rsidRDefault="00BA71CA" w:rsidP="002439C8">
      <w:pPr>
        <w:pStyle w:val="Heading3"/>
        <w:jc w:val="left"/>
      </w:pPr>
      <w:bookmarkStart w:id="286" w:name="_Toc535848687"/>
      <w:bookmarkStart w:id="287" w:name="_Toc461457758"/>
      <w:bookmarkStart w:id="288" w:name="_Ref480911218"/>
      <w:bookmarkStart w:id="289" w:name="_Toc14435691"/>
      <w:bookmarkEnd w:id="286"/>
      <w:r w:rsidRPr="004E0EF8">
        <w:t>Mapping the frequency and extent of flood plumes (</w:t>
      </w:r>
      <w:r w:rsidR="007D5A7C">
        <w:t xml:space="preserve">water type </w:t>
      </w:r>
      <w:r w:rsidRPr="004E0EF8">
        <w:t>frequency maps)</w:t>
      </w:r>
      <w:bookmarkEnd w:id="287"/>
      <w:bookmarkEnd w:id="288"/>
      <w:bookmarkEnd w:id="289"/>
    </w:p>
    <w:p w14:paraId="0A1E8B38" w14:textId="56F7ABE1" w:rsidR="0033603B" w:rsidRDefault="007D0683" w:rsidP="002439C8">
      <w:pPr>
        <w:spacing w:line="276" w:lineRule="auto"/>
        <w:jc w:val="left"/>
        <w:rPr>
          <w:lang w:val="en-GB" w:eastAsia="en-AU"/>
        </w:rPr>
      </w:pPr>
      <w:r>
        <w:rPr>
          <w:lang w:val="en-GB" w:eastAsia="en-AU"/>
        </w:rPr>
        <w:t xml:space="preserve">River flood plumes are the primary vehicles that deliver </w:t>
      </w:r>
      <w:r w:rsidR="00BF37D6">
        <w:rPr>
          <w:lang w:val="en-GB" w:eastAsia="en-AU"/>
        </w:rPr>
        <w:t>basin</w:t>
      </w:r>
      <w:r>
        <w:rPr>
          <w:lang w:val="en-GB" w:eastAsia="en-AU"/>
        </w:rPr>
        <w:t>-derived pollutants to the Reef lagoon.</w:t>
      </w:r>
      <w:r w:rsidRPr="00C15196">
        <w:rPr>
          <w:lang w:val="en-GB" w:eastAsia="en-AU"/>
        </w:rPr>
        <w:t xml:space="preserve"> </w:t>
      </w:r>
      <w:r w:rsidR="00976C0C">
        <w:rPr>
          <w:lang w:val="en-GB" w:eastAsia="en-AU"/>
        </w:rPr>
        <w:t xml:space="preserve">The Marine Water Quality component of the MMP maps the frequency and extent of (surface) </w:t>
      </w:r>
      <w:r w:rsidR="00E8397C">
        <w:rPr>
          <w:lang w:val="en-GB" w:eastAsia="en-AU"/>
        </w:rPr>
        <w:t xml:space="preserve">‘water types’ associated with </w:t>
      </w:r>
      <w:r w:rsidR="00976C0C">
        <w:rPr>
          <w:lang w:val="en-GB" w:eastAsia="en-AU"/>
        </w:rPr>
        <w:t xml:space="preserve">flood plumes </w:t>
      </w:r>
      <w:r w:rsidR="00976C0C">
        <w:rPr>
          <w:lang w:val="en-GB" w:eastAsia="en-AU"/>
        </w:rPr>
        <w:fldChar w:fldCharType="begin">
          <w:fldData xml:space="preserve">PEVuZE5vdGU+PENpdGU+PEF1dGhvcj5XYXRlcmhvdXNlPC9BdXRob3I+PFllYXI+MjAxNzwvWWVh
cj48UmVjTnVtPjQ5PC9SZWNOdW0+PERpc3BsYXlUZXh0PihXYXRlcmhvdXNlIGV0IGFsLiwgMjAx
N2I7IFdhdGVyaG91c2UgZXQgYWwuLCAyMDE4KTwvRGlzcGxheVRleHQ+PHJlY29yZD48cmVjLW51
bWJlcj40OTwvcmVjLW51bWJlcj48Zm9yZWlnbi1rZXlzPjxrZXkgYXBwPSJFTiIgZGItaWQ9Inh0
cHZwd3owdWZ4YTJtZTV0djZ2MnBybjJlejVwOWF0c3Z0ciIgdGltZXN0YW1wPSIxNTM5MTQ0OTQ0
Ij40OTwva2V5PjwvZm9yZWlnbi1rZXlzPjxyZWYtdHlwZSBuYW1lPSJTdGF0dXRlIj4zMTwvcmVm
LXR5cGU+PGNvbnRyaWJ1dG9ycz48YXV0aG9ycz48YXV0aG9yPldhdGVyaG91c2UsIEouPC9hdXRo
b3I+PGF1dGhvcj5Mw7huYm9yZywgQzwvYXV0aG9yPjxhdXRob3I+TG9nYW4sIE08L2F1dGhvcj48
YXV0aG9yPlBldHVzLCBDPC9hdXRob3I+PGF1dGhvcj5UcmFjZXksIDwvYXV0aG9yPjxhdXRob3I+
IExld2lzLCBTPC9hdXRob3I+PGF1dGhvcj5Ub25pbiwgSDwvYXV0aG9yPjxhdXRob3I+U2t1emEs
IE08L2F1dGhvcj48YXV0aG9yPmRhIFNpbHZhLCBFPC9hdXRob3I+PGF1dGhvcj5DYXJyZWlyYSwg
QzwvYXV0aG9yPjxhdXRob3I+Q29zdGVsbG8sIFA8L2F1dGhvcj48YXV0aG9yPkRhdmlkc29uLCBK
PC9hdXRob3I+PGF1dGhvcj5HdW5uLCBLPC9hdXRob3I+PGF1dGhvcj5XcmlnaHQsIE08L2F1dGhv
cj48YXV0aG9yPlphZ29yc2tpcywgSTwvYXV0aG9yPjxhdXRob3I+QnJpbmttYW4sIFI8L2F1dGhv
cj48YXV0aG9yPlNjaGFmZmVsa2UsIEI8L2F1dGhvcj48L2F1dGhvcnM+PC9jb250cmlidXRvcnM+
PHRpdGxlcz48dGl0bGU+TWFyaW5lIE1vbml0b3JpbmcgUHJvZ3JhbTogQW5udWFsIFJlcG9ydCBm
b3IgaW5zaG9yZSB3YXRlciBxdWFsaXR5IG1vbml0b3JpbmcgMjAxNS0yMDE2LiBSZXBvcnQgZm9y
IHRoZSBHcmVhdCBCYXJyaWVyIFJlZWYgTWFyaW5lIFBhcmsgQXV0aG9yaXR5LCBUb3duc3ZpbGxl
LCAyMjdwcDwvdGl0bGU+PC90aXRsZXM+PGRhdGVzPjx5ZWFyPjIwMTc8L3llYXI+PC9kYXRlcz48
dXJscz48L3VybHM+PC9yZWNvcmQ+PC9DaXRlPjxDaXRlPjxBdXRob3I+V2F0ZXJob3VzZTwvQXV0
aG9yPjxZZWFyPjIwMTg8L1llYXI+PFJlY051bT4yNTwvUmVjTnVtPjxyZWNvcmQ+PHJlYy1udW1i
ZXI+MjU8L3JlYy1udW1iZXI+PGZvcmVpZ24ta2V5cz48a2V5IGFwcD0iRU4iIGRiLWlkPSJ4dHB2
cHd6MHVmeGEybWU1dHY2djJwcm4yZXo1cDlhdHN2dHIiIHRpbWVzdGFtcD0iMTUzOTE0NDk0MyI+
MjU8L2tleT48L2ZvcmVpZ24ta2V5cz48cmVmLXR5cGUgbmFtZT0iU3RhdHV0ZSI+MzE8L3JlZi10
eXBlPjxjb250cmlidXRvcnM+PGF1dGhvcnM+PGF1dGhvcj5XYXRlcmhvdXNlLCBKLjwvYXV0aG9y
PjxhdXRob3I+TMO4bmJvcmcsIEM8L2F1dGhvcj48YXV0aG9yPkxvZ2FuLCBNPC9hdXRob3I+PGF1
dGhvcj5QZXR1cywgQzwvYXV0aG9yPjxhdXRob3I+VHJhY2V5LCBELjwvYXV0aG9yPjxhdXRob3I+
TGV3aXMsIFM8L2F1dGhvcj48YXV0aG9yPkhvd2xleSwgQy48L2F1dGhvcj48YXV0aG9yPkhhcnBl
ciwgRS48L2F1dGhvcj48YXV0aG9yPlRvbmluLCBILjwvYXV0aG9yPjxhdXRob3I+U2t1emEsIE0u
PC9hdXRob3I+PGF1dGhvcj5Eb3lsZSwgSi48L2F1dGhvcj48YXV0aG9yPkNvc3RlbGxvLCBQLjwv
YXV0aG9yPjxhdXRob3I+RGF2aWRzb24sIEouPC9hdXRob3I+PGF1dGhvcj5HdW5uLCBLLjwvYXV0
aG9yPjxhdXRob3I+V3JpZ2h0LCBNLjwvYXV0aG9yPjxhdXRob3I+WmFnb3Jza2lzLCBJLjwvYXV0
aG9yPjxhdXRob3I+S3Jvb24sIEY8L2F1dGhvcj48L2F1dGhvcnM+PC9jb250cmlidXRvcnM+PHRp
dGxlcz48dGl0bGU+TWFyaW5lIE1vbml0b3JpbmcgUHJvZ3JhbTogQW5udWFsIFJlcG9ydCBmb3Ig
aW5zaG9yZSB3YXRlciBxdWFsaXR5IG1vbml0b3JpbmcgMjAxNi0yMDE3LiBSZXBvcnQgZm9yIHRo
ZSBHcmVhdCBCYXJyaWVyIFJlZWYgTWFyaW5lIFBhcmsgQXV0aG9yaXR5LCBUb3duc3ZpbGxlLCAz
OTNwcDwvdGl0bGU+PC90aXRsZXM+PGRhdGVzPjx5ZWFyPjIwMTg8L3llYXI+PC9kYXRlcz48dXJs
cz48L3VybHM+PC9yZWNvcmQ+PC9DaXRlPjwvRW5kTm90ZT5=
</w:fldData>
        </w:fldChar>
      </w:r>
      <w:r w:rsidR="002D0872">
        <w:rPr>
          <w:lang w:val="en-GB" w:eastAsia="en-AU"/>
        </w:rPr>
        <w:instrText xml:space="preserve"> ADDIN EN.CITE </w:instrText>
      </w:r>
      <w:r w:rsidR="002D0872">
        <w:rPr>
          <w:lang w:val="en-GB" w:eastAsia="en-AU"/>
        </w:rPr>
        <w:fldChar w:fldCharType="begin">
          <w:fldData xml:space="preserve">PEVuZE5vdGU+PENpdGU+PEF1dGhvcj5XYXRlcmhvdXNlPC9BdXRob3I+PFllYXI+MjAxNzwvWWVh
cj48UmVjTnVtPjQ5PC9SZWNOdW0+PERpc3BsYXlUZXh0PihXYXRlcmhvdXNlIGV0IGFsLiwgMjAx
N2I7IFdhdGVyaG91c2UgZXQgYWwuLCAyMDE4KTwvRGlzcGxheVRleHQ+PHJlY29yZD48cmVjLW51
bWJlcj40OTwvcmVjLW51bWJlcj48Zm9yZWlnbi1rZXlzPjxrZXkgYXBwPSJFTiIgZGItaWQ9Inh0
cHZwd3owdWZ4YTJtZTV0djZ2MnBybjJlejVwOWF0c3Z0ciIgdGltZXN0YW1wPSIxNTM5MTQ0OTQ0
Ij40OTwva2V5PjwvZm9yZWlnbi1rZXlzPjxyZWYtdHlwZSBuYW1lPSJTdGF0dXRlIj4zMTwvcmVm
LXR5cGU+PGNvbnRyaWJ1dG9ycz48YXV0aG9ycz48YXV0aG9yPldhdGVyaG91c2UsIEouPC9hdXRo
b3I+PGF1dGhvcj5Mw7huYm9yZywgQzwvYXV0aG9yPjxhdXRob3I+TG9nYW4sIE08L2F1dGhvcj48
YXV0aG9yPlBldHVzLCBDPC9hdXRob3I+PGF1dGhvcj5UcmFjZXksIDwvYXV0aG9yPjxhdXRob3I+
IExld2lzLCBTPC9hdXRob3I+PGF1dGhvcj5Ub25pbiwgSDwvYXV0aG9yPjxhdXRob3I+U2t1emEs
IE08L2F1dGhvcj48YXV0aG9yPmRhIFNpbHZhLCBFPC9hdXRob3I+PGF1dGhvcj5DYXJyZWlyYSwg
QzwvYXV0aG9yPjxhdXRob3I+Q29zdGVsbG8sIFA8L2F1dGhvcj48YXV0aG9yPkRhdmlkc29uLCBK
PC9hdXRob3I+PGF1dGhvcj5HdW5uLCBLPC9hdXRob3I+PGF1dGhvcj5XcmlnaHQsIE08L2F1dGhv
cj48YXV0aG9yPlphZ29yc2tpcywgSTwvYXV0aG9yPjxhdXRob3I+QnJpbmttYW4sIFI8L2F1dGhv
cj48YXV0aG9yPlNjaGFmZmVsa2UsIEI8L2F1dGhvcj48L2F1dGhvcnM+PC9jb250cmlidXRvcnM+
PHRpdGxlcz48dGl0bGU+TWFyaW5lIE1vbml0b3JpbmcgUHJvZ3JhbTogQW5udWFsIFJlcG9ydCBm
b3IgaW5zaG9yZSB3YXRlciBxdWFsaXR5IG1vbml0b3JpbmcgMjAxNS0yMDE2LiBSZXBvcnQgZm9y
IHRoZSBHcmVhdCBCYXJyaWVyIFJlZWYgTWFyaW5lIFBhcmsgQXV0aG9yaXR5LCBUb3duc3ZpbGxl
LCAyMjdwcDwvdGl0bGU+PC90aXRsZXM+PGRhdGVzPjx5ZWFyPjIwMTc8L3llYXI+PC9kYXRlcz48
dXJscz48L3VybHM+PC9yZWNvcmQ+PC9DaXRlPjxDaXRlPjxBdXRob3I+V2F0ZXJob3VzZTwvQXV0
aG9yPjxZZWFyPjIwMTg8L1llYXI+PFJlY051bT4yNTwvUmVjTnVtPjxyZWNvcmQ+PHJlYy1udW1i
ZXI+MjU8L3JlYy1udW1iZXI+PGZvcmVpZ24ta2V5cz48a2V5IGFwcD0iRU4iIGRiLWlkPSJ4dHB2
cHd6MHVmeGEybWU1dHY2djJwcm4yZXo1cDlhdHN2dHIiIHRpbWVzdGFtcD0iMTUzOTE0NDk0MyI+
MjU8L2tleT48L2ZvcmVpZ24ta2V5cz48cmVmLXR5cGUgbmFtZT0iU3RhdHV0ZSI+MzE8L3JlZi10
eXBlPjxjb250cmlidXRvcnM+PGF1dGhvcnM+PGF1dGhvcj5XYXRlcmhvdXNlLCBKLjwvYXV0aG9y
PjxhdXRob3I+TMO4bmJvcmcsIEM8L2F1dGhvcj48YXV0aG9yPkxvZ2FuLCBNPC9hdXRob3I+PGF1
dGhvcj5QZXR1cywgQzwvYXV0aG9yPjxhdXRob3I+VHJhY2V5LCBELjwvYXV0aG9yPjxhdXRob3I+
TGV3aXMsIFM8L2F1dGhvcj48YXV0aG9yPkhvd2xleSwgQy48L2F1dGhvcj48YXV0aG9yPkhhcnBl
ciwgRS48L2F1dGhvcj48YXV0aG9yPlRvbmluLCBILjwvYXV0aG9yPjxhdXRob3I+U2t1emEsIE0u
PC9hdXRob3I+PGF1dGhvcj5Eb3lsZSwgSi48L2F1dGhvcj48YXV0aG9yPkNvc3RlbGxvLCBQLjwv
YXV0aG9yPjxhdXRob3I+RGF2aWRzb24sIEouPC9hdXRob3I+PGF1dGhvcj5HdW5uLCBLLjwvYXV0
aG9yPjxhdXRob3I+V3JpZ2h0LCBNLjwvYXV0aG9yPjxhdXRob3I+WmFnb3Jza2lzLCBJLjwvYXV0
aG9yPjxhdXRob3I+S3Jvb24sIEY8L2F1dGhvcj48L2F1dGhvcnM+PC9jb250cmlidXRvcnM+PHRp
dGxlcz48dGl0bGU+TWFyaW5lIE1vbml0b3JpbmcgUHJvZ3JhbTogQW5udWFsIFJlcG9ydCBmb3Ig
aW5zaG9yZSB3YXRlciBxdWFsaXR5IG1vbml0b3JpbmcgMjAxNi0yMDE3LiBSZXBvcnQgZm9yIHRo
ZSBHcmVhdCBCYXJyaWVyIFJlZWYgTWFyaW5lIFBhcmsgQXV0aG9yaXR5LCBUb3duc3ZpbGxlLCAz
OTNwcDwvdGl0bGU+PC90aXRsZXM+PGRhdGVzPjx5ZWFyPjIwMTg8L3llYXI+PC9kYXRlcz48dXJs
cz48L3VybHM+PC9yZWNvcmQ+PC9DaXRlPjwvRW5kTm90ZT5=
</w:fldData>
        </w:fldChar>
      </w:r>
      <w:r w:rsidR="002D0872">
        <w:rPr>
          <w:lang w:val="en-GB" w:eastAsia="en-AU"/>
        </w:rPr>
        <w:instrText xml:space="preserve"> ADDIN EN.CITE.DATA </w:instrText>
      </w:r>
      <w:r w:rsidR="002D0872">
        <w:rPr>
          <w:lang w:val="en-GB" w:eastAsia="en-AU"/>
        </w:rPr>
      </w:r>
      <w:r w:rsidR="002D0872">
        <w:rPr>
          <w:lang w:val="en-GB" w:eastAsia="en-AU"/>
        </w:rPr>
        <w:fldChar w:fldCharType="end"/>
      </w:r>
      <w:r w:rsidR="00976C0C">
        <w:rPr>
          <w:lang w:val="en-GB" w:eastAsia="en-AU"/>
        </w:rPr>
      </w:r>
      <w:r w:rsidR="00976C0C">
        <w:rPr>
          <w:lang w:val="en-GB" w:eastAsia="en-AU"/>
        </w:rPr>
        <w:fldChar w:fldCharType="separate"/>
      </w:r>
      <w:r w:rsidR="002D0872">
        <w:rPr>
          <w:noProof/>
          <w:lang w:val="en-GB" w:eastAsia="en-AU"/>
        </w:rPr>
        <w:t>(Waterhouse et al., 2017b; Waterhouse et al., 2018)</w:t>
      </w:r>
      <w:r w:rsidR="00976C0C">
        <w:rPr>
          <w:lang w:val="en-GB" w:eastAsia="en-AU"/>
        </w:rPr>
        <w:fldChar w:fldCharType="end"/>
      </w:r>
      <w:r w:rsidR="00976C0C">
        <w:rPr>
          <w:lang w:val="en-GB" w:eastAsia="en-AU"/>
        </w:rPr>
        <w:t xml:space="preserve">. Weekly </w:t>
      </w:r>
      <w:r w:rsidR="00B926C4">
        <w:rPr>
          <w:lang w:val="en-GB" w:eastAsia="en-AU"/>
        </w:rPr>
        <w:t>water type</w:t>
      </w:r>
      <w:r w:rsidR="00976C0C" w:rsidRPr="00636C1F">
        <w:rPr>
          <w:lang w:val="en-GB" w:eastAsia="en-AU"/>
        </w:rPr>
        <w:t xml:space="preserve"> </w:t>
      </w:r>
      <w:r w:rsidR="00976C0C">
        <w:rPr>
          <w:lang w:val="en-GB" w:eastAsia="en-AU"/>
        </w:rPr>
        <w:t xml:space="preserve">colour class data </w:t>
      </w:r>
      <w:r w:rsidR="005F2530">
        <w:rPr>
          <w:lang w:val="en-GB" w:eastAsia="en-AU"/>
        </w:rPr>
        <w:t xml:space="preserve">were </w:t>
      </w:r>
      <w:r w:rsidR="00976C0C">
        <w:rPr>
          <w:lang w:val="en-GB" w:eastAsia="en-AU"/>
        </w:rPr>
        <w:t xml:space="preserve">recorded for each of the fixed monitoring sites for the wet season (details provided in </w:t>
      </w:r>
      <w:r w:rsidR="00976C0C">
        <w:rPr>
          <w:highlight w:val="yellow"/>
        </w:rPr>
        <w:fldChar w:fldCharType="begin"/>
      </w:r>
      <w:r w:rsidR="00976C0C">
        <w:instrText xml:space="preserve"> REF _Ref480727368 \n \h </w:instrText>
      </w:r>
      <w:r w:rsidR="002439C8">
        <w:rPr>
          <w:highlight w:val="yellow"/>
        </w:rPr>
        <w:instrText xml:space="preserve"> \* MERGEFORMAT </w:instrText>
      </w:r>
      <w:r w:rsidR="00976C0C">
        <w:rPr>
          <w:highlight w:val="yellow"/>
        </w:rPr>
      </w:r>
      <w:r w:rsidR="00976C0C">
        <w:rPr>
          <w:highlight w:val="yellow"/>
        </w:rPr>
        <w:fldChar w:fldCharType="separate"/>
      </w:r>
      <w:r w:rsidR="00251B46">
        <w:t>0</w:t>
      </w:r>
      <w:r w:rsidR="00976C0C">
        <w:rPr>
          <w:highlight w:val="yellow"/>
        </w:rPr>
        <w:fldChar w:fldCharType="end"/>
      </w:r>
      <w:r w:rsidR="00976C0C">
        <w:rPr>
          <w:lang w:val="en-GB" w:eastAsia="en-AU"/>
        </w:rPr>
        <w:t xml:space="preserve">Table E2). Site maps presented in this report overlay the </w:t>
      </w:r>
      <w:r w:rsidR="007D5A7C">
        <w:rPr>
          <w:lang w:val="en-GB" w:eastAsia="en-AU"/>
        </w:rPr>
        <w:t xml:space="preserve">water type </w:t>
      </w:r>
      <w:r w:rsidR="00976C0C">
        <w:rPr>
          <w:lang w:val="en-GB" w:eastAsia="en-AU"/>
        </w:rPr>
        <w:t>frequency maps to indicate sampling site positions relative to primary and secondary flood plume occurrences.</w:t>
      </w:r>
      <w:r w:rsidR="00976C0C" w:rsidRPr="00976C0C">
        <w:rPr>
          <w:lang w:val="en-GB" w:eastAsia="en-AU"/>
        </w:rPr>
        <w:t xml:space="preserve"> </w:t>
      </w:r>
      <w:r w:rsidR="00DA143A">
        <w:rPr>
          <w:lang w:val="en-GB" w:eastAsia="en-AU"/>
        </w:rPr>
        <w:t>The</w:t>
      </w:r>
      <w:r w:rsidR="00976C0C">
        <w:rPr>
          <w:lang w:val="en-GB" w:eastAsia="en-AU"/>
        </w:rPr>
        <w:t xml:space="preserve"> information on colour </w:t>
      </w:r>
      <w:r w:rsidR="00BB0556">
        <w:rPr>
          <w:lang w:val="en-GB" w:eastAsia="en-AU"/>
        </w:rPr>
        <w:t>classes</w:t>
      </w:r>
      <w:r w:rsidR="00976C0C">
        <w:rPr>
          <w:lang w:val="en-GB" w:eastAsia="en-AU"/>
        </w:rPr>
        <w:t xml:space="preserve"> </w:t>
      </w:r>
      <w:r w:rsidRPr="007D0683">
        <w:rPr>
          <w:lang w:val="en-GB" w:eastAsia="en-AU"/>
        </w:rPr>
        <w:t>inform the likelihood of a passive sampling</w:t>
      </w:r>
      <w:r w:rsidR="00B926C4">
        <w:rPr>
          <w:lang w:val="en-GB" w:eastAsia="en-AU"/>
        </w:rPr>
        <w:t xml:space="preserve"> s</w:t>
      </w:r>
      <w:r w:rsidRPr="007D0683">
        <w:rPr>
          <w:lang w:val="en-GB" w:eastAsia="en-AU"/>
        </w:rPr>
        <w:t xml:space="preserve">ite to </w:t>
      </w:r>
      <w:r w:rsidR="00DA143A">
        <w:rPr>
          <w:lang w:val="en-GB" w:eastAsia="en-AU"/>
        </w:rPr>
        <w:t>encounter</w:t>
      </w:r>
      <w:r w:rsidRPr="007D0683">
        <w:rPr>
          <w:lang w:val="en-GB" w:eastAsia="en-AU"/>
        </w:rPr>
        <w:t xml:space="preserve"> a flood plume and how often and for how long it may be impacted by plume waters</w:t>
      </w:r>
      <w:r w:rsidR="00976C0C">
        <w:rPr>
          <w:lang w:val="en-GB" w:eastAsia="en-AU"/>
        </w:rPr>
        <w:t>.</w:t>
      </w:r>
      <w:r>
        <w:rPr>
          <w:lang w:val="en-GB" w:eastAsia="en-AU"/>
        </w:rPr>
        <w:t xml:space="preserve">  </w:t>
      </w:r>
    </w:p>
    <w:p w14:paraId="50CFA102" w14:textId="77777777" w:rsidR="0033603B" w:rsidRDefault="0033603B" w:rsidP="002439C8">
      <w:pPr>
        <w:spacing w:line="276" w:lineRule="auto"/>
        <w:jc w:val="left"/>
        <w:rPr>
          <w:lang w:val="en-GB" w:eastAsia="en-AU"/>
        </w:rPr>
      </w:pPr>
    </w:p>
    <w:p w14:paraId="4860B65F" w14:textId="77777777" w:rsidR="00976C0C" w:rsidRDefault="007D0683" w:rsidP="002439C8">
      <w:pPr>
        <w:spacing w:line="276" w:lineRule="auto"/>
        <w:jc w:val="left"/>
        <w:rPr>
          <w:lang w:val="en-GB" w:eastAsia="en-AU"/>
        </w:rPr>
      </w:pPr>
      <w:r>
        <w:rPr>
          <w:lang w:val="en-GB" w:eastAsia="en-AU"/>
        </w:rPr>
        <w:t>Further information on how plumes are characterised is given in Appendix E, Section E.1.</w:t>
      </w:r>
    </w:p>
    <w:p w14:paraId="182F5854" w14:textId="77777777" w:rsidR="001A7420" w:rsidRPr="004E0EF8" w:rsidRDefault="001A7420" w:rsidP="002439C8">
      <w:pPr>
        <w:pStyle w:val="Heading3"/>
        <w:jc w:val="left"/>
      </w:pPr>
      <w:bookmarkStart w:id="290" w:name="_Toc14435692"/>
      <w:r>
        <w:t>Other data sources (weather, rainfall)</w:t>
      </w:r>
      <w:bookmarkEnd w:id="290"/>
    </w:p>
    <w:p w14:paraId="6B5C58C4" w14:textId="77777777" w:rsidR="001A7420" w:rsidRDefault="001A7420" w:rsidP="002439C8">
      <w:pPr>
        <w:spacing w:line="276" w:lineRule="auto"/>
        <w:jc w:val="left"/>
        <w:rPr>
          <w:lang w:val="en-GB" w:eastAsia="en-AU"/>
        </w:rPr>
      </w:pPr>
      <w:r>
        <w:rPr>
          <w:lang w:val="en-GB" w:eastAsia="en-AU"/>
        </w:rPr>
        <w:t>This report utilises supporting data including:</w:t>
      </w:r>
    </w:p>
    <w:p w14:paraId="50C657A1" w14:textId="77777777" w:rsidR="001A7420" w:rsidRDefault="001A7420" w:rsidP="002439C8">
      <w:pPr>
        <w:pStyle w:val="ListParagraph"/>
        <w:numPr>
          <w:ilvl w:val="0"/>
          <w:numId w:val="16"/>
        </w:numPr>
        <w:spacing w:line="276" w:lineRule="auto"/>
        <w:jc w:val="left"/>
        <w:rPr>
          <w:lang w:val="en-GB" w:eastAsia="en-AU"/>
        </w:rPr>
      </w:pPr>
      <w:r>
        <w:rPr>
          <w:lang w:val="en-GB" w:eastAsia="en-AU"/>
        </w:rPr>
        <w:t>Land use</w:t>
      </w:r>
    </w:p>
    <w:p w14:paraId="641CA237" w14:textId="77777777" w:rsidR="001A7420" w:rsidRPr="00CE4EFC" w:rsidRDefault="001A7420" w:rsidP="002439C8">
      <w:pPr>
        <w:pStyle w:val="ListParagraph"/>
        <w:numPr>
          <w:ilvl w:val="0"/>
          <w:numId w:val="16"/>
        </w:numPr>
        <w:spacing w:line="276" w:lineRule="auto"/>
        <w:jc w:val="left"/>
        <w:rPr>
          <w:lang w:val="en-GB" w:eastAsia="en-AU"/>
        </w:rPr>
      </w:pPr>
      <w:r>
        <w:rPr>
          <w:lang w:val="en-GB" w:eastAsia="en-AU"/>
        </w:rPr>
        <w:t>Hydrological data</w:t>
      </w:r>
      <w:r w:rsidRPr="00540722">
        <w:rPr>
          <w:lang w:val="en-GB" w:eastAsia="en-AU"/>
        </w:rPr>
        <w:t xml:space="preserve"> </w:t>
      </w:r>
    </w:p>
    <w:p w14:paraId="3987F2F2" w14:textId="77777777" w:rsidR="001A7420" w:rsidRDefault="001A7420" w:rsidP="002439C8">
      <w:pPr>
        <w:spacing w:line="276" w:lineRule="auto"/>
        <w:jc w:val="left"/>
        <w:rPr>
          <w:lang w:val="en-GB" w:eastAsia="en-AU"/>
        </w:rPr>
      </w:pPr>
      <w:r>
        <w:rPr>
          <w:lang w:val="en-GB" w:eastAsia="en-AU"/>
        </w:rPr>
        <w:t xml:space="preserve"> Those data were sources from </w:t>
      </w:r>
      <w:r w:rsidR="008C7A35" w:rsidRPr="00581507">
        <w:rPr>
          <w:lang w:val="en-GB" w:eastAsia="en-AU"/>
        </w:rPr>
        <w:fldChar w:fldCharType="begin"/>
      </w:r>
      <w:r w:rsidR="00822F8D">
        <w:rPr>
          <w:lang w:val="en-GB" w:eastAsia="en-AU"/>
        </w:rPr>
        <w:instrText xml:space="preserve"> ADDIN EN.CITE &lt;EndNote&gt;&lt;Cite AuthorYear="1"&gt;&lt;Author&gt;GBRMPA&lt;/Author&gt;&lt;Year&gt;2014&lt;/Year&gt;&lt;RecNum&gt;4&lt;/RecNum&gt;&lt;DisplayText&gt;GBRMPA (2014a)&lt;/DisplayText&gt;&lt;record&gt;&lt;rec-number&gt;4&lt;/rec-number&gt;&lt;foreign-keys&gt;&lt;key app="EN" db-id="xtpvpwz0ufxa2me5tv6v2prn2ez5p9atsvtr" timestamp="1539144942"&gt;4&lt;/key&gt;&lt;/foreign-keys&gt;&lt;ref-type name="Report"&gt;27&lt;/ref-type&gt;&lt;contributors&gt;&lt;authors&gt;&lt;author&gt;GBRMPA&lt;/author&gt;&lt;/authors&gt;&lt;/contributors&gt;&lt;titles&gt;&lt;title&gt;Great Barrier Reef Outlook Report 2014&lt;/title&gt;&lt;/titles&gt;&lt;dates&gt;&lt;year&gt;2014&lt;/year&gt;&lt;/dates&gt;&lt;pub-location&gt;Great Barrier Reef Marine Park Authority, Townsville&lt;/pub-location&gt;&lt;urls&gt;&lt;/urls&gt;&lt;/record&gt;&lt;/Cite&gt;&lt;/EndNote&gt;</w:instrText>
      </w:r>
      <w:r w:rsidR="008C7A35" w:rsidRPr="00581507">
        <w:rPr>
          <w:lang w:val="en-GB" w:eastAsia="en-AU"/>
        </w:rPr>
        <w:fldChar w:fldCharType="separate"/>
      </w:r>
      <w:r w:rsidR="00822F8D">
        <w:rPr>
          <w:noProof/>
          <w:lang w:val="en-GB" w:eastAsia="en-AU"/>
        </w:rPr>
        <w:t>GBRMPA (2014a)</w:t>
      </w:r>
      <w:r w:rsidR="008C7A35" w:rsidRPr="00581507">
        <w:rPr>
          <w:lang w:val="en-GB" w:eastAsia="en-AU"/>
        </w:rPr>
        <w:fldChar w:fldCharType="end"/>
      </w:r>
      <w:r w:rsidR="008C7A35" w:rsidRPr="00581507">
        <w:rPr>
          <w:lang w:val="en-GB" w:eastAsia="en-AU"/>
        </w:rPr>
        <w:t xml:space="preserve">, DNRM </w:t>
      </w:r>
      <w:hyperlink r:id="rId31" w:history="1">
        <w:r w:rsidR="008C7A35" w:rsidRPr="00581507">
          <w:rPr>
            <w:lang w:val="en-GB" w:eastAsia="en-AU"/>
          </w:rPr>
          <w:t>http://watermonitoring.dnrm.qld.gov.au/host.htm</w:t>
        </w:r>
      </w:hyperlink>
      <w:r w:rsidR="00217893" w:rsidRPr="00581507">
        <w:rPr>
          <w:lang w:val="en-GB" w:eastAsia="en-AU"/>
        </w:rPr>
        <w:t>,</w:t>
      </w:r>
      <w:r w:rsidR="008C7A35" w:rsidRPr="00581507">
        <w:rPr>
          <w:lang w:val="en-GB" w:eastAsia="en-AU"/>
        </w:rPr>
        <w:t xml:space="preserve"> and </w:t>
      </w:r>
      <w:r w:rsidR="00217893" w:rsidRPr="00581507">
        <w:rPr>
          <w:lang w:val="en-GB" w:eastAsia="en-AU"/>
        </w:rPr>
        <w:t>DNRM Stream Gauging Network.</w:t>
      </w:r>
    </w:p>
    <w:p w14:paraId="2F7FF506" w14:textId="77777777" w:rsidR="001A7420" w:rsidRDefault="001A7420" w:rsidP="002439C8">
      <w:pPr>
        <w:ind w:firstLine="357"/>
        <w:jc w:val="left"/>
        <w:rPr>
          <w:lang w:val="en-AU"/>
        </w:rPr>
      </w:pPr>
      <w:r>
        <w:rPr>
          <w:lang w:val="en-AU"/>
        </w:rPr>
        <w:lastRenderedPageBreak/>
        <w:br w:type="page"/>
      </w:r>
    </w:p>
    <w:p w14:paraId="5AE7A91E" w14:textId="77777777" w:rsidR="0059608E" w:rsidRPr="004E0EF8" w:rsidRDefault="0078068F" w:rsidP="002439C8">
      <w:pPr>
        <w:pStyle w:val="Heading1"/>
        <w:jc w:val="left"/>
      </w:pPr>
      <w:bookmarkStart w:id="291" w:name="_Toc455069285"/>
      <w:bookmarkStart w:id="292" w:name="_Toc455069935"/>
      <w:bookmarkStart w:id="293" w:name="_Toc455070207"/>
      <w:bookmarkStart w:id="294" w:name="_Toc455151594"/>
      <w:bookmarkStart w:id="295" w:name="_Toc455069287"/>
      <w:bookmarkStart w:id="296" w:name="_Toc455069937"/>
      <w:bookmarkStart w:id="297" w:name="_Toc455070209"/>
      <w:bookmarkStart w:id="298" w:name="_Toc455151596"/>
      <w:bookmarkStart w:id="299" w:name="_Toc455069288"/>
      <w:bookmarkStart w:id="300" w:name="_Toc455069938"/>
      <w:bookmarkStart w:id="301" w:name="_Toc455070210"/>
      <w:bookmarkStart w:id="302" w:name="_Toc455151597"/>
      <w:bookmarkStart w:id="303" w:name="_Toc455069290"/>
      <w:bookmarkStart w:id="304" w:name="_Toc455069940"/>
      <w:bookmarkStart w:id="305" w:name="_Toc455070212"/>
      <w:bookmarkStart w:id="306" w:name="_Toc455151599"/>
      <w:bookmarkStart w:id="307" w:name="_Toc455069291"/>
      <w:bookmarkStart w:id="308" w:name="_Toc455069941"/>
      <w:bookmarkStart w:id="309" w:name="_Toc455070213"/>
      <w:bookmarkStart w:id="310" w:name="_Toc455151600"/>
      <w:bookmarkStart w:id="311" w:name="_Toc455069292"/>
      <w:bookmarkStart w:id="312" w:name="_Toc455069942"/>
      <w:bookmarkStart w:id="313" w:name="_Toc455070214"/>
      <w:bookmarkStart w:id="314" w:name="_Toc455151601"/>
      <w:bookmarkStart w:id="315" w:name="_Toc455069293"/>
      <w:bookmarkStart w:id="316" w:name="_Toc455069943"/>
      <w:bookmarkStart w:id="317" w:name="_Toc455070215"/>
      <w:bookmarkStart w:id="318" w:name="_Toc455151602"/>
      <w:bookmarkStart w:id="319" w:name="_Toc455069294"/>
      <w:bookmarkStart w:id="320" w:name="_Toc455069944"/>
      <w:bookmarkStart w:id="321" w:name="_Toc455070216"/>
      <w:bookmarkStart w:id="322" w:name="_Toc455151603"/>
      <w:bookmarkStart w:id="323" w:name="_Toc455069295"/>
      <w:bookmarkStart w:id="324" w:name="_Toc455069945"/>
      <w:bookmarkStart w:id="325" w:name="_Toc455070217"/>
      <w:bookmarkStart w:id="326" w:name="_Toc455151604"/>
      <w:bookmarkStart w:id="327" w:name="_Toc455069302"/>
      <w:bookmarkStart w:id="328" w:name="_Toc455069952"/>
      <w:bookmarkStart w:id="329" w:name="_Toc455070224"/>
      <w:bookmarkStart w:id="330" w:name="_Toc455151611"/>
      <w:bookmarkStart w:id="331" w:name="_Toc335638262"/>
      <w:bookmarkStart w:id="332" w:name="_Toc335640872"/>
      <w:bookmarkStart w:id="333" w:name="_Toc455069417"/>
      <w:bookmarkStart w:id="334" w:name="_Toc455070067"/>
      <w:bookmarkStart w:id="335" w:name="_Toc455070339"/>
      <w:bookmarkStart w:id="336" w:name="_Toc455151726"/>
      <w:bookmarkStart w:id="337" w:name="_Toc455069418"/>
      <w:bookmarkStart w:id="338" w:name="_Toc455070068"/>
      <w:bookmarkStart w:id="339" w:name="_Toc455070340"/>
      <w:bookmarkStart w:id="340" w:name="_Toc455151727"/>
      <w:bookmarkStart w:id="341" w:name="_Toc455069419"/>
      <w:bookmarkStart w:id="342" w:name="_Toc455070069"/>
      <w:bookmarkStart w:id="343" w:name="_Toc455070341"/>
      <w:bookmarkStart w:id="344" w:name="_Toc455151728"/>
      <w:bookmarkStart w:id="345" w:name="_Toc455069446"/>
      <w:bookmarkStart w:id="346" w:name="_Toc455070096"/>
      <w:bookmarkStart w:id="347" w:name="_Toc455070368"/>
      <w:bookmarkStart w:id="348" w:name="_Toc455151755"/>
      <w:bookmarkStart w:id="349" w:name="_Toc455069448"/>
      <w:bookmarkStart w:id="350" w:name="_Toc455070098"/>
      <w:bookmarkStart w:id="351" w:name="_Toc455070370"/>
      <w:bookmarkStart w:id="352" w:name="_Toc455151757"/>
      <w:bookmarkStart w:id="353" w:name="_Toc455069449"/>
      <w:bookmarkStart w:id="354" w:name="_Toc455070099"/>
      <w:bookmarkStart w:id="355" w:name="_Toc455070371"/>
      <w:bookmarkStart w:id="356" w:name="_Toc455151758"/>
      <w:bookmarkStart w:id="357" w:name="_Toc455069450"/>
      <w:bookmarkStart w:id="358" w:name="_Toc455070100"/>
      <w:bookmarkStart w:id="359" w:name="_Toc455070372"/>
      <w:bookmarkStart w:id="360" w:name="_Toc455151759"/>
      <w:bookmarkStart w:id="361" w:name="_Toc455069451"/>
      <w:bookmarkStart w:id="362" w:name="_Toc455070101"/>
      <w:bookmarkStart w:id="363" w:name="_Toc455070373"/>
      <w:bookmarkStart w:id="364" w:name="_Toc455151760"/>
      <w:bookmarkStart w:id="365" w:name="_Toc455069452"/>
      <w:bookmarkStart w:id="366" w:name="_Toc455070102"/>
      <w:bookmarkStart w:id="367" w:name="_Toc455070374"/>
      <w:bookmarkStart w:id="368" w:name="_Toc455151761"/>
      <w:bookmarkStart w:id="369" w:name="Section_3"/>
      <w:bookmarkStart w:id="370" w:name="_Drivers_and_pressures"/>
      <w:bookmarkStart w:id="371" w:name="_Toc14435693"/>
      <w:bookmarkStart w:id="372" w:name="_Ref536078125"/>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r>
        <w:lastRenderedPageBreak/>
        <w:t>D</w:t>
      </w:r>
      <w:r w:rsidRPr="0078068F">
        <w:t xml:space="preserve">rivers and pressures influencing pesticide concentrations </w:t>
      </w:r>
      <w:r w:rsidRPr="0078068F">
        <w:rPr>
          <w:lang w:val="en-GB"/>
        </w:rPr>
        <w:t xml:space="preserve">during </w:t>
      </w:r>
      <w:r w:rsidR="001B73E5">
        <w:rPr>
          <w:lang w:val="en-GB"/>
        </w:rPr>
        <w:t>2017–18</w:t>
      </w:r>
      <w:bookmarkEnd w:id="371"/>
      <w:r w:rsidR="001B73E5">
        <w:rPr>
          <w:lang w:val="en-GB"/>
        </w:rPr>
        <w:t xml:space="preserve"> </w:t>
      </w:r>
      <w:bookmarkEnd w:id="372"/>
    </w:p>
    <w:p w14:paraId="044FB7BF" w14:textId="77777777" w:rsidR="00DE66A3" w:rsidRDefault="00DE66A3" w:rsidP="002439C8">
      <w:pPr>
        <w:spacing w:line="276" w:lineRule="auto"/>
        <w:jc w:val="left"/>
      </w:pPr>
      <w:r>
        <w:t>A</w:t>
      </w:r>
      <w:r w:rsidRPr="00237429">
        <w:t>gricultural land use</w:t>
      </w:r>
      <w:r>
        <w:t>,</w:t>
      </w:r>
      <w:r w:rsidRPr="00237429">
        <w:t xml:space="preserve"> </w:t>
      </w:r>
      <w:r>
        <w:t xml:space="preserve">as well as multiple paddock-scale pressures relating to pesticide usage, together with </w:t>
      </w:r>
      <w:r w:rsidRPr="00237429">
        <w:t>cyclones</w:t>
      </w:r>
      <w:r>
        <w:t xml:space="preserve">, </w:t>
      </w:r>
      <w:r w:rsidRPr="00237429">
        <w:t xml:space="preserve">rainfall </w:t>
      </w:r>
      <w:r>
        <w:t>and</w:t>
      </w:r>
      <w:r w:rsidRPr="00237429">
        <w:t xml:space="preserve"> freshwater river discharge</w:t>
      </w:r>
      <w:r>
        <w:t>, collectively influence the</w:t>
      </w:r>
      <w:r w:rsidRPr="00237429">
        <w:t xml:space="preserve"> </w:t>
      </w:r>
      <w:r>
        <w:t>end-of-catchment</w:t>
      </w:r>
      <w:r w:rsidRPr="00237429">
        <w:t xml:space="preserve"> pesticide loads</w:t>
      </w:r>
      <w:r>
        <w:t xml:space="preserve"> discharged to the Reef lagoon</w:t>
      </w:r>
      <w:r w:rsidR="00463CB7">
        <w:t>.</w:t>
      </w:r>
      <w:r>
        <w:t xml:space="preserve"> Other sources of pesticide are the result of urban and industrial activities </w:t>
      </w:r>
      <w:r>
        <w:fldChar w:fldCharType="begin"/>
      </w:r>
      <w:r w:rsidR="00822F8D">
        <w:instrText xml:space="preserve"> ADDIN EN.CITE &lt;EndNote&gt;&lt;Cite&gt;&lt;Author&gt;GBRMPA&lt;/Author&gt;&lt;Year&gt;2014&lt;/Year&gt;&lt;RecNum&gt;50&lt;/RecNum&gt;&lt;DisplayText&gt;(GBRMPA, 2014b)&lt;/DisplayText&gt;&lt;record&gt;&lt;rec-number&gt;50&lt;/rec-number&gt;&lt;foreign-keys&gt;&lt;key app="EN" db-id="xtpvpwz0ufxa2me5tv6v2prn2ez5p9atsvtr" timestamp="1539144944"&gt;50&lt;/key&gt;&lt;/foreign-keys&gt;&lt;ref-type name="Report"&gt;27&lt;/ref-type&gt;&lt;contributors&gt;&lt;authors&gt;&lt;author&gt;GBRMPA&lt;/author&gt;&lt;/authors&gt;&lt;/contributors&gt;&lt;titles&gt;&lt;title&gt;Great Barrier Reef Region Strategic Assessment: Strategic assessment report&lt;/title&gt;&lt;/titles&gt;&lt;dates&gt;&lt;year&gt;2014&lt;/year&gt;&lt;/dates&gt;&lt;pub-location&gt;Great Barrier Reef Marine Park Authority, Townsville&lt;/pub-location&gt;&lt;urls&gt;&lt;/urls&gt;&lt;/record&gt;&lt;/Cite&gt;&lt;/EndNote&gt;</w:instrText>
      </w:r>
      <w:r>
        <w:fldChar w:fldCharType="separate"/>
      </w:r>
      <w:r w:rsidR="00822F8D">
        <w:rPr>
          <w:noProof/>
        </w:rPr>
        <w:t>(GBRMPA, 2014b)</w:t>
      </w:r>
      <w:r>
        <w:fldChar w:fldCharType="end"/>
      </w:r>
      <w:r>
        <w:t>,</w:t>
      </w:r>
      <w:r w:rsidRPr="0054696C">
        <w:t xml:space="preserve"> </w:t>
      </w:r>
      <w:r>
        <w:t xml:space="preserve">although </w:t>
      </w:r>
      <w:r w:rsidRPr="00633EF7">
        <w:t>the relative contribution of these sources is not known</w:t>
      </w:r>
      <w:r>
        <w:t xml:space="preserve">.  </w:t>
      </w:r>
    </w:p>
    <w:p w14:paraId="0148D7AF" w14:textId="77777777" w:rsidR="008A4B4F" w:rsidRPr="00BE05C8" w:rsidRDefault="008A4B4F" w:rsidP="002439C8">
      <w:pPr>
        <w:pStyle w:val="Heading2"/>
        <w:jc w:val="left"/>
      </w:pPr>
      <w:bookmarkStart w:id="373" w:name="_Toc461457767"/>
      <w:bookmarkStart w:id="374" w:name="_Toc14435694"/>
      <w:r w:rsidRPr="00BE05C8">
        <w:t>Land use</w:t>
      </w:r>
      <w:bookmarkEnd w:id="373"/>
      <w:bookmarkEnd w:id="374"/>
    </w:p>
    <w:p w14:paraId="6286F803" w14:textId="77777777" w:rsidR="00734C2D" w:rsidRDefault="008A4B4F" w:rsidP="002439C8">
      <w:pPr>
        <w:spacing w:line="276" w:lineRule="auto"/>
        <w:jc w:val="left"/>
        <w:rPr>
          <w:lang w:val="en-GB" w:eastAsia="en-AU"/>
        </w:rPr>
      </w:pPr>
      <w:r>
        <w:rPr>
          <w:lang w:val="en-GB" w:eastAsia="en-AU"/>
        </w:rPr>
        <w:t xml:space="preserve">A wide range of land uses occur in the Reef </w:t>
      </w:r>
      <w:r w:rsidR="00BF37D6">
        <w:rPr>
          <w:lang w:val="en-GB" w:eastAsia="en-AU"/>
        </w:rPr>
        <w:t>basin</w:t>
      </w:r>
      <w:r>
        <w:rPr>
          <w:lang w:val="en-GB" w:eastAsia="en-AU"/>
        </w:rPr>
        <w:t xml:space="preserve">s, with great diversity between </w:t>
      </w:r>
      <w:r w:rsidR="00A55D5C">
        <w:rPr>
          <w:lang w:val="en-GB" w:eastAsia="en-AU"/>
        </w:rPr>
        <w:t xml:space="preserve">Natural Resource Management </w:t>
      </w:r>
      <w:r>
        <w:rPr>
          <w:lang w:val="en-GB" w:eastAsia="en-AU"/>
        </w:rPr>
        <w:t xml:space="preserve">regions </w:t>
      </w:r>
      <w:r w:rsidR="00CE0A33">
        <w:rPr>
          <w:lang w:val="en-GB" w:eastAsia="en-AU"/>
        </w:rPr>
        <w:t>(</w:t>
      </w:r>
      <w:r w:rsidR="00CE0A33" w:rsidRPr="00CE0A33">
        <w:rPr>
          <w:lang w:val="en-GB" w:eastAsia="en-AU"/>
        </w:rPr>
        <w:fldChar w:fldCharType="begin"/>
      </w:r>
      <w:r w:rsidR="00CE0A33" w:rsidRPr="00CE0A33">
        <w:rPr>
          <w:lang w:val="en-GB" w:eastAsia="en-AU"/>
        </w:rPr>
        <w:instrText xml:space="preserve"> REF _Ref477111597 \h  \* MERGEFORMAT </w:instrText>
      </w:r>
      <w:r w:rsidR="00CE0A33" w:rsidRPr="00CE0A33">
        <w:rPr>
          <w:lang w:val="en-GB" w:eastAsia="en-AU"/>
        </w:rPr>
      </w:r>
      <w:r w:rsidR="00CE0A33" w:rsidRPr="00CE0A33">
        <w:rPr>
          <w:lang w:val="en-GB" w:eastAsia="en-AU"/>
        </w:rPr>
        <w:fldChar w:fldCharType="separate"/>
      </w:r>
      <w:r w:rsidR="00251B46" w:rsidRPr="00747824">
        <w:t xml:space="preserve">Figure </w:t>
      </w:r>
      <w:r w:rsidR="00251B46" w:rsidRPr="00251B46">
        <w:rPr>
          <w:noProof/>
        </w:rPr>
        <w:t>4</w:t>
      </w:r>
      <w:r w:rsidR="00CE0A33" w:rsidRPr="00CE0A33">
        <w:rPr>
          <w:lang w:val="en-GB" w:eastAsia="en-AU"/>
        </w:rPr>
        <w:fldChar w:fldCharType="end"/>
      </w:r>
      <w:r>
        <w:rPr>
          <w:lang w:val="en-GB" w:eastAsia="en-AU"/>
        </w:rPr>
        <w:t>).</w:t>
      </w:r>
      <w:r w:rsidR="00AC3E7C">
        <w:rPr>
          <w:lang w:val="en-GB" w:eastAsia="en-AU"/>
        </w:rPr>
        <w:t xml:space="preserve"> </w:t>
      </w:r>
    </w:p>
    <w:p w14:paraId="6EE58812" w14:textId="77777777" w:rsidR="008A4B4F" w:rsidRDefault="008A4B4F" w:rsidP="002439C8">
      <w:pPr>
        <w:spacing w:line="276" w:lineRule="auto"/>
        <w:jc w:val="left"/>
        <w:rPr>
          <w:lang w:val="en-GB" w:eastAsia="en-AU"/>
        </w:rPr>
      </w:pPr>
      <w:r>
        <w:rPr>
          <w:noProof/>
          <w:lang w:val="en-AU" w:eastAsia="en-AU" w:bidi="ar-SA"/>
        </w:rPr>
        <w:lastRenderedPageBreak/>
        <w:drawing>
          <wp:inline distT="0" distB="0" distL="0" distR="0" wp14:anchorId="672E419A" wp14:editId="3BBF02A8">
            <wp:extent cx="3990975" cy="5773131"/>
            <wp:effectExtent l="0" t="0" r="0" b="0"/>
            <wp:docPr id="5" name="Picture 5" descr="Figure 4: Land use in the Reef catchments. All regions have a pie chart showing the proportion of different land use. Conservation, forestry and grazing dominate for most NRM reg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46_Landuse1999_2009_PieGraphs.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036707" cy="5839284"/>
                    </a:xfrm>
                    <a:prstGeom prst="rect">
                      <a:avLst/>
                    </a:prstGeom>
                  </pic:spPr>
                </pic:pic>
              </a:graphicData>
            </a:graphic>
          </wp:inline>
        </w:drawing>
      </w:r>
    </w:p>
    <w:p w14:paraId="76A1FEF1" w14:textId="77777777" w:rsidR="008A4B4F" w:rsidRPr="00747824" w:rsidRDefault="008A4B4F" w:rsidP="002439C8">
      <w:pPr>
        <w:pStyle w:val="Caption"/>
        <w:keepNext/>
        <w:spacing w:line="276" w:lineRule="auto"/>
        <w:rPr>
          <w:b w:val="0"/>
        </w:rPr>
      </w:pPr>
      <w:bookmarkStart w:id="375" w:name="_Ref477111597"/>
      <w:bookmarkStart w:id="376" w:name="_Toc15042896"/>
      <w:bookmarkStart w:id="377" w:name="_Toc527468578"/>
      <w:r w:rsidRPr="00747824">
        <w:rPr>
          <w:b w:val="0"/>
        </w:rPr>
        <w:t xml:space="preserve">Figure </w:t>
      </w:r>
      <w:r w:rsidR="00C91BF5" w:rsidRPr="00747824">
        <w:rPr>
          <w:b w:val="0"/>
        </w:rPr>
        <w:fldChar w:fldCharType="begin"/>
      </w:r>
      <w:r w:rsidRPr="00747824">
        <w:rPr>
          <w:b w:val="0"/>
        </w:rPr>
        <w:instrText xml:space="preserve"> SEQ Figure \* ARABIC </w:instrText>
      </w:r>
      <w:r w:rsidR="00C91BF5" w:rsidRPr="00747824">
        <w:rPr>
          <w:b w:val="0"/>
        </w:rPr>
        <w:fldChar w:fldCharType="separate"/>
      </w:r>
      <w:r w:rsidR="00251B46">
        <w:rPr>
          <w:b w:val="0"/>
          <w:noProof/>
        </w:rPr>
        <w:t>4</w:t>
      </w:r>
      <w:r w:rsidR="00C91BF5" w:rsidRPr="00747824">
        <w:rPr>
          <w:b w:val="0"/>
        </w:rPr>
        <w:fldChar w:fldCharType="end"/>
      </w:r>
      <w:bookmarkEnd w:id="375"/>
      <w:r>
        <w:rPr>
          <w:b w:val="0"/>
        </w:rPr>
        <w:t xml:space="preserve">: </w:t>
      </w:r>
      <w:r w:rsidRPr="00747824">
        <w:rPr>
          <w:b w:val="0"/>
        </w:rPr>
        <w:t xml:space="preserve">Land use in the Reef </w:t>
      </w:r>
      <w:r w:rsidR="00BF37D6">
        <w:rPr>
          <w:b w:val="0"/>
        </w:rPr>
        <w:t>basin</w:t>
      </w:r>
      <w:r w:rsidRPr="00747824">
        <w:rPr>
          <w:b w:val="0"/>
        </w:rPr>
        <w:t xml:space="preserve">s. Sourced from </w:t>
      </w:r>
      <w:r w:rsidR="00C91BF5" w:rsidRPr="00747824">
        <w:rPr>
          <w:b w:val="0"/>
        </w:rPr>
        <w:fldChar w:fldCharType="begin"/>
      </w:r>
      <w:r w:rsidR="00822F8D">
        <w:rPr>
          <w:b w:val="0"/>
        </w:rPr>
        <w:instrText xml:space="preserve"> ADDIN EN.CITE &lt;EndNote&gt;&lt;Cite AuthorYear="1"&gt;&lt;Author&gt;GBRMPA&lt;/Author&gt;&lt;Year&gt;2014&lt;/Year&gt;&lt;RecNum&gt;4&lt;/RecNum&gt;&lt;DisplayText&gt;GBRMPA (2014a)&lt;/DisplayText&gt;&lt;record&gt;&lt;rec-number&gt;4&lt;/rec-number&gt;&lt;foreign-keys&gt;&lt;key app="EN" db-id="xtpvpwz0ufxa2me5tv6v2prn2ez5p9atsvtr" timestamp="1539144942"&gt;4&lt;/key&gt;&lt;/foreign-keys&gt;&lt;ref-type name="Report"&gt;27&lt;/ref-type&gt;&lt;contributors&gt;&lt;authors&gt;&lt;author&gt;GBRMPA&lt;/author&gt;&lt;/authors&gt;&lt;/contributors&gt;&lt;titles&gt;&lt;title&gt;Great Barrier Reef Outlook Report 2014&lt;/title&gt;&lt;/titles&gt;&lt;dates&gt;&lt;year&gt;2014&lt;/year&gt;&lt;/dates&gt;&lt;pub-location&gt;Great Barrier Reef Marine Park Authority, Townsville&lt;/pub-location&gt;&lt;urls&gt;&lt;/urls&gt;&lt;/record&gt;&lt;/Cite&gt;&lt;/EndNote&gt;</w:instrText>
      </w:r>
      <w:r w:rsidR="00C91BF5" w:rsidRPr="00747824">
        <w:rPr>
          <w:b w:val="0"/>
        </w:rPr>
        <w:fldChar w:fldCharType="separate"/>
      </w:r>
      <w:bookmarkEnd w:id="377"/>
      <w:r w:rsidR="00822F8D">
        <w:rPr>
          <w:b w:val="0"/>
          <w:noProof/>
        </w:rPr>
        <w:t>GBRMPA (2014a)</w:t>
      </w:r>
      <w:bookmarkEnd w:id="376"/>
      <w:r w:rsidR="00C91BF5" w:rsidRPr="00747824">
        <w:rPr>
          <w:b w:val="0"/>
        </w:rPr>
        <w:fldChar w:fldCharType="end"/>
      </w:r>
    </w:p>
    <w:p w14:paraId="3FBE4CAD" w14:textId="77777777" w:rsidR="008A4B4F" w:rsidRDefault="008A4B4F" w:rsidP="002439C8">
      <w:pPr>
        <w:spacing w:line="276" w:lineRule="auto"/>
        <w:jc w:val="left"/>
      </w:pPr>
    </w:p>
    <w:p w14:paraId="02905CB2" w14:textId="77777777" w:rsidR="00D318CC" w:rsidRDefault="00D32C0E" w:rsidP="002439C8">
      <w:pPr>
        <w:spacing w:line="276" w:lineRule="auto"/>
        <w:jc w:val="left"/>
        <w:rPr>
          <w:lang w:val="en-GB" w:eastAsia="en-AU"/>
        </w:rPr>
      </w:pPr>
      <w:r w:rsidRPr="00BE05C8">
        <w:rPr>
          <w:rFonts w:cs="Arial"/>
          <w:lang w:val="en-AU"/>
        </w:rPr>
        <w:t xml:space="preserve">Land use in the Reef’s </w:t>
      </w:r>
      <w:r w:rsidR="00BF37D6">
        <w:rPr>
          <w:rFonts w:cs="Arial"/>
          <w:lang w:val="en-AU"/>
        </w:rPr>
        <w:t>basin</w:t>
      </w:r>
      <w:r w:rsidRPr="00BE05C8">
        <w:rPr>
          <w:rFonts w:cs="Arial"/>
          <w:lang w:val="en-AU"/>
        </w:rPr>
        <w:t>s varies from being largely undeveloped in the far north, to agriculture, mining, and urban uses in the central and southern regions.</w:t>
      </w:r>
      <w:r w:rsidRPr="00E9556D">
        <w:rPr>
          <w:rFonts w:cs="Arial"/>
          <w:lang w:val="en-AU"/>
        </w:rPr>
        <w:t xml:space="preserve"> </w:t>
      </w:r>
      <w:r w:rsidRPr="00E9556D">
        <w:rPr>
          <w:lang w:val="en-GB" w:eastAsia="en-AU"/>
        </w:rPr>
        <w:t xml:space="preserve">In total, 80 per cent of the Reef </w:t>
      </w:r>
      <w:r w:rsidR="00BF37D6">
        <w:rPr>
          <w:lang w:val="en-GB" w:eastAsia="en-AU"/>
        </w:rPr>
        <w:t>basin</w:t>
      </w:r>
      <w:r w:rsidRPr="00E9556D">
        <w:rPr>
          <w:lang w:val="en-GB" w:eastAsia="en-AU"/>
        </w:rPr>
        <w:t xml:space="preserve">s support agricultural activities with cattle grazing the most extensive land </w:t>
      </w:r>
      <w:r w:rsidRPr="00E9556D">
        <w:rPr>
          <w:lang w:val="en-GB" w:eastAsia="en-AU"/>
        </w:rPr>
        <w:lastRenderedPageBreak/>
        <w:t xml:space="preserve">use, particularly in the drier Burdekin and Fitzroy regions where 90 per cent and 77 per cent, respectively, are grazed  </w:t>
      </w:r>
      <w:r w:rsidRPr="00CA4ACF">
        <w:rPr>
          <w:lang w:val="en-GB" w:eastAsia="en-AU"/>
        </w:rPr>
        <w:fldChar w:fldCharType="begin"/>
      </w:r>
      <w:r w:rsidR="002D0872">
        <w:rPr>
          <w:lang w:val="en-GB" w:eastAsia="en-AU"/>
        </w:rPr>
        <w:instrText xml:space="preserve"> ADDIN EN.CITE &lt;EndNote&gt;&lt;Cite&gt;&lt;Author&gt;DSITIA&lt;/Author&gt;&lt;Year&gt;2012&lt;/Year&gt;&lt;RecNum&gt;39&lt;/RecNum&gt;&lt;DisplayText&gt;(DSITIA, 2012a, b)&lt;/DisplayText&gt;&lt;record&gt;&lt;rec-number&gt;39&lt;/rec-number&gt;&lt;foreign-keys&gt;&lt;key app="EN" db-id="xtpvpwz0ufxa2me5tv6v2prn2ez5p9atsvtr" timestamp="1539144943"&gt;39&lt;/key&gt;&lt;/foreign-keys&gt;&lt;ref-type name="Report"&gt;27&lt;/ref-type&gt;&lt;contributors&gt;&lt;authors&gt;&lt;author&gt;DSITIA&lt;/author&gt;&lt;/authors&gt;&lt;/contributors&gt;&lt;titles&gt;&lt;title&gt;Land use summary 1999–2009: Burdekin NRM region&lt;/title&gt;&lt;/titles&gt;&lt;dates&gt;&lt;year&gt;2012&lt;/year&gt;&lt;/dates&gt;&lt;pub-location&gt;Queensland Department of Science, Information Technology, Innovation and the Arts, Brisbane.&lt;/pub-location&gt;&lt;urls&gt;&lt;/urls&gt;&lt;/record&gt;&lt;/Cite&gt;&lt;Cite&gt;&lt;Author&gt;DSITIA&lt;/Author&gt;&lt;Year&gt;2012&lt;/Year&gt;&lt;RecNum&gt;41&lt;/RecNum&gt;&lt;record&gt;&lt;rec-number&gt;41&lt;/rec-number&gt;&lt;foreign-keys&gt;&lt;key app="EN" db-id="xtpvpwz0ufxa2me5tv6v2prn2ez5p9atsvtr" timestamp="1539144943"&gt;41&lt;/key&gt;&lt;/foreign-keys&gt;&lt;ref-type name="Report"&gt;27&lt;/ref-type&gt;&lt;contributors&gt;&lt;authors&gt;&lt;author&gt;DSITIA&lt;/author&gt;&lt;/authors&gt;&lt;/contributors&gt;&lt;titles&gt;&lt;title&gt;Land use summary 1999–2009 for the Fitzroy NRM region&lt;/title&gt;&lt;/titles&gt;&lt;dates&gt;&lt;year&gt;2012&lt;/year&gt;&lt;/dates&gt;&lt;pub-location&gt;Queensland Department of Science, Information Technology, Innovation and the Arts, Brisbane.&lt;/pub-location&gt;&lt;urls&gt;&lt;/urls&gt;&lt;/record&gt;&lt;/Cite&gt;&lt;/EndNote&gt;</w:instrText>
      </w:r>
      <w:r w:rsidRPr="00CA4ACF">
        <w:rPr>
          <w:lang w:val="en-GB" w:eastAsia="en-AU"/>
        </w:rPr>
        <w:fldChar w:fldCharType="separate"/>
      </w:r>
      <w:r w:rsidR="002D0872">
        <w:rPr>
          <w:noProof/>
          <w:lang w:val="en-GB" w:eastAsia="en-AU"/>
        </w:rPr>
        <w:t>(DSITIA, 2012a, b)</w:t>
      </w:r>
      <w:r w:rsidRPr="00CA4ACF">
        <w:rPr>
          <w:lang w:val="en-GB" w:eastAsia="en-AU"/>
        </w:rPr>
        <w:fldChar w:fldCharType="end"/>
      </w:r>
      <w:r w:rsidRPr="00E9556D">
        <w:rPr>
          <w:lang w:val="en-GB" w:eastAsia="en-AU"/>
        </w:rPr>
        <w:t xml:space="preserve">. </w:t>
      </w:r>
    </w:p>
    <w:p w14:paraId="1872ADB9" w14:textId="77777777" w:rsidR="00AB7AFD" w:rsidRPr="00AB7AFD" w:rsidRDefault="00D318CC" w:rsidP="00AB7AFD">
      <w:pPr>
        <w:pStyle w:val="ListParagraph"/>
        <w:numPr>
          <w:ilvl w:val="0"/>
          <w:numId w:val="34"/>
        </w:numPr>
        <w:spacing w:line="276" w:lineRule="auto"/>
        <w:jc w:val="left"/>
        <w:rPr>
          <w:lang w:val="en-AU" w:eastAsia="en-AU"/>
        </w:rPr>
      </w:pPr>
      <w:r w:rsidRPr="00AB7AFD">
        <w:rPr>
          <w:lang w:val="en-AU" w:eastAsia="en-AU"/>
        </w:rPr>
        <w:t xml:space="preserve">The Wet Tropics region encompasses eight basin areas, covering approximately 2.2 million hectares </w:t>
      </w:r>
      <w:r w:rsidRPr="00AB7AFD">
        <w:rPr>
          <w:lang w:val="en-AU" w:eastAsia="en-AU"/>
        </w:rPr>
        <w:fldChar w:fldCharType="begin"/>
      </w:r>
      <w:r w:rsidRPr="00AB7AFD">
        <w:rPr>
          <w:lang w:val="en-AU" w:eastAsia="en-AU"/>
        </w:rPr>
        <w:instrText xml:space="preserve"> ADDIN EN.CITE &lt;EndNote&gt;&lt;Cite&gt;&lt;Author&gt;ABS&lt;/Author&gt;&lt;Year&gt;2010&lt;/Year&gt;&lt;RecNum&gt;37&lt;/RecNum&gt;&lt;DisplayText&gt;(ABS, 2010)&lt;/DisplayText&gt;&lt;record&gt;&lt;rec-number&gt;37&lt;/rec-number&gt;&lt;foreign-keys&gt;&lt;key app="EN" db-id="xtpvpwz0ufxa2me5tv6v2prn2ez5p9atsvtr" timestamp="1539144943"&gt;37&lt;/key&gt;&lt;/foreign-keys&gt;&lt;ref-type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Pr="00AB7AFD">
        <w:rPr>
          <w:lang w:val="en-AU" w:eastAsia="en-AU"/>
        </w:rPr>
        <w:fldChar w:fldCharType="separate"/>
      </w:r>
      <w:r w:rsidRPr="00AB7AFD">
        <w:rPr>
          <w:noProof/>
          <w:lang w:val="en-AU" w:eastAsia="en-AU"/>
        </w:rPr>
        <w:t>(ABS, 2010)</w:t>
      </w:r>
      <w:r w:rsidRPr="00AB7AFD">
        <w:rPr>
          <w:lang w:val="en-AU" w:eastAsia="en-AU"/>
        </w:rPr>
        <w:fldChar w:fldCharType="end"/>
      </w:r>
      <w:r w:rsidRPr="00AB7AFD">
        <w:rPr>
          <w:lang w:val="en-AU" w:eastAsia="en-AU"/>
        </w:rPr>
        <w:t xml:space="preserve">. </w:t>
      </w:r>
    </w:p>
    <w:p w14:paraId="0D5CE1D0" w14:textId="027F5B44" w:rsidR="005C5E88" w:rsidRPr="00AB7AFD" w:rsidRDefault="00D318CC" w:rsidP="00AB7AFD">
      <w:pPr>
        <w:pStyle w:val="ListParagraph"/>
        <w:numPr>
          <w:ilvl w:val="0"/>
          <w:numId w:val="34"/>
        </w:numPr>
        <w:spacing w:line="276" w:lineRule="auto"/>
        <w:jc w:val="left"/>
        <w:rPr>
          <w:lang w:val="en-AU" w:eastAsia="en-AU"/>
        </w:rPr>
      </w:pPr>
      <w:r w:rsidRPr="00AB7AFD">
        <w:rPr>
          <w:lang w:val="en-AU" w:eastAsia="en-AU"/>
        </w:rPr>
        <w:t xml:space="preserve">The Burdekin region spans five basins and covers 14 million hectares, of which 90 per cent is used for agricultural purposes, with grazing primarily inland and some sugar cane and horticulture along the coast </w:t>
      </w:r>
      <w:r w:rsidRPr="00AB7AFD">
        <w:rPr>
          <w:lang w:val="en-AU" w:eastAsia="en-AU"/>
        </w:rPr>
        <w:fldChar w:fldCharType="begin"/>
      </w:r>
      <w:r w:rsidRPr="00AB7AFD">
        <w:rPr>
          <w:lang w:val="en-AU" w:eastAsia="en-AU"/>
        </w:rPr>
        <w:instrText xml:space="preserve"> ADDIN EN.CITE &lt;EndNote&gt;&lt;Cite&gt;&lt;Author&gt;DSITIA&lt;/Author&gt;&lt;Year&gt;2012&lt;/Year&gt;&lt;RecNum&gt;39&lt;/RecNum&gt;&lt;DisplayText&gt;(ABS, 2010; DSITIA, 2012b)&lt;/DisplayText&gt;&lt;record&gt;&lt;rec-number&gt;39&lt;/rec-number&gt;&lt;foreign-keys&gt;&lt;key app="EN" db-id="xtpvpwz0ufxa2me5tv6v2prn2ez5p9atsvtr" timestamp="1539144943"&gt;39&lt;/key&gt;&lt;/foreign-keys&gt;&lt;ref-type name="Report"&gt;27&lt;/ref-type&gt;&lt;contributors&gt;&lt;authors&gt;&lt;author&gt;DSITIA&lt;/author&gt;&lt;/authors&gt;&lt;/contributors&gt;&lt;titles&gt;&lt;title&gt;Land use summary 1999–2009: Burdekin NRM region&lt;/title&gt;&lt;/titles&gt;&lt;dates&gt;&lt;year&gt;2012&lt;/year&gt;&lt;/dates&gt;&lt;pub-location&gt;Queensland Department of Science, Information Technology, Innovation and the Arts, Brisbane.&lt;/pub-location&gt;&lt;urls&gt;&lt;/urls&gt;&lt;/record&gt;&lt;/Cite&gt;&lt;Cite&gt;&lt;Author&gt;ABS&lt;/Author&gt;&lt;Year&gt;2010&lt;/Year&gt;&lt;RecNum&gt;37&lt;/RecNum&gt;&lt;record&gt;&lt;rec-number&gt;37&lt;/rec-number&gt;&lt;foreign-keys&gt;&lt;key app="EN" db-id="xtpvpwz0ufxa2me5tv6v2prn2ez5p9atsvtr" timestamp="1539144943"&gt;37&lt;/key&gt;&lt;/foreign-keys&gt;&lt;ref-type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Pr="00AB7AFD">
        <w:rPr>
          <w:lang w:val="en-AU" w:eastAsia="en-AU"/>
        </w:rPr>
        <w:fldChar w:fldCharType="separate"/>
      </w:r>
      <w:r w:rsidRPr="00AB7AFD">
        <w:rPr>
          <w:noProof/>
          <w:lang w:val="en-AU" w:eastAsia="en-AU"/>
        </w:rPr>
        <w:t>(ABS, 2010; DSITIA, 2012b)</w:t>
      </w:r>
      <w:r w:rsidRPr="00AB7AFD">
        <w:rPr>
          <w:lang w:val="en-AU" w:eastAsia="en-AU"/>
        </w:rPr>
        <w:fldChar w:fldCharType="end"/>
      </w:r>
      <w:r w:rsidRPr="00AB7AFD">
        <w:rPr>
          <w:lang w:val="en-AU" w:eastAsia="en-AU"/>
        </w:rPr>
        <w:t xml:space="preserve">. </w:t>
      </w:r>
    </w:p>
    <w:p w14:paraId="6F18DB29" w14:textId="77777777" w:rsidR="005C5E88" w:rsidRPr="00AB7AFD" w:rsidRDefault="00D318CC" w:rsidP="00AB7AFD">
      <w:pPr>
        <w:pStyle w:val="ListParagraph"/>
        <w:numPr>
          <w:ilvl w:val="0"/>
          <w:numId w:val="34"/>
        </w:numPr>
        <w:spacing w:line="276" w:lineRule="auto"/>
        <w:jc w:val="left"/>
        <w:rPr>
          <w:lang w:val="en-AU" w:eastAsia="en-AU"/>
        </w:rPr>
      </w:pPr>
      <w:r w:rsidRPr="00AB7AFD">
        <w:rPr>
          <w:lang w:val="en-AU" w:eastAsia="en-AU"/>
        </w:rPr>
        <w:t xml:space="preserve">The Mackay Whitsunday region is the smallest Natural Resource Management region, spanning four basins with an area of approximately 900,000 hectares </w:t>
      </w:r>
      <w:r w:rsidRPr="00AB7AFD">
        <w:rPr>
          <w:lang w:val="en-AU" w:eastAsia="en-AU"/>
        </w:rPr>
        <w:fldChar w:fldCharType="begin"/>
      </w:r>
      <w:r w:rsidRPr="00AB7AFD">
        <w:rPr>
          <w:lang w:val="en-AU" w:eastAsia="en-AU"/>
        </w:rPr>
        <w:instrText xml:space="preserve"> ADDIN EN.CITE &lt;EndNote&gt;&lt;Cite&gt;&lt;Author&gt;ABS&lt;/Author&gt;&lt;Year&gt;2010&lt;/Year&gt;&lt;RecNum&gt;37&lt;/RecNum&gt;&lt;DisplayText&gt;(ABS, 2010)&lt;/DisplayText&gt;&lt;record&gt;&lt;rec-number&gt;37&lt;/rec-number&gt;&lt;foreign-keys&gt;&lt;key app="EN" db-id="xtpvpwz0ufxa2me5tv6v2prn2ez5p9atsvtr" timestamp="1539144943"&gt;37&lt;/key&gt;&lt;/foreign-keys&gt;&lt;ref-type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Pr="00AB7AFD">
        <w:rPr>
          <w:lang w:val="en-AU" w:eastAsia="en-AU"/>
        </w:rPr>
        <w:fldChar w:fldCharType="separate"/>
      </w:r>
      <w:r w:rsidRPr="00AB7AFD">
        <w:rPr>
          <w:noProof/>
          <w:lang w:val="en-AU" w:eastAsia="en-AU"/>
        </w:rPr>
        <w:t>(ABS, 2010)</w:t>
      </w:r>
      <w:r w:rsidRPr="00AB7AFD">
        <w:rPr>
          <w:lang w:val="en-AU" w:eastAsia="en-AU"/>
        </w:rPr>
        <w:fldChar w:fldCharType="end"/>
      </w:r>
      <w:r w:rsidRPr="00AB7AFD">
        <w:rPr>
          <w:lang w:val="en-AU" w:eastAsia="en-AU"/>
        </w:rPr>
        <w:t xml:space="preserve">. This region is dominated by grazing, which comprises 30 – 60 per cent of the region’s land use depending on the basin basin, and the sugar cane industry, which comprises 6 – 50 per cent of the region’s land use </w:t>
      </w:r>
      <w:r w:rsidRPr="00AB7AFD">
        <w:rPr>
          <w:lang w:val="en-AU" w:eastAsia="en-AU"/>
        </w:rPr>
        <w:fldChar w:fldCharType="begin"/>
      </w:r>
      <w:r w:rsidRPr="00AB7AFD">
        <w:rPr>
          <w:lang w:val="en-AU" w:eastAsia="en-AU"/>
        </w:rPr>
        <w:instrText xml:space="preserve"> ADDIN EN.CITE &lt;EndNote&gt;&lt;Cite&gt;&lt;Author&gt;DSITIA&lt;/Author&gt;&lt;Year&gt;2012&lt;/Year&gt;&lt;RecNum&gt;40&lt;/RecNum&gt;&lt;DisplayText&gt;(DSITIA, 2012d)&lt;/DisplayText&gt;&lt;record&gt;&lt;rec-number&gt;40&lt;/rec-number&gt;&lt;foreign-keys&gt;&lt;key app="EN" db-id="xtpvpwz0ufxa2me5tv6v2prn2ez5p9atsvtr" timestamp="1539144943"&gt;40&lt;/key&gt;&lt;/foreign-keys&gt;&lt;ref-type name="Report"&gt;27&lt;/ref-type&gt;&lt;contributors&gt;&lt;authors&gt;&lt;author&gt;DSITIA&lt;/author&gt;&lt;/authors&gt;&lt;/contributors&gt;&lt;titles&gt;&lt;title&gt;Land use Summary 1999–2009: Mackay–Whitsunday NRM Region&lt;/title&gt;&lt;/titles&gt;&lt;dates&gt;&lt;year&gt;2012&lt;/year&gt;&lt;/dates&gt;&lt;pub-location&gt;Queensland Department of Science, Information Technology, Innovation and the Arts, Brisbane.&lt;/pub-location&gt;&lt;urls&gt;&lt;/urls&gt;&lt;/record&gt;&lt;/Cite&gt;&lt;/EndNote&gt;</w:instrText>
      </w:r>
      <w:r w:rsidRPr="00AB7AFD">
        <w:rPr>
          <w:lang w:val="en-AU" w:eastAsia="en-AU"/>
        </w:rPr>
        <w:fldChar w:fldCharType="separate"/>
      </w:r>
      <w:r w:rsidRPr="00AB7AFD">
        <w:rPr>
          <w:noProof/>
          <w:lang w:val="en-AU" w:eastAsia="en-AU"/>
        </w:rPr>
        <w:t>(DSITIA, 2012d)</w:t>
      </w:r>
      <w:r w:rsidRPr="00AB7AFD">
        <w:rPr>
          <w:lang w:val="en-AU" w:eastAsia="en-AU"/>
        </w:rPr>
        <w:fldChar w:fldCharType="end"/>
      </w:r>
      <w:r w:rsidRPr="00AB7AFD">
        <w:rPr>
          <w:lang w:val="en-AU" w:eastAsia="en-AU"/>
        </w:rPr>
        <w:t xml:space="preserve">. </w:t>
      </w:r>
    </w:p>
    <w:p w14:paraId="3F93CD67" w14:textId="77777777" w:rsidR="005C5E88" w:rsidRPr="00AB7AFD" w:rsidRDefault="00D318CC" w:rsidP="00AB7AFD">
      <w:pPr>
        <w:pStyle w:val="ListParagraph"/>
        <w:numPr>
          <w:ilvl w:val="0"/>
          <w:numId w:val="34"/>
        </w:numPr>
        <w:spacing w:line="276" w:lineRule="auto"/>
        <w:jc w:val="left"/>
        <w:rPr>
          <w:lang w:val="en-AU" w:eastAsia="en-AU"/>
        </w:rPr>
      </w:pPr>
      <w:r w:rsidRPr="00AB7AFD">
        <w:rPr>
          <w:lang w:val="en-AU" w:eastAsia="en-AU"/>
        </w:rPr>
        <w:t xml:space="preserve">The Fitzroy region spans six basins and covers an area of 15.6 million hectares </w:t>
      </w:r>
      <w:r w:rsidRPr="00AB7AFD">
        <w:rPr>
          <w:lang w:val="en-AU" w:eastAsia="en-AU"/>
        </w:rPr>
        <w:fldChar w:fldCharType="begin"/>
      </w:r>
      <w:r w:rsidRPr="00AB7AFD">
        <w:rPr>
          <w:lang w:val="en-AU" w:eastAsia="en-AU"/>
        </w:rPr>
        <w:instrText xml:space="preserve"> ADDIN EN.CITE &lt;EndNote&gt;&lt;Cite&gt;&lt;Author&gt;ABS&lt;/Author&gt;&lt;Year&gt;2010&lt;/Year&gt;&lt;RecNum&gt;37&lt;/RecNum&gt;&lt;DisplayText&gt;(ABS, 2010)&lt;/DisplayText&gt;&lt;record&gt;&lt;rec-number&gt;37&lt;/rec-number&gt;&lt;foreign-keys&gt;&lt;key app="EN" db-id="xtpvpwz0ufxa2me5tv6v2prn2ez5p9atsvtr" timestamp="1539144943"&gt;37&lt;/key&gt;&lt;/foreign-keys&gt;&lt;ref-type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Pr="00AB7AFD">
        <w:rPr>
          <w:lang w:val="en-AU" w:eastAsia="en-AU"/>
        </w:rPr>
        <w:fldChar w:fldCharType="separate"/>
      </w:r>
      <w:r w:rsidRPr="00AB7AFD">
        <w:rPr>
          <w:noProof/>
          <w:lang w:val="en-AU" w:eastAsia="en-AU"/>
        </w:rPr>
        <w:t>(ABS, 2010)</w:t>
      </w:r>
      <w:r w:rsidRPr="00AB7AFD">
        <w:rPr>
          <w:lang w:val="en-AU" w:eastAsia="en-AU"/>
        </w:rPr>
        <w:fldChar w:fldCharType="end"/>
      </w:r>
      <w:r w:rsidRPr="00AB7AFD">
        <w:rPr>
          <w:lang w:val="en-AU" w:eastAsia="en-AU"/>
        </w:rPr>
        <w:t xml:space="preserve">. Cattle grazing is the most prevalent industry (78 per cent of the land use), with broad acre cropping (five per cent of the land use) and cotton farming also present </w:t>
      </w:r>
      <w:r w:rsidRPr="00AB7AFD">
        <w:rPr>
          <w:lang w:val="en-AU" w:eastAsia="en-AU"/>
        </w:rPr>
        <w:fldChar w:fldCharType="begin"/>
      </w:r>
      <w:r w:rsidRPr="00AB7AFD">
        <w:rPr>
          <w:lang w:val="en-AU" w:eastAsia="en-AU"/>
        </w:rPr>
        <w:instrText xml:space="preserve"> ADDIN EN.CITE &lt;EndNote&gt;&lt;Cite&gt;&lt;Author&gt;DSITIA&lt;/Author&gt;&lt;Year&gt;2012&lt;/Year&gt;&lt;RecNum&gt;41&lt;/RecNum&gt;&lt;DisplayText&gt;(DSITIA, 2012a)&lt;/DisplayText&gt;&lt;record&gt;&lt;rec-number&gt;41&lt;/rec-number&gt;&lt;foreign-keys&gt;&lt;key app="EN" db-id="xtpvpwz0ufxa2me5tv6v2prn2ez5p9atsvtr" timestamp="1539144943"&gt;41&lt;/key&gt;&lt;/foreign-keys&gt;&lt;ref-type name="Report"&gt;27&lt;/ref-type&gt;&lt;contributors&gt;&lt;authors&gt;&lt;author&gt;DSITIA&lt;/author&gt;&lt;/authors&gt;&lt;/contributors&gt;&lt;titles&gt;&lt;title&gt;Land use summary 1999–2009 for the Fitzroy NRM region&lt;/title&gt;&lt;/titles&gt;&lt;dates&gt;&lt;year&gt;2012&lt;/year&gt;&lt;/dates&gt;&lt;pub-location&gt;Queensland Department of Science, Information Technology, Innovation and the Arts, Brisbane.&lt;/pub-location&gt;&lt;urls&gt;&lt;/urls&gt;&lt;/record&gt;&lt;/Cite&gt;&lt;/EndNote&gt;</w:instrText>
      </w:r>
      <w:r w:rsidRPr="00AB7AFD">
        <w:rPr>
          <w:lang w:val="en-AU" w:eastAsia="en-AU"/>
        </w:rPr>
        <w:fldChar w:fldCharType="separate"/>
      </w:r>
      <w:r w:rsidRPr="00AB7AFD">
        <w:rPr>
          <w:noProof/>
          <w:lang w:val="en-AU" w:eastAsia="en-AU"/>
        </w:rPr>
        <w:t>(DSITIA, 2012a)</w:t>
      </w:r>
      <w:r w:rsidRPr="00AB7AFD">
        <w:rPr>
          <w:lang w:val="en-AU" w:eastAsia="en-AU"/>
        </w:rPr>
        <w:fldChar w:fldCharType="end"/>
      </w:r>
      <w:r w:rsidRPr="00AB7AFD">
        <w:rPr>
          <w:lang w:val="en-AU" w:eastAsia="en-AU"/>
        </w:rPr>
        <w:t xml:space="preserve">. </w:t>
      </w:r>
    </w:p>
    <w:p w14:paraId="243BB226" w14:textId="77777777" w:rsidR="005C5E88" w:rsidRDefault="005C5E88" w:rsidP="002439C8">
      <w:pPr>
        <w:spacing w:line="276" w:lineRule="auto"/>
        <w:jc w:val="left"/>
        <w:rPr>
          <w:lang w:val="en-AU" w:eastAsia="en-AU"/>
        </w:rPr>
      </w:pPr>
    </w:p>
    <w:p w14:paraId="212E2B75" w14:textId="77777777" w:rsidR="00D32C0E" w:rsidRPr="00E9556D" w:rsidRDefault="00D32C0E" w:rsidP="002439C8">
      <w:pPr>
        <w:spacing w:line="276" w:lineRule="auto"/>
        <w:jc w:val="left"/>
        <w:rPr>
          <w:lang w:val="en-GB" w:eastAsia="en-AU"/>
        </w:rPr>
      </w:pPr>
      <w:r w:rsidRPr="00DB7594">
        <w:rPr>
          <w:lang w:val="en-GB" w:eastAsia="en-AU"/>
        </w:rPr>
        <w:t>The Wet Tropics and Mackay Whitsunday</w:t>
      </w:r>
      <w:r w:rsidRPr="00E9556D">
        <w:rPr>
          <w:lang w:val="en-GB" w:eastAsia="en-AU"/>
        </w:rPr>
        <w:t xml:space="preserve"> regions also have grazing activities (31 per cent and 42 per cent, respectively); however other uses such as nature conservation (49 per cent of land use in the Wet Tropics) and irrigated cropping (sugarcane) (18 per cent of land use in the Mackay Whitsunday) are also significant </w:t>
      </w:r>
      <w:r w:rsidRPr="00CA4ACF">
        <w:rPr>
          <w:lang w:val="en-GB" w:eastAsia="en-AU"/>
        </w:rPr>
        <w:fldChar w:fldCharType="begin"/>
      </w:r>
      <w:r w:rsidR="005F1879">
        <w:rPr>
          <w:lang w:val="en-GB" w:eastAsia="en-AU"/>
        </w:rPr>
        <w:instrText xml:space="preserve"> ADDIN EN.CITE &lt;EndNote&gt;&lt;Cite&gt;&lt;Author&gt;DSITIA&lt;/Author&gt;&lt;Year&gt;2012&lt;/Year&gt;&lt;RecNum&gt;40&lt;/RecNum&gt;&lt;DisplayText&gt;(DSITI, 2016; DSITIA, 2012d)&lt;/DisplayText&gt;&lt;record&gt;&lt;rec-number&gt;40&lt;/rec-number&gt;&lt;foreign-keys&gt;&lt;key app="EN" db-id="xtpvpwz0ufxa2me5tv6v2prn2ez5p9atsvtr" timestamp="1539144943"&gt;40&lt;/key&gt;&lt;/foreign-keys&gt;&lt;ref-type name="Report"&gt;27&lt;/ref-type&gt;&lt;contributors&gt;&lt;authors&gt;&lt;author&gt;DSITIA&lt;/author&gt;&lt;/authors&gt;&lt;/contributors&gt;&lt;titles&gt;&lt;title&gt;Land use Summary 1999–2009: Mackay–Whitsunday NRM Region&lt;/title&gt;&lt;/titles&gt;&lt;dates&gt;&lt;year&gt;2012&lt;/year&gt;&lt;/dates&gt;&lt;pub-location&gt;Queensland Department of Science, Information Technology, Innovation and the Arts, Brisbane.&lt;/pub-location&gt;&lt;urls&gt;&lt;/urls&gt;&lt;/record&gt;&lt;/Cite&gt;&lt;Cite&gt;&lt;Author&gt;DSITI&lt;/Author&gt;&lt;Year&gt;2016&lt;/Year&gt;&lt;RecNum&gt;38&lt;/RecNum&gt;&lt;record&gt;&lt;rec-number&gt;38&lt;/rec-number&gt;&lt;foreign-keys&gt;&lt;key app="EN" db-id="xtpvpwz0ufxa2me5tv6v2prn2ez5p9atsvtr" timestamp="1539144943"&gt;38&lt;/key&gt;&lt;/foreign-keys&gt;&lt;ref-type name="Report"&gt;27&lt;/ref-type&gt;&lt;contributors&gt;&lt;authors&gt;&lt;author&gt;DSITI&lt;/author&gt;&lt;/authors&gt;&lt;/contributors&gt;&lt;titles&gt;&lt;title&gt;Land use summary 1999–2015 for the Wet Tropics NRM region&lt;/title&gt;&lt;/titles&gt;&lt;dates&gt;&lt;year&gt;2016&lt;/year&gt;&lt;/dates&gt;&lt;pub-location&gt;Queensland Department of Science, Information Technology and Innovation, Brisbane.&lt;/pub-location&gt;&lt;urls&gt;&lt;/urls&gt;&lt;/record&gt;&lt;/Cite&gt;&lt;/EndNote&gt;</w:instrText>
      </w:r>
      <w:r w:rsidRPr="00CA4ACF">
        <w:rPr>
          <w:lang w:val="en-GB" w:eastAsia="en-AU"/>
        </w:rPr>
        <w:fldChar w:fldCharType="separate"/>
      </w:r>
      <w:r w:rsidR="005F1879">
        <w:rPr>
          <w:noProof/>
          <w:lang w:val="en-GB" w:eastAsia="en-AU"/>
        </w:rPr>
        <w:t>(DSITI, 2016; DSITIA, 2012d)</w:t>
      </w:r>
      <w:r w:rsidRPr="00CA4ACF">
        <w:rPr>
          <w:lang w:val="en-GB" w:eastAsia="en-AU"/>
        </w:rPr>
        <w:fldChar w:fldCharType="end"/>
      </w:r>
      <w:r w:rsidRPr="00E9556D">
        <w:rPr>
          <w:lang w:val="en-GB" w:eastAsia="en-AU"/>
        </w:rPr>
        <w:t xml:space="preserve">. </w:t>
      </w:r>
    </w:p>
    <w:p w14:paraId="0345DE35" w14:textId="77777777" w:rsidR="00D32C0E" w:rsidRPr="00E9556D" w:rsidRDefault="00D32C0E" w:rsidP="002439C8">
      <w:pPr>
        <w:spacing w:line="276" w:lineRule="auto"/>
        <w:jc w:val="left"/>
        <w:rPr>
          <w:lang w:val="en-GB" w:eastAsia="en-AU"/>
        </w:rPr>
      </w:pPr>
    </w:p>
    <w:p w14:paraId="2A6A3B4C" w14:textId="77777777" w:rsidR="00D32C0E" w:rsidRDefault="00D32C0E" w:rsidP="002439C8">
      <w:pPr>
        <w:autoSpaceDE w:val="0"/>
        <w:autoSpaceDN w:val="0"/>
        <w:adjustRightInd w:val="0"/>
        <w:spacing w:line="276" w:lineRule="auto"/>
        <w:jc w:val="left"/>
        <w:rPr>
          <w:lang w:val="en-AU"/>
        </w:rPr>
      </w:pPr>
      <w:r w:rsidRPr="00BE05C8">
        <w:rPr>
          <w:rFonts w:cs="Arial"/>
          <w:lang w:val="en-AU"/>
        </w:rPr>
        <w:t>The range of land uses results in point and diffuse sources of pesticides from a variety of human activities</w:t>
      </w:r>
      <w:r w:rsidRPr="00BE05C8">
        <w:rPr>
          <w:lang w:val="en-AU"/>
        </w:rPr>
        <w:t>.</w:t>
      </w:r>
      <w:r w:rsidRPr="00E9556D">
        <w:rPr>
          <w:lang w:val="en-AU"/>
        </w:rPr>
        <w:t xml:space="preserve"> </w:t>
      </w:r>
      <w:r w:rsidRPr="00E9556D">
        <w:rPr>
          <w:lang w:val="en-GB" w:eastAsia="en-AU"/>
        </w:rPr>
        <w:t xml:space="preserve">Certain regions and/or smaller coastal </w:t>
      </w:r>
      <w:r w:rsidR="00BF37D6">
        <w:rPr>
          <w:lang w:val="en-GB" w:eastAsia="en-AU"/>
        </w:rPr>
        <w:t>basin</w:t>
      </w:r>
      <w:r w:rsidRPr="00E9556D">
        <w:rPr>
          <w:lang w:val="en-GB" w:eastAsia="en-AU"/>
        </w:rPr>
        <w:t xml:space="preserve">s may represent areas of higher localised risk of pesticide run-off due to the intensity and nature of agricultural activities (such as sugar cane cropping) occurring in coastal areas </w:t>
      </w:r>
      <w:r w:rsidRPr="00CA4ACF">
        <w:rPr>
          <w:lang w:val="en-GB" w:eastAsia="en-AU"/>
        </w:rPr>
        <w:fldChar w:fldCharType="begin"/>
      </w:r>
      <w:r w:rsidRPr="00E9556D">
        <w:rPr>
          <w:lang w:val="en-GB" w:eastAsia="en-AU"/>
        </w:rPr>
        <w:instrText xml:space="preserve"> ADDIN EN.CITE &lt;EndNote&gt;&lt;Cite&gt;&lt;Author&gt;Brodie&lt;/Author&gt;&lt;Year&gt;2013&lt;/Year&gt;&lt;RecNum&gt;9&lt;/RecNum&gt;&lt;DisplayText&gt;(Brodie et al., 2013)&lt;/DisplayText&gt;&lt;record&gt;&lt;rec-number&gt;9&lt;/rec-number&gt;&lt;foreign-keys&gt;&lt;key app="EN" db-id="xtpvpwz0ufxa2me5tv6v2prn2ez5p9atsvtr" timestamp="1539144943"&gt;9&lt;/key&gt;&lt;/foreign-keys&gt;&lt;ref-type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Secretariat&lt;/pub-location&gt;&lt;urls&gt;&lt;/urls&gt;&lt;/record&gt;&lt;/Cite&gt;&lt;/EndNote&gt;</w:instrText>
      </w:r>
      <w:r w:rsidRPr="00CA4ACF">
        <w:rPr>
          <w:lang w:val="en-GB" w:eastAsia="en-AU"/>
        </w:rPr>
        <w:fldChar w:fldCharType="separate"/>
      </w:r>
      <w:r w:rsidRPr="00E9556D">
        <w:rPr>
          <w:noProof/>
          <w:lang w:val="en-GB" w:eastAsia="en-AU"/>
        </w:rPr>
        <w:t>(Brodie et al., 2013)</w:t>
      </w:r>
      <w:r w:rsidRPr="00CA4ACF">
        <w:rPr>
          <w:lang w:val="en-GB" w:eastAsia="en-AU"/>
        </w:rPr>
        <w:fldChar w:fldCharType="end"/>
      </w:r>
      <w:r w:rsidRPr="00E9556D">
        <w:rPr>
          <w:lang w:val="en-GB" w:eastAsia="en-AU"/>
        </w:rPr>
        <w:t>.</w:t>
      </w:r>
      <w:r>
        <w:rPr>
          <w:lang w:val="en-GB" w:eastAsia="en-AU"/>
        </w:rPr>
        <w:t xml:space="preserve"> </w:t>
      </w:r>
    </w:p>
    <w:p w14:paraId="48719440" w14:textId="77777777" w:rsidR="00D32C0E" w:rsidRDefault="00D32C0E" w:rsidP="002439C8">
      <w:pPr>
        <w:spacing w:line="276" w:lineRule="auto"/>
        <w:jc w:val="left"/>
        <w:rPr>
          <w:lang w:val="en-GB" w:eastAsia="en-AU"/>
        </w:rPr>
      </w:pPr>
    </w:p>
    <w:p w14:paraId="48512A39" w14:textId="77777777" w:rsidR="00D32C0E" w:rsidRDefault="00D32C0E" w:rsidP="002439C8">
      <w:pPr>
        <w:spacing w:line="276" w:lineRule="auto"/>
        <w:jc w:val="left"/>
        <w:rPr>
          <w:lang w:val="en-GB" w:eastAsia="en-AU"/>
        </w:rPr>
      </w:pPr>
      <w:r w:rsidRPr="008C7694">
        <w:rPr>
          <w:lang w:val="en-GB" w:eastAsia="en-AU"/>
        </w:rPr>
        <w:lastRenderedPageBreak/>
        <w:t xml:space="preserve">Although land-use is well characterised in the Reef </w:t>
      </w:r>
      <w:r w:rsidR="00BF37D6">
        <w:rPr>
          <w:lang w:val="en-GB" w:eastAsia="en-AU"/>
        </w:rPr>
        <w:t>basin</w:t>
      </w:r>
      <w:r w:rsidRPr="008C7694">
        <w:rPr>
          <w:lang w:val="en-GB" w:eastAsia="en-AU"/>
        </w:rPr>
        <w:t xml:space="preserve">s, limited data on pesticide usage are available and models are used to extrapolate for </w:t>
      </w:r>
      <w:r>
        <w:rPr>
          <w:lang w:val="en-GB" w:eastAsia="en-AU"/>
        </w:rPr>
        <w:t xml:space="preserve">estimates of </w:t>
      </w:r>
      <w:r w:rsidRPr="008C7694">
        <w:rPr>
          <w:lang w:val="en-GB" w:eastAsia="en-AU"/>
        </w:rPr>
        <w:t xml:space="preserve">run-off of pesticides from the different land use areas to a wider range of </w:t>
      </w:r>
      <w:r w:rsidR="00BF37D6">
        <w:rPr>
          <w:lang w:val="en-GB" w:eastAsia="en-AU"/>
        </w:rPr>
        <w:t>basin</w:t>
      </w:r>
      <w:r w:rsidRPr="008C7694">
        <w:rPr>
          <w:lang w:val="en-GB" w:eastAsia="en-AU"/>
        </w:rPr>
        <w:t xml:space="preserve"> conditions and to also investigate the impact of management options </w:t>
      </w:r>
      <w:r w:rsidRPr="008C7694">
        <w:rPr>
          <w:lang w:val="en-GB" w:eastAsia="en-AU"/>
        </w:rPr>
        <w:fldChar w:fldCharType="begin"/>
      </w:r>
      <w:r>
        <w:rPr>
          <w:lang w:val="en-GB" w:eastAsia="en-AU"/>
        </w:rPr>
        <w:instrText xml:space="preserve"> ADDIN EN.CITE &lt;EndNote&gt;&lt;Cite&gt;&lt;Author&gt;Shaw&lt;/Author&gt;&lt;Year&gt;2011&lt;/Year&gt;&lt;RecNum&gt;51&lt;/RecNum&gt;&lt;DisplayText&gt;(Shaw et al., 2011)&lt;/DisplayText&gt;&lt;record&gt;&lt;rec-number&gt;51&lt;/rec-number&gt;&lt;foreign-keys&gt;&lt;key app="EN" db-id="xtpvpwz0ufxa2me5tv6v2prn2ez5p9atsvtr" timestamp="1539144944"&gt;51&lt;/key&gt;&lt;/foreign-keys&gt;&lt;ref-type name="Report"&gt;27&lt;/ref-type&gt;&lt;contributors&gt;&lt;authors&gt;&lt;author&gt;Shaw, M.&lt;/author&gt;&lt;author&gt;Silburn, D.M.&lt;/author&gt;&lt;author&gt;Thornton, C.&lt;/author&gt;&lt;author&gt;Robinson, B.&lt;/author&gt;&lt;author&gt;McClymont, D.&lt;/author&gt;&lt;/authors&gt;&lt;/contributors&gt;&lt;titles&gt;&lt;title&gt; Modelling pesticide runoff from paddocks in the Great Barrier Reef with HowLeaky. MODSIM 2011, Perth WA.&lt;/title&gt;&lt;/titles&gt;&lt;dates&gt;&lt;year&gt;2011&lt;/year&gt;&lt;/dates&gt;&lt;urls&gt;&lt;/urls&gt;&lt;/record&gt;&lt;/Cite&gt;&lt;/EndNote&gt;</w:instrText>
      </w:r>
      <w:r w:rsidRPr="008C7694">
        <w:rPr>
          <w:lang w:val="en-GB" w:eastAsia="en-AU"/>
        </w:rPr>
        <w:fldChar w:fldCharType="separate"/>
      </w:r>
      <w:r>
        <w:rPr>
          <w:noProof/>
          <w:lang w:val="en-GB" w:eastAsia="en-AU"/>
        </w:rPr>
        <w:t>(Shaw et al., 2011)</w:t>
      </w:r>
      <w:r w:rsidRPr="008C7694">
        <w:rPr>
          <w:lang w:val="en-GB" w:eastAsia="en-AU"/>
        </w:rPr>
        <w:fldChar w:fldCharType="end"/>
      </w:r>
      <w:r w:rsidRPr="008C7694">
        <w:rPr>
          <w:lang w:val="en-GB" w:eastAsia="en-AU"/>
        </w:rPr>
        <w:t xml:space="preserve">. </w:t>
      </w:r>
    </w:p>
    <w:p w14:paraId="6CCDB7C7" w14:textId="77777777" w:rsidR="0059608E" w:rsidRPr="008C7694" w:rsidRDefault="00185EFD" w:rsidP="002439C8">
      <w:pPr>
        <w:pStyle w:val="Heading2"/>
        <w:jc w:val="left"/>
      </w:pPr>
      <w:bookmarkStart w:id="378" w:name="_Toc535848693"/>
      <w:bookmarkStart w:id="379" w:name="_Toc14435695"/>
      <w:bookmarkEnd w:id="378"/>
      <w:r w:rsidRPr="008C7694">
        <w:t>Hydrological</w:t>
      </w:r>
      <w:r w:rsidR="00A24F54" w:rsidRPr="008C7694">
        <w:t xml:space="preserve"> conditions in the Reef </w:t>
      </w:r>
      <w:r w:rsidR="00BF37D6">
        <w:t>basin</w:t>
      </w:r>
      <w:r w:rsidR="00A24F54" w:rsidRPr="008C7694">
        <w:t>s</w:t>
      </w:r>
      <w:bookmarkEnd w:id="379"/>
    </w:p>
    <w:p w14:paraId="2B103CCA" w14:textId="77777777" w:rsidR="00A24F54" w:rsidRDefault="00F67D6A" w:rsidP="002439C8">
      <w:pPr>
        <w:autoSpaceDE w:val="0"/>
        <w:autoSpaceDN w:val="0"/>
        <w:adjustRightInd w:val="0"/>
        <w:spacing w:line="276" w:lineRule="auto"/>
        <w:jc w:val="left"/>
      </w:pPr>
      <w:r w:rsidRPr="00BE05C8">
        <w:rPr>
          <w:lang w:val="en-AU"/>
        </w:rPr>
        <w:t>The magnitude of releases is also highly influenced by weather conditions</w:t>
      </w:r>
      <w:r w:rsidRPr="00BE05C8">
        <w:t xml:space="preserve"> </w:t>
      </w:r>
      <w:r w:rsidRPr="00BE05C8">
        <w:rPr>
          <w:lang w:val="en-AU"/>
        </w:rPr>
        <w:t xml:space="preserve">and most run-off is delivered in short-lived flood events during the wet season, forming distinct flood plumes that sometimes disperse far into the lagoon </w:t>
      </w:r>
      <w:r w:rsidRPr="00BE05C8">
        <w:rPr>
          <w:lang w:val="en-AU"/>
        </w:rPr>
        <w:fldChar w:fldCharType="begin"/>
      </w:r>
      <w:r w:rsidRPr="00BE05C8">
        <w:rPr>
          <w:lang w:val="en-AU"/>
        </w:rPr>
        <w:instrText xml:space="preserve"> ADDIN EN.CITE &lt;EndNote&gt;&lt;Cite&gt;&lt;Author&gt;Devlin&lt;/Author&gt;&lt;Year&gt;2009&lt;/Year&gt;&lt;RecNum&gt;11&lt;/RecNum&gt;&lt;DisplayText&gt;(Devlin and Schaffelke, 2009)&lt;/DisplayText&gt;&lt;record&gt;&lt;rec-number&gt;11&lt;/rec-number&gt;&lt;foreign-keys&gt;&lt;key app="EN" db-id="xtpvpwz0ufxa2me5tv6v2prn2ez5p9atsvtr" timestamp="1539144943"&gt;11&lt;/key&gt;&lt;/foreign-keys&gt;&lt;ref-type name="Journal Article"&gt;17&lt;/ref-type&gt;&lt;contributors&gt;&lt;authors&gt;&lt;author&gt;Devlin, M&lt;/author&gt;&lt;author&gt;Schaffelke, B.&lt;/author&gt;&lt;/authors&gt;&lt;/contributors&gt;&lt;titles&gt;&lt;title&gt;Spatial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Research&lt;/full-title&gt;&lt;/periodical&gt;&lt;pages&gt;1109-1122&lt;/pages&gt;&lt;volume&gt;60&lt;/volume&gt;&lt;dates&gt;&lt;year&gt;2009&lt;/year&gt;&lt;/dates&gt;&lt;urls&gt;&lt;/urls&gt;&lt;/record&gt;&lt;/Cite&gt;&lt;/EndNote&gt;</w:instrText>
      </w:r>
      <w:r w:rsidRPr="00BE05C8">
        <w:rPr>
          <w:lang w:val="en-AU"/>
        </w:rPr>
        <w:fldChar w:fldCharType="separate"/>
      </w:r>
      <w:r w:rsidRPr="00BE05C8">
        <w:rPr>
          <w:noProof/>
          <w:lang w:val="en-AU"/>
        </w:rPr>
        <w:t>(Devlin and Schaffelke, 2009)</w:t>
      </w:r>
      <w:r w:rsidRPr="00BE05C8">
        <w:rPr>
          <w:lang w:val="en-AU"/>
        </w:rPr>
        <w:fldChar w:fldCharType="end"/>
      </w:r>
      <w:r w:rsidRPr="00BE05C8">
        <w:rPr>
          <w:lang w:val="en-AU"/>
        </w:rPr>
        <w:t xml:space="preserve">. </w:t>
      </w:r>
      <w:r w:rsidR="00A24F54" w:rsidRPr="00E9556D">
        <w:t>An ov</w:t>
      </w:r>
      <w:r w:rsidR="00A24F54" w:rsidRPr="008C7694">
        <w:t xml:space="preserve">erview of the rainfall and cyclonic activity, and associated river discharge, for the Reef region is given in the following three sections. These data provide a </w:t>
      </w:r>
      <w:r w:rsidR="00525D38">
        <w:t>general</w:t>
      </w:r>
      <w:r w:rsidR="00A24F54" w:rsidRPr="008C7694">
        <w:t xml:space="preserve"> understanding of the </w:t>
      </w:r>
      <w:r w:rsidR="007D6C43" w:rsidRPr="008C7694">
        <w:t xml:space="preserve">climatic and flow </w:t>
      </w:r>
      <w:r w:rsidR="00A24F54" w:rsidRPr="008C7694">
        <w:t xml:space="preserve">conditions experienced in Reef </w:t>
      </w:r>
      <w:r w:rsidR="00BF37D6">
        <w:t>basin</w:t>
      </w:r>
      <w:r w:rsidR="00A24F54" w:rsidRPr="008C7694">
        <w:t xml:space="preserve">s in </w:t>
      </w:r>
      <w:r w:rsidR="00332DFC" w:rsidRPr="008C7694">
        <w:t>201</w:t>
      </w:r>
      <w:r w:rsidR="00332DFC">
        <w:t>7</w:t>
      </w:r>
      <w:r w:rsidR="00A24F54" w:rsidRPr="008C7694">
        <w:t>-</w:t>
      </w:r>
      <w:r w:rsidR="00332DFC" w:rsidRPr="008C7694">
        <w:t>1</w:t>
      </w:r>
      <w:r w:rsidR="00332DFC">
        <w:t>8</w:t>
      </w:r>
      <w:r w:rsidR="00332DFC" w:rsidRPr="008C7694">
        <w:t xml:space="preserve"> </w:t>
      </w:r>
      <w:r w:rsidR="00A24F54" w:rsidRPr="008C7694">
        <w:t xml:space="preserve">and allow broad comparisons with previous years. </w:t>
      </w:r>
      <w:r w:rsidR="000953F3">
        <w:t>R</w:t>
      </w:r>
      <w:r w:rsidR="00760DAE" w:rsidRPr="008C7694">
        <w:t xml:space="preserve">egional </w:t>
      </w:r>
      <w:r w:rsidR="007D6C43" w:rsidRPr="008C7694">
        <w:t>m</w:t>
      </w:r>
      <w:r w:rsidR="00A24F54" w:rsidRPr="008C7694">
        <w:t>onitoring data are presented in the context of individual rivers’ hydrographs</w:t>
      </w:r>
      <w:r w:rsidR="00760DAE" w:rsidRPr="008C7694">
        <w:t xml:space="preserve"> (river flow rates over time)</w:t>
      </w:r>
      <w:r w:rsidR="00A24F54" w:rsidRPr="008C7694">
        <w:t>.</w:t>
      </w:r>
    </w:p>
    <w:p w14:paraId="29D5CCDB" w14:textId="77777777" w:rsidR="0024078C" w:rsidRDefault="0024078C" w:rsidP="002439C8">
      <w:pPr>
        <w:autoSpaceDE w:val="0"/>
        <w:autoSpaceDN w:val="0"/>
        <w:adjustRightInd w:val="0"/>
        <w:spacing w:line="276" w:lineRule="auto"/>
        <w:jc w:val="left"/>
      </w:pPr>
    </w:p>
    <w:p w14:paraId="2E6B6B23" w14:textId="77777777" w:rsidR="00AB7AFD" w:rsidRPr="008C7694" w:rsidRDefault="00AB7AFD" w:rsidP="002439C8">
      <w:pPr>
        <w:autoSpaceDE w:val="0"/>
        <w:autoSpaceDN w:val="0"/>
        <w:adjustRightInd w:val="0"/>
        <w:spacing w:line="276" w:lineRule="auto"/>
        <w:jc w:val="left"/>
      </w:pPr>
    </w:p>
    <w:p w14:paraId="28F8CFA6" w14:textId="77777777" w:rsidR="00106413" w:rsidRPr="003313ED" w:rsidRDefault="00106413" w:rsidP="002439C8">
      <w:pPr>
        <w:pStyle w:val="Heading3"/>
        <w:jc w:val="left"/>
      </w:pPr>
      <w:bookmarkStart w:id="380" w:name="_Toc14435696"/>
      <w:r w:rsidRPr="003313ED">
        <w:t>Cyclones</w:t>
      </w:r>
      <w:bookmarkEnd w:id="380"/>
    </w:p>
    <w:p w14:paraId="6C42EAF8" w14:textId="77777777" w:rsidR="00106413" w:rsidRDefault="00106413" w:rsidP="002439C8">
      <w:pPr>
        <w:spacing w:line="276" w:lineRule="auto"/>
        <w:jc w:val="left"/>
      </w:pPr>
      <w:r>
        <w:t>No cyclones influenced the Reef in 2017-18 and only one</w:t>
      </w:r>
      <w:r w:rsidRPr="00635A34">
        <w:t xml:space="preserve"> cyclone</w:t>
      </w:r>
      <w:r>
        <w:t xml:space="preserve"> occurred</w:t>
      </w:r>
      <w:r w:rsidRPr="00635A34">
        <w:t xml:space="preserve"> in 2016–17 </w:t>
      </w:r>
      <w:r>
        <w:t>(</w:t>
      </w:r>
      <w:r w:rsidR="00A47643">
        <w:t>c</w:t>
      </w:r>
      <w:r w:rsidRPr="00635A34">
        <w:t>yclone Debbie</w:t>
      </w:r>
      <w:r>
        <w:t>)</w:t>
      </w:r>
      <w:r w:rsidRPr="00635A34">
        <w:t>,</w:t>
      </w:r>
      <w:r>
        <w:t xml:space="preserve"> which</w:t>
      </w:r>
      <w:r w:rsidRPr="00635A34">
        <w:t xml:space="preserve"> passed through the Mackay Whitsunday region</w:t>
      </w:r>
      <w:r>
        <w:t>.</w:t>
      </w:r>
      <w:r w:rsidRPr="00635A34">
        <w:t xml:space="preserve"> </w:t>
      </w:r>
    </w:p>
    <w:p w14:paraId="5E3D19DD" w14:textId="77777777" w:rsidR="00A47643" w:rsidRPr="00635A34" w:rsidRDefault="00A47643" w:rsidP="002439C8">
      <w:pPr>
        <w:spacing w:line="276" w:lineRule="auto"/>
        <w:jc w:val="left"/>
      </w:pPr>
    </w:p>
    <w:p w14:paraId="6916112B" w14:textId="77777777" w:rsidR="00106413" w:rsidRDefault="00106413" w:rsidP="002439C8">
      <w:pPr>
        <w:spacing w:line="276" w:lineRule="auto"/>
        <w:jc w:val="left"/>
      </w:pPr>
      <w:r w:rsidRPr="004C1CCA">
        <w:t xml:space="preserve">In the 11 </w:t>
      </w:r>
      <w:r w:rsidRPr="00635A34">
        <w:t>years since the MMP began in 2006–07</w:t>
      </w:r>
      <w:r>
        <w:t>, t</w:t>
      </w:r>
      <w:r w:rsidRPr="00635A34">
        <w:t xml:space="preserve">en cyclones have been Category 3 or above and have affected the health of the </w:t>
      </w:r>
      <w:r>
        <w:t>Reef</w:t>
      </w:r>
      <w:r w:rsidRPr="00635A34">
        <w:t>.</w:t>
      </w:r>
      <w:r>
        <w:t xml:space="preserve"> </w:t>
      </w:r>
    </w:p>
    <w:p w14:paraId="4D8FD118" w14:textId="77777777" w:rsidR="00A24F54" w:rsidRPr="008C7694" w:rsidRDefault="00A24F54" w:rsidP="002439C8">
      <w:pPr>
        <w:pStyle w:val="Heading3"/>
        <w:jc w:val="left"/>
      </w:pPr>
      <w:bookmarkStart w:id="381" w:name="_Toc14435697"/>
      <w:r w:rsidRPr="008C7694">
        <w:t>Rainfall</w:t>
      </w:r>
      <w:bookmarkEnd w:id="381"/>
    </w:p>
    <w:p w14:paraId="2155682D" w14:textId="7689B8AB" w:rsidR="000404EC" w:rsidRPr="00B510DB" w:rsidRDefault="004439E4" w:rsidP="002439C8">
      <w:pPr>
        <w:spacing w:line="276" w:lineRule="auto"/>
        <w:jc w:val="left"/>
        <w:rPr>
          <w:color w:val="0070C0"/>
        </w:rPr>
      </w:pPr>
      <w:r w:rsidRPr="004439E4">
        <w:t xml:space="preserve">Annual rainfall across the central and </w:t>
      </w:r>
      <w:r w:rsidR="000953F3">
        <w:t>southern</w:t>
      </w:r>
      <w:r w:rsidRPr="004439E4">
        <w:t xml:space="preserve"> </w:t>
      </w:r>
      <w:r>
        <w:t>Reef</w:t>
      </w:r>
      <w:r w:rsidRPr="004439E4">
        <w:t xml:space="preserve"> </w:t>
      </w:r>
      <w:r w:rsidR="00BF37D6">
        <w:t>basin</w:t>
      </w:r>
      <w:r w:rsidRPr="004439E4">
        <w:t xml:space="preserve">s </w:t>
      </w:r>
      <w:r w:rsidR="001A7420">
        <w:t xml:space="preserve">and Cape York </w:t>
      </w:r>
      <w:r w:rsidR="000953F3">
        <w:t>was</w:t>
      </w:r>
      <w:r w:rsidRPr="004439E4">
        <w:t xml:space="preserve"> </w:t>
      </w:r>
      <w:r w:rsidR="00E41D9A">
        <w:t xml:space="preserve">at or </w:t>
      </w:r>
      <w:r w:rsidRPr="004439E4">
        <w:t xml:space="preserve">below the wet season averages in </w:t>
      </w:r>
      <w:r w:rsidR="001B73E5">
        <w:t xml:space="preserve">2017–18 </w:t>
      </w:r>
      <w:r w:rsidR="000953F3">
        <w:t>(Figure 5), whilst t</w:t>
      </w:r>
      <w:r w:rsidRPr="00635A34">
        <w:t xml:space="preserve">he </w:t>
      </w:r>
      <w:r w:rsidR="000953F3">
        <w:t>Wet Tropics</w:t>
      </w:r>
      <w:r w:rsidRPr="00635A34">
        <w:t xml:space="preserve"> </w:t>
      </w:r>
      <w:r w:rsidR="00BF37D6">
        <w:t>basin</w:t>
      </w:r>
      <w:r w:rsidRPr="00635A34">
        <w:t xml:space="preserve">s </w:t>
      </w:r>
      <w:r w:rsidR="00106413">
        <w:t xml:space="preserve">(Mossman to Herbert) </w:t>
      </w:r>
      <w:r w:rsidR="00E41D9A">
        <w:t>recorded</w:t>
      </w:r>
      <w:r w:rsidRPr="00635A34">
        <w:t xml:space="preserve"> above average rainfall. </w:t>
      </w:r>
      <w:r w:rsidR="000953F3">
        <w:t xml:space="preserve">This is in contrast to the previous monitoring year </w:t>
      </w:r>
      <w:r w:rsidR="000953F3">
        <w:lastRenderedPageBreak/>
        <w:t>whe</w:t>
      </w:r>
      <w:r w:rsidR="00D1404D">
        <w:t>n</w:t>
      </w:r>
      <w:r w:rsidR="000953F3">
        <w:t xml:space="preserve"> the central and southern </w:t>
      </w:r>
      <w:r w:rsidR="00BF37D6">
        <w:t>basin</w:t>
      </w:r>
      <w:r w:rsidR="000953F3">
        <w:t xml:space="preserve">s experienced higher than average rainfall, largely due to </w:t>
      </w:r>
      <w:r w:rsidR="00350FE6">
        <w:t>c</w:t>
      </w:r>
      <w:r w:rsidR="00106413">
        <w:t>yclone</w:t>
      </w:r>
      <w:r w:rsidR="000953F3">
        <w:t xml:space="preserve"> Debbie. </w:t>
      </w:r>
      <w:r w:rsidR="00197074" w:rsidRPr="00635A34">
        <w:t xml:space="preserve">The first significant rainfall event </w:t>
      </w:r>
      <w:r w:rsidR="000953F3">
        <w:t xml:space="preserve">(i.e. weekly rainfall &gt;100mm) </w:t>
      </w:r>
      <w:r w:rsidR="00197074" w:rsidRPr="00635A34">
        <w:t xml:space="preserve">occurred in the </w:t>
      </w:r>
      <w:r w:rsidR="000953F3">
        <w:t>Wet Tropics</w:t>
      </w:r>
      <w:r w:rsidR="00197074" w:rsidRPr="00635A34">
        <w:t xml:space="preserve"> in</w:t>
      </w:r>
      <w:r w:rsidRPr="00635A34">
        <w:t xml:space="preserve"> early</w:t>
      </w:r>
      <w:r w:rsidR="00197074" w:rsidRPr="00635A34">
        <w:t xml:space="preserve"> </w:t>
      </w:r>
      <w:r w:rsidR="000953F3">
        <w:t>January 2018</w:t>
      </w:r>
      <w:r w:rsidR="00197074" w:rsidRPr="00635A34">
        <w:t xml:space="preserve"> </w:t>
      </w:r>
      <w:r w:rsidR="000953F3">
        <w:t xml:space="preserve">and continued until late March (Table 4). </w:t>
      </w:r>
      <w:r w:rsidR="00E41D9A">
        <w:t xml:space="preserve">Rainfall events did not occur until late February in the Mackay Whitsundays region, which experienced a second significant rainfall event in late March. </w:t>
      </w:r>
      <w:r w:rsidR="00AC0130">
        <w:t>Neither</w:t>
      </w:r>
      <w:r w:rsidR="00DB5468">
        <w:t xml:space="preserve"> </w:t>
      </w:r>
      <w:r w:rsidR="00E41D9A">
        <w:t xml:space="preserve">the Burdekin </w:t>
      </w:r>
      <w:r w:rsidR="00DB5468">
        <w:t xml:space="preserve">or </w:t>
      </w:r>
      <w:r w:rsidR="00E41D9A">
        <w:t>Fitzroy regions record</w:t>
      </w:r>
      <w:r w:rsidR="00DB5468">
        <w:t>ed</w:t>
      </w:r>
      <w:r w:rsidR="00E41D9A">
        <w:t xml:space="preserve"> weekly rainfall &gt;100mm for the entire wet season but recorded moderate rainfall events over the month of February </w:t>
      </w:r>
      <w:r w:rsidR="00197074" w:rsidRPr="00635A34">
        <w:t>(</w:t>
      </w:r>
      <w:r w:rsidR="00525D38">
        <w:t xml:space="preserve">see </w:t>
      </w:r>
      <w:r w:rsidR="00197074" w:rsidRPr="00635A34">
        <w:fldChar w:fldCharType="begin"/>
      </w:r>
      <w:r w:rsidR="00197074" w:rsidRPr="00635A34">
        <w:instrText xml:space="preserve"> REF _Ref480727353 \n \h </w:instrText>
      </w:r>
      <w:r w:rsidR="002439C8">
        <w:instrText xml:space="preserve"> \* MERGEFORMAT </w:instrText>
      </w:r>
      <w:r w:rsidR="00197074" w:rsidRPr="00635A34">
        <w:fldChar w:fldCharType="separate"/>
      </w:r>
      <w:r w:rsidR="00251B46">
        <w:t>0</w:t>
      </w:r>
      <w:r w:rsidR="00197074" w:rsidRPr="00635A34">
        <w:fldChar w:fldCharType="end"/>
      </w:r>
      <w:r w:rsidR="00525D38">
        <w:t>for more details</w:t>
      </w:r>
      <w:r w:rsidR="00197074" w:rsidRPr="00635A34">
        <w:t>).</w:t>
      </w:r>
    </w:p>
    <w:p w14:paraId="648A53BF" w14:textId="77777777" w:rsidR="000404EC" w:rsidRDefault="00874FD3" w:rsidP="002439C8">
      <w:pPr>
        <w:spacing w:line="276" w:lineRule="auto"/>
        <w:jc w:val="left"/>
      </w:pPr>
      <w:r>
        <w:rPr>
          <w:noProof/>
          <w:lang w:val="en-AU" w:eastAsia="en-AU" w:bidi="ar-SA"/>
        </w:rPr>
        <w:drawing>
          <wp:inline distT="0" distB="0" distL="0" distR="0" wp14:anchorId="77157745" wp14:editId="0D8D9AAA">
            <wp:extent cx="4708563" cy="3087309"/>
            <wp:effectExtent l="0" t="0" r="0" b="0"/>
            <wp:docPr id="21" name="Picture 21" descr="Annual average wet season rainfall (December 2017 - April 2018), as compared to the long-term wet season rainfall average (1961 – 1990). Red and blue bars denote basins with rainfall below and above the long-term average, respectively. Basins are ordered from north to south (left to right). Figure is extracted from Gruber et al 2019. " title="Fig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rainfall_2018_diff_v2.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715665" cy="3091966"/>
                    </a:xfrm>
                    <a:prstGeom prst="rect">
                      <a:avLst/>
                    </a:prstGeom>
                  </pic:spPr>
                </pic:pic>
              </a:graphicData>
            </a:graphic>
          </wp:inline>
        </w:drawing>
      </w:r>
    </w:p>
    <w:p w14:paraId="2531BC55" w14:textId="77777777" w:rsidR="00FE6E97" w:rsidRDefault="00FE6E97" w:rsidP="002439C8">
      <w:pPr>
        <w:spacing w:line="276" w:lineRule="auto"/>
        <w:jc w:val="left"/>
      </w:pPr>
    </w:p>
    <w:p w14:paraId="1FF33887" w14:textId="103ADEF7" w:rsidR="00C57149" w:rsidRPr="00CB093C" w:rsidRDefault="000404EC" w:rsidP="00C57149">
      <w:pPr>
        <w:pStyle w:val="Caption"/>
        <w:rPr>
          <w:rFonts w:cs="Arial"/>
          <w:i/>
          <w:vanish/>
          <w:color w:val="000000"/>
          <w:specVanish/>
        </w:rPr>
      </w:pPr>
      <w:bookmarkStart w:id="382" w:name="_Ref477115910"/>
      <w:bookmarkStart w:id="383" w:name="_Toc15042897"/>
      <w:bookmarkStart w:id="384" w:name="_Toc527468579"/>
      <w:r w:rsidRPr="00AB030D">
        <w:rPr>
          <w:b w:val="0"/>
        </w:rPr>
        <w:t xml:space="preserve">Figure </w:t>
      </w:r>
      <w:r w:rsidR="00C91BF5" w:rsidRPr="00AB030D">
        <w:rPr>
          <w:b w:val="0"/>
        </w:rPr>
        <w:fldChar w:fldCharType="begin"/>
      </w:r>
      <w:r w:rsidRPr="00AB030D">
        <w:rPr>
          <w:b w:val="0"/>
        </w:rPr>
        <w:instrText xml:space="preserve"> SEQ Figure \* ARABIC </w:instrText>
      </w:r>
      <w:r w:rsidR="00C91BF5" w:rsidRPr="00AB030D">
        <w:rPr>
          <w:b w:val="0"/>
        </w:rPr>
        <w:fldChar w:fldCharType="separate"/>
      </w:r>
      <w:r w:rsidR="00251B46">
        <w:rPr>
          <w:b w:val="0"/>
          <w:noProof/>
        </w:rPr>
        <w:t>5</w:t>
      </w:r>
      <w:r w:rsidR="00C91BF5" w:rsidRPr="00AB030D">
        <w:rPr>
          <w:b w:val="0"/>
        </w:rPr>
        <w:fldChar w:fldCharType="end"/>
      </w:r>
      <w:bookmarkEnd w:id="382"/>
      <w:r w:rsidRPr="00AB030D">
        <w:rPr>
          <w:b w:val="0"/>
        </w:rPr>
        <w:t>:</w:t>
      </w:r>
      <w:r>
        <w:t xml:space="preserve">  </w:t>
      </w:r>
      <w:r w:rsidRPr="00AB030D">
        <w:rPr>
          <w:b w:val="0"/>
        </w:rPr>
        <w:t xml:space="preserve">Annual average wet season rainfall (December </w:t>
      </w:r>
      <w:r w:rsidR="000953F3" w:rsidRPr="00AB030D">
        <w:rPr>
          <w:b w:val="0"/>
        </w:rPr>
        <w:t>201</w:t>
      </w:r>
      <w:r w:rsidR="000953F3">
        <w:rPr>
          <w:b w:val="0"/>
        </w:rPr>
        <w:t>7</w:t>
      </w:r>
      <w:r w:rsidR="000953F3" w:rsidRPr="00AB030D">
        <w:rPr>
          <w:b w:val="0"/>
        </w:rPr>
        <w:t xml:space="preserve"> </w:t>
      </w:r>
      <w:r w:rsidRPr="00AB030D">
        <w:rPr>
          <w:b w:val="0"/>
        </w:rPr>
        <w:t xml:space="preserve">- April </w:t>
      </w:r>
      <w:r w:rsidR="000953F3" w:rsidRPr="00AB030D">
        <w:rPr>
          <w:b w:val="0"/>
        </w:rPr>
        <w:t>201</w:t>
      </w:r>
      <w:r w:rsidR="000953F3">
        <w:rPr>
          <w:b w:val="0"/>
        </w:rPr>
        <w:t>8</w:t>
      </w:r>
      <w:r w:rsidRPr="00AB030D">
        <w:rPr>
          <w:b w:val="0"/>
        </w:rPr>
        <w:t>), as compared to the long-term wet season rainfall average (1961 – 1990).</w:t>
      </w:r>
      <w:bookmarkEnd w:id="383"/>
    </w:p>
    <w:p w14:paraId="29BBB894" w14:textId="77777777" w:rsidR="00F427DE" w:rsidRDefault="000404EC" w:rsidP="002439C8">
      <w:pPr>
        <w:pStyle w:val="Caption"/>
      </w:pPr>
      <w:r w:rsidRPr="00AB030D">
        <w:rPr>
          <w:b w:val="0"/>
        </w:rPr>
        <w:t xml:space="preserve"> </w:t>
      </w:r>
      <w:r w:rsidRPr="00AB030D">
        <w:rPr>
          <w:rStyle w:val="IntenseReference"/>
          <w:rFonts w:eastAsiaTheme="majorEastAsia"/>
          <w:color w:val="auto"/>
          <w:u w:val="none"/>
        </w:rPr>
        <w:t xml:space="preserve">Red </w:t>
      </w:r>
      <w:r w:rsidR="00B510DB">
        <w:rPr>
          <w:rStyle w:val="IntenseReference"/>
          <w:rFonts w:eastAsiaTheme="majorEastAsia"/>
          <w:color w:val="auto"/>
          <w:u w:val="none"/>
        </w:rPr>
        <w:t xml:space="preserve">and blue </w:t>
      </w:r>
      <w:r w:rsidRPr="00AB030D">
        <w:rPr>
          <w:rStyle w:val="IntenseReference"/>
          <w:rFonts w:eastAsiaTheme="majorEastAsia"/>
          <w:color w:val="auto"/>
          <w:u w:val="none"/>
        </w:rPr>
        <w:t xml:space="preserve">bars denote </w:t>
      </w:r>
      <w:r w:rsidR="00BF37D6">
        <w:rPr>
          <w:rStyle w:val="IntenseReference"/>
          <w:rFonts w:eastAsiaTheme="majorEastAsia"/>
          <w:color w:val="auto"/>
          <w:u w:val="none"/>
        </w:rPr>
        <w:t>basin</w:t>
      </w:r>
      <w:r w:rsidRPr="00AB030D">
        <w:rPr>
          <w:rStyle w:val="IntenseReference"/>
          <w:rFonts w:eastAsiaTheme="majorEastAsia"/>
          <w:color w:val="auto"/>
          <w:u w:val="none"/>
        </w:rPr>
        <w:t xml:space="preserve">s with rainfall below </w:t>
      </w:r>
      <w:r w:rsidR="00B510DB">
        <w:rPr>
          <w:rStyle w:val="IntenseReference"/>
          <w:rFonts w:eastAsiaTheme="majorEastAsia"/>
          <w:color w:val="auto"/>
          <w:u w:val="none"/>
        </w:rPr>
        <w:t>and</w:t>
      </w:r>
      <w:r w:rsidRPr="00AB030D">
        <w:rPr>
          <w:rStyle w:val="IntenseReference"/>
          <w:rFonts w:eastAsiaTheme="majorEastAsia"/>
          <w:color w:val="auto"/>
          <w:u w:val="none"/>
        </w:rPr>
        <w:t xml:space="preserve"> above the long-term average</w:t>
      </w:r>
      <w:r w:rsidR="00B510DB">
        <w:rPr>
          <w:rStyle w:val="IntenseReference"/>
          <w:rFonts w:eastAsiaTheme="majorEastAsia"/>
          <w:color w:val="auto"/>
          <w:u w:val="none"/>
        </w:rPr>
        <w:t>, respectively</w:t>
      </w:r>
      <w:r w:rsidRPr="00AB030D">
        <w:rPr>
          <w:rStyle w:val="IntenseReference"/>
          <w:rFonts w:eastAsiaTheme="majorEastAsia"/>
          <w:color w:val="auto"/>
          <w:u w:val="none"/>
        </w:rPr>
        <w:t>.</w:t>
      </w:r>
      <w:r>
        <w:rPr>
          <w:rStyle w:val="IntenseReference"/>
          <w:rFonts w:eastAsiaTheme="majorEastAsia"/>
          <w:color w:val="auto"/>
          <w:u w:val="none"/>
        </w:rPr>
        <w:t xml:space="preserve"> </w:t>
      </w:r>
      <w:r w:rsidR="00BF37D6">
        <w:rPr>
          <w:rStyle w:val="IntenseReference"/>
          <w:rFonts w:eastAsiaTheme="majorEastAsia"/>
          <w:color w:val="auto"/>
          <w:u w:val="none"/>
        </w:rPr>
        <w:t>Basin</w:t>
      </w:r>
      <w:r w:rsidR="00B510DB" w:rsidRPr="00B510DB">
        <w:rPr>
          <w:rStyle w:val="IntenseReference"/>
          <w:rFonts w:eastAsiaTheme="majorEastAsia"/>
          <w:color w:val="auto"/>
          <w:u w:val="none"/>
        </w:rPr>
        <w:t>s are ordered from north to south (left to right).</w:t>
      </w:r>
      <w:r w:rsidR="00B510DB">
        <w:rPr>
          <w:rStyle w:val="IntenseReference"/>
          <w:rFonts w:eastAsiaTheme="majorEastAsia"/>
          <w:color w:val="auto"/>
          <w:u w:val="none"/>
        </w:rPr>
        <w:t xml:space="preserve"> </w:t>
      </w:r>
      <w:r w:rsidR="00A47643">
        <w:rPr>
          <w:rStyle w:val="IntenseReference"/>
          <w:rFonts w:eastAsiaTheme="majorEastAsia"/>
          <w:color w:val="auto"/>
          <w:u w:val="none"/>
        </w:rPr>
        <w:t>Figure is extracted from</w:t>
      </w:r>
      <w:r w:rsidR="004033E4" w:rsidRPr="00A47643">
        <w:rPr>
          <w:rStyle w:val="IntenseReference"/>
          <w:rFonts w:eastAsiaTheme="majorEastAsia"/>
          <w:color w:val="auto"/>
          <w:u w:val="none"/>
        </w:rPr>
        <w:t xml:space="preserve"> </w:t>
      </w:r>
      <w:bookmarkEnd w:id="384"/>
      <w:r w:rsidR="004033E4" w:rsidRPr="00A47643">
        <w:rPr>
          <w:rStyle w:val="IntenseReference"/>
          <w:rFonts w:eastAsiaTheme="majorEastAsia"/>
          <w:color w:val="auto"/>
          <w:u w:val="none"/>
        </w:rPr>
        <w:t>Gruber et al 2019</w:t>
      </w:r>
      <w:r w:rsidR="00A47643">
        <w:rPr>
          <w:rStyle w:val="IntenseReference"/>
          <w:rFonts w:eastAsiaTheme="majorEastAsia"/>
          <w:color w:val="auto"/>
          <w:u w:val="none"/>
        </w:rPr>
        <w:t>.</w:t>
      </w:r>
      <w:r w:rsidR="004033E4">
        <w:rPr>
          <w:rStyle w:val="IntenseReference"/>
          <w:rFonts w:eastAsiaTheme="majorEastAsia"/>
          <w:color w:val="auto"/>
          <w:u w:val="none"/>
        </w:rPr>
        <w:t xml:space="preserve"> </w:t>
      </w:r>
    </w:p>
    <w:p w14:paraId="21A4D8B7" w14:textId="77777777" w:rsidR="0059608E" w:rsidRDefault="0059608E" w:rsidP="002439C8">
      <w:pPr>
        <w:spacing w:line="276" w:lineRule="auto"/>
        <w:jc w:val="left"/>
        <w:sectPr w:rsidR="0059608E" w:rsidSect="009E5D22">
          <w:footerReference w:type="default" r:id="rId34"/>
          <w:type w:val="continuous"/>
          <w:pgSz w:w="11907" w:h="16840" w:code="9"/>
          <w:pgMar w:top="1440" w:right="1440" w:bottom="1440" w:left="1440" w:header="709" w:footer="709" w:gutter="0"/>
          <w:cols w:space="708"/>
          <w:docGrid w:linePitch="360"/>
        </w:sectPr>
      </w:pPr>
    </w:p>
    <w:p w14:paraId="4C1A9AE1" w14:textId="77777777" w:rsidR="00D9470C" w:rsidRDefault="00D9470C" w:rsidP="002439C8">
      <w:pPr>
        <w:jc w:val="left"/>
      </w:pPr>
      <w:bookmarkStart w:id="385" w:name="_Ref480727419"/>
      <w:bookmarkStart w:id="386" w:name="_Toc527468596"/>
    </w:p>
    <w:p w14:paraId="3D8870FD" w14:textId="77777777" w:rsidR="00C57149" w:rsidRPr="00CB093C" w:rsidRDefault="00210B7C" w:rsidP="00C57149">
      <w:pPr>
        <w:pStyle w:val="Caption"/>
        <w:rPr>
          <w:rFonts w:cs="Arial"/>
          <w:i/>
          <w:vanish/>
          <w:color w:val="000000"/>
          <w:specVanish/>
        </w:rPr>
      </w:pPr>
      <w:bookmarkStart w:id="387" w:name="_Toc14435324"/>
      <w:r w:rsidRPr="00210B7C">
        <w:rPr>
          <w:b w:val="0"/>
        </w:rPr>
        <w:t xml:space="preserve">Table </w:t>
      </w:r>
      <w:r w:rsidR="00C91BF5" w:rsidRPr="00210B7C">
        <w:rPr>
          <w:b w:val="0"/>
        </w:rPr>
        <w:fldChar w:fldCharType="begin"/>
      </w:r>
      <w:r w:rsidRPr="00210B7C">
        <w:rPr>
          <w:b w:val="0"/>
        </w:rPr>
        <w:instrText xml:space="preserve"> SEQ Table \* ARABIC </w:instrText>
      </w:r>
      <w:r w:rsidR="00C91BF5" w:rsidRPr="00210B7C">
        <w:rPr>
          <w:b w:val="0"/>
        </w:rPr>
        <w:fldChar w:fldCharType="separate"/>
      </w:r>
      <w:r w:rsidR="00251B46">
        <w:rPr>
          <w:b w:val="0"/>
          <w:noProof/>
        </w:rPr>
        <w:t>3</w:t>
      </w:r>
      <w:r w:rsidR="00C91BF5" w:rsidRPr="00210B7C">
        <w:rPr>
          <w:b w:val="0"/>
        </w:rPr>
        <w:fldChar w:fldCharType="end"/>
      </w:r>
      <w:bookmarkEnd w:id="385"/>
      <w:r w:rsidR="00747824">
        <w:rPr>
          <w:b w:val="0"/>
        </w:rPr>
        <w:t xml:space="preserve">: </w:t>
      </w:r>
      <w:r w:rsidR="008B15F3" w:rsidRPr="00747824">
        <w:rPr>
          <w:b w:val="0"/>
        </w:rPr>
        <w:tab/>
      </w:r>
      <w:r w:rsidR="000001D7" w:rsidRPr="00747824">
        <w:rPr>
          <w:b w:val="0"/>
        </w:rPr>
        <w:t xml:space="preserve">Weekly mean </w:t>
      </w:r>
      <w:r w:rsidR="00BF37D6">
        <w:rPr>
          <w:b w:val="0"/>
        </w:rPr>
        <w:t>basin</w:t>
      </w:r>
      <w:r w:rsidR="000001D7" w:rsidRPr="00747824">
        <w:rPr>
          <w:b w:val="0"/>
        </w:rPr>
        <w:t xml:space="preserve"> rainfall (mm) in </w:t>
      </w:r>
      <w:r w:rsidR="00BF37D6">
        <w:rPr>
          <w:b w:val="0"/>
        </w:rPr>
        <w:t>basin</w:t>
      </w:r>
      <w:r w:rsidR="000001D7" w:rsidRPr="00747824">
        <w:rPr>
          <w:b w:val="0"/>
        </w:rPr>
        <w:t xml:space="preserve">s adjacent to fixed passive sampler sites during the </w:t>
      </w:r>
      <w:r w:rsidR="00E62051">
        <w:rPr>
          <w:b w:val="0"/>
        </w:rPr>
        <w:t>2017</w:t>
      </w:r>
      <w:r w:rsidR="00070AE2">
        <w:rPr>
          <w:b w:val="0"/>
        </w:rPr>
        <w:t>-</w:t>
      </w:r>
      <w:r w:rsidR="00E62051">
        <w:rPr>
          <w:b w:val="0"/>
        </w:rPr>
        <w:t>18</w:t>
      </w:r>
      <w:r w:rsidR="00E62051" w:rsidRPr="00747824">
        <w:rPr>
          <w:b w:val="0"/>
        </w:rPr>
        <w:t xml:space="preserve"> </w:t>
      </w:r>
      <w:r w:rsidR="000001D7" w:rsidRPr="00747824">
        <w:rPr>
          <w:b w:val="0"/>
        </w:rPr>
        <w:t>wet season</w:t>
      </w:r>
      <w:bookmarkEnd w:id="387"/>
    </w:p>
    <w:p w14:paraId="33B47EA2" w14:textId="77777777" w:rsidR="00665500" w:rsidRPr="00D32A76" w:rsidRDefault="000001D7" w:rsidP="002439C8">
      <w:pPr>
        <w:pStyle w:val="Caption"/>
        <w:keepNext/>
        <w:spacing w:line="276" w:lineRule="auto"/>
        <w:rPr>
          <w:b w:val="0"/>
        </w:rPr>
      </w:pPr>
      <w:r w:rsidRPr="00747824">
        <w:rPr>
          <w:b w:val="0"/>
        </w:rPr>
        <w:t xml:space="preserve"> (beginning 1 December </w:t>
      </w:r>
      <w:r w:rsidR="00E62051" w:rsidRPr="00747824">
        <w:rPr>
          <w:b w:val="0"/>
        </w:rPr>
        <w:t>201</w:t>
      </w:r>
      <w:r w:rsidR="00E62051">
        <w:rPr>
          <w:b w:val="0"/>
        </w:rPr>
        <w:t>7</w:t>
      </w:r>
      <w:r w:rsidRPr="00747824">
        <w:rPr>
          <w:b w:val="0"/>
        </w:rPr>
        <w:t>)</w:t>
      </w:r>
      <w:r w:rsidR="00D32A76">
        <w:rPr>
          <w:b w:val="0"/>
        </w:rPr>
        <w:t xml:space="preserve">. </w:t>
      </w:r>
      <w:r w:rsidR="00A80D8F">
        <w:rPr>
          <w:b w:val="0"/>
        </w:rPr>
        <w:t>Data</w:t>
      </w:r>
      <w:r w:rsidR="00D32A76" w:rsidRPr="00D32A76">
        <w:rPr>
          <w:b w:val="0"/>
        </w:rPr>
        <w:t xml:space="preserve"> provided by Dieter Tracey, JCU</w:t>
      </w:r>
      <w:bookmarkEnd w:id="386"/>
    </w:p>
    <w:p w14:paraId="2E6ADEF9" w14:textId="77777777" w:rsidR="008B15F3" w:rsidRPr="00D32A76" w:rsidRDefault="000953F3" w:rsidP="002439C8">
      <w:pPr>
        <w:spacing w:line="276" w:lineRule="auto"/>
        <w:jc w:val="left"/>
      </w:pPr>
      <w:r w:rsidRPr="000953F3">
        <w:rPr>
          <w:noProof/>
          <w:lang w:val="en-AU" w:eastAsia="en-AU" w:bidi="ar-SA"/>
        </w:rPr>
        <w:drawing>
          <wp:inline distT="0" distB="0" distL="0" distR="0" wp14:anchorId="0C732455" wp14:editId="14186B4C">
            <wp:extent cx="8815517" cy="2165276"/>
            <wp:effectExtent l="0" t="0" r="5080" b="6985"/>
            <wp:docPr id="24" name="Picture 24" descr="Weekly mean basin rainfall (mm) in basins adjacent to fixed passive sampler sites during the 2017-18 wet season (beginning 1 December 2017). Data provided by Dieter Tracey, JCU" title="Tabl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857980" cy="2175706"/>
                    </a:xfrm>
                    <a:prstGeom prst="rect">
                      <a:avLst/>
                    </a:prstGeom>
                    <a:noFill/>
                    <a:ln>
                      <a:noFill/>
                    </a:ln>
                  </pic:spPr>
                </pic:pic>
              </a:graphicData>
            </a:graphic>
          </wp:inline>
        </w:drawing>
      </w:r>
    </w:p>
    <w:p w14:paraId="54F8D34B" w14:textId="77777777" w:rsidR="009C1453" w:rsidRDefault="00DF5CD0" w:rsidP="002439C8">
      <w:pPr>
        <w:spacing w:line="276" w:lineRule="auto"/>
        <w:jc w:val="left"/>
        <w:rPr>
          <w:sz w:val="18"/>
        </w:rPr>
      </w:pPr>
      <w:r>
        <w:rPr>
          <w:sz w:val="18"/>
        </w:rPr>
        <w:t>Colour gradient</w:t>
      </w:r>
      <w:r w:rsidR="00B92CD7">
        <w:rPr>
          <w:sz w:val="18"/>
        </w:rPr>
        <w:t>:</w:t>
      </w:r>
      <w:r>
        <w:rPr>
          <w:sz w:val="18"/>
        </w:rPr>
        <w:t xml:space="preserve"> </w:t>
      </w:r>
      <w:r w:rsidR="00E56D43">
        <w:rPr>
          <w:sz w:val="18"/>
        </w:rPr>
        <w:t xml:space="preserve">Red indicates </w:t>
      </w:r>
      <w:r w:rsidR="00B92CD7">
        <w:rPr>
          <w:sz w:val="18"/>
        </w:rPr>
        <w:t>the highest value</w:t>
      </w:r>
      <w:r w:rsidR="00E56D43">
        <w:rPr>
          <w:sz w:val="18"/>
        </w:rPr>
        <w:t xml:space="preserve">, </w:t>
      </w:r>
      <w:r w:rsidR="00B92CD7">
        <w:rPr>
          <w:sz w:val="18"/>
        </w:rPr>
        <w:t>yellow represents the 50</w:t>
      </w:r>
      <w:r w:rsidR="00B92CD7" w:rsidRPr="00314346">
        <w:rPr>
          <w:sz w:val="18"/>
          <w:vertAlign w:val="superscript"/>
        </w:rPr>
        <w:t>th</w:t>
      </w:r>
      <w:r w:rsidR="00B92CD7">
        <w:rPr>
          <w:sz w:val="18"/>
        </w:rPr>
        <w:t xml:space="preserve"> percentile </w:t>
      </w:r>
      <w:r w:rsidR="00E56D43">
        <w:rPr>
          <w:sz w:val="18"/>
        </w:rPr>
        <w:t xml:space="preserve">and green </w:t>
      </w:r>
      <w:r w:rsidR="00B92CD7">
        <w:rPr>
          <w:sz w:val="18"/>
        </w:rPr>
        <w:t>represents the lowest value</w:t>
      </w:r>
      <w:r w:rsidR="005C069F">
        <w:rPr>
          <w:sz w:val="18"/>
        </w:rPr>
        <w:t>.</w:t>
      </w:r>
    </w:p>
    <w:p w14:paraId="68CEC01B" w14:textId="77777777" w:rsidR="0025341A" w:rsidRPr="00BE05C8" w:rsidRDefault="0025341A" w:rsidP="002439C8">
      <w:pPr>
        <w:jc w:val="left"/>
      </w:pPr>
    </w:p>
    <w:p w14:paraId="5EACC02C" w14:textId="77777777" w:rsidR="00D9470C" w:rsidRPr="00E56D43" w:rsidRDefault="00D9470C" w:rsidP="002439C8">
      <w:pPr>
        <w:jc w:val="left"/>
      </w:pPr>
    </w:p>
    <w:p w14:paraId="24553532" w14:textId="77777777" w:rsidR="0059608E" w:rsidRPr="00E56D43" w:rsidRDefault="0059608E" w:rsidP="002439C8">
      <w:pPr>
        <w:spacing w:line="276" w:lineRule="auto"/>
        <w:jc w:val="left"/>
        <w:sectPr w:rsidR="0059608E" w:rsidRPr="00E56D43" w:rsidSect="009E5D22">
          <w:type w:val="continuous"/>
          <w:pgSz w:w="16840" w:h="11907" w:orient="landscape" w:code="9"/>
          <w:pgMar w:top="1440" w:right="1440" w:bottom="1440" w:left="1440" w:header="709" w:footer="709" w:gutter="0"/>
          <w:cols w:space="708"/>
          <w:docGrid w:linePitch="360"/>
        </w:sectPr>
      </w:pPr>
    </w:p>
    <w:p w14:paraId="73E69780" w14:textId="77777777" w:rsidR="0059608E" w:rsidRPr="004C1CCA" w:rsidRDefault="0059608E" w:rsidP="002439C8">
      <w:pPr>
        <w:pStyle w:val="Heading3"/>
        <w:jc w:val="left"/>
      </w:pPr>
      <w:bookmarkStart w:id="388" w:name="_Toc535848697"/>
      <w:bookmarkStart w:id="389" w:name="_Toc535848698"/>
      <w:bookmarkStart w:id="390" w:name="_Toc535848699"/>
      <w:bookmarkStart w:id="391" w:name="_Toc535848701"/>
      <w:bookmarkStart w:id="392" w:name="_Toc455069457"/>
      <w:bookmarkStart w:id="393" w:name="_Toc455070107"/>
      <w:bookmarkStart w:id="394" w:name="_Toc455070379"/>
      <w:bookmarkStart w:id="395" w:name="_Toc455151766"/>
      <w:bookmarkStart w:id="396" w:name="_Toc455069458"/>
      <w:bookmarkStart w:id="397" w:name="_Toc455070108"/>
      <w:bookmarkStart w:id="398" w:name="_Toc455070380"/>
      <w:bookmarkStart w:id="399" w:name="_Toc455151767"/>
      <w:bookmarkStart w:id="400" w:name="_Toc461457765"/>
      <w:bookmarkStart w:id="401" w:name="_Toc14435698"/>
      <w:bookmarkEnd w:id="388"/>
      <w:bookmarkEnd w:id="389"/>
      <w:bookmarkEnd w:id="390"/>
      <w:bookmarkEnd w:id="391"/>
      <w:bookmarkEnd w:id="392"/>
      <w:bookmarkEnd w:id="393"/>
      <w:bookmarkEnd w:id="394"/>
      <w:bookmarkEnd w:id="395"/>
      <w:bookmarkEnd w:id="396"/>
      <w:bookmarkEnd w:id="397"/>
      <w:bookmarkEnd w:id="398"/>
      <w:bookmarkEnd w:id="399"/>
      <w:r w:rsidRPr="004C1CCA">
        <w:lastRenderedPageBreak/>
        <w:t>River discharge</w:t>
      </w:r>
      <w:bookmarkEnd w:id="400"/>
      <w:bookmarkEnd w:id="401"/>
    </w:p>
    <w:p w14:paraId="704F0F9E" w14:textId="77777777" w:rsidR="004B69DA" w:rsidRDefault="00F3659D" w:rsidP="002439C8">
      <w:pPr>
        <w:spacing w:line="276" w:lineRule="auto"/>
        <w:jc w:val="left"/>
      </w:pPr>
      <w:r w:rsidRPr="00F3659D">
        <w:t xml:space="preserve">Rivers located in the northern </w:t>
      </w:r>
      <w:r w:rsidR="00BF37D6">
        <w:t>basin</w:t>
      </w:r>
      <w:r w:rsidRPr="00F3659D">
        <w:t xml:space="preserve">s typically flow year-round, whereas rivers located in the </w:t>
      </w:r>
      <w:r w:rsidR="00913F7E" w:rsidRPr="00F3659D">
        <w:t>drier</w:t>
      </w:r>
      <w:r w:rsidRPr="00F3659D">
        <w:t xml:space="preserve"> southern </w:t>
      </w:r>
      <w:r w:rsidR="00BF37D6">
        <w:t>basin</w:t>
      </w:r>
      <w:r w:rsidRPr="00F3659D">
        <w:t xml:space="preserve">s only flood periodically following large rain events during summer </w:t>
      </w:r>
      <w:r w:rsidRPr="00F3659D">
        <w:fldChar w:fldCharType="begin"/>
      </w:r>
      <w:r w:rsidR="002D0872">
        <w:instrText xml:space="preserve"> ADDIN EN.CITE &lt;EndNote&gt;&lt;Cite&gt;&lt;Author&gt;Lewis&lt;/Author&gt;&lt;Year&gt;2006&lt;/Year&gt;&lt;RecNum&gt;52&lt;/RecNum&gt;&lt;DisplayText&gt;(Larson et al., 2013; Lewis et al., 2006)&lt;/DisplayText&gt;&lt;record&gt;&lt;rec-number&gt;52&lt;/rec-number&gt;&lt;foreign-keys&gt;&lt;key app="EN" db-id="xtpvpwz0ufxa2me5tv6v2prn2ez5p9atsvtr" timestamp="1539144944"&gt;52&lt;/key&gt;&lt;/foreign-keys&gt;&lt;ref-type name="Report"&gt;27&lt;/ref-type&gt;&lt;contributors&gt;&lt;authors&gt;&lt;author&gt;Lewis, S.&lt;/author&gt;&lt;author&gt;Brodie, J. E.&lt;/author&gt;&lt;author&gt;Ledee, E.&lt;/author&gt;&lt;author&gt;Alewijnse, M&lt;/author&gt;&lt;/authors&gt;&lt;/contributors&gt;&lt;titles&gt;&lt;title&gt;The Spatial Extent of Delivery of Terrestrial Materials from the Burdekin Region in the GBR Lagoon ACTFR Report No. 06/02 &lt;/title&gt;&lt;/titles&gt;&lt;dates&gt;&lt;year&gt;2006&lt;/year&gt;&lt;/dates&gt;&lt;pub-location&gt;Australian Centre for Tropical Freshwater Research,  Burdekin Dry Tropics NRM&lt;/pub-location&gt;&lt;urls&gt;&lt;/urls&gt;&lt;/record&gt;&lt;/Cite&gt;&lt;Cite&gt;&lt;Author&gt;Larson&lt;/Author&gt;&lt;Year&gt;2013&lt;/Year&gt;&lt;RecNum&gt;53&lt;/RecNum&gt;&lt;record&gt;&lt;rec-number&gt;53&lt;/rec-number&gt;&lt;foreign-keys&gt;&lt;key app="EN" db-id="xtpvpwz0ufxa2me5tv6v2prn2ez5p9atsvtr" timestamp="1539144944"&gt;53&lt;/key&gt;&lt;/foreign-keys&gt;&lt;ref-type name="Report"&gt;27&lt;/ref-type&gt;&lt;contributors&gt;&lt;authors&gt;&lt;author&gt;Larson, J.&lt;/author&gt;&lt;author&gt;Leon, J.&lt;/author&gt;&lt;author&gt;McGrath, C.&lt;/author&gt;&lt;author&gt;Trancoso, R.&lt;/author&gt;&lt;/authors&gt;&lt;/contributors&gt;&lt;titles&gt;&lt;title&gt;Review of the catchment processes relevant to the Great Barrier Reef region&lt;/title&gt;&lt;/titles&gt;&lt;dates&gt;&lt;year&gt;2013&lt;/year&gt;&lt;/dates&gt;&lt;pub-location&gt;Great Barrier Reef Marine Park Authority, Townsville&lt;/pub-location&gt;&lt;urls&gt;&lt;related-urls&gt;&lt;url&gt;http://elibrary.gbrmpa.gov.au/jspui/bitstream/11017/2907/2/Hydrology_catchment_great_barrier_reef.pdf&lt;/url&gt;&lt;/related-urls&gt;&lt;/urls&gt;&lt;/record&gt;&lt;/Cite&gt;&lt;/EndNote&gt;</w:instrText>
      </w:r>
      <w:r w:rsidRPr="00F3659D">
        <w:fldChar w:fldCharType="separate"/>
      </w:r>
      <w:r w:rsidR="002D0872">
        <w:rPr>
          <w:noProof/>
        </w:rPr>
        <w:t>(Larson et al., 2013; Lewis et al., 2006)</w:t>
      </w:r>
      <w:r w:rsidRPr="00F3659D">
        <w:fldChar w:fldCharType="end"/>
      </w:r>
      <w:r w:rsidRPr="00F3659D">
        <w:t xml:space="preserve">. </w:t>
      </w:r>
      <w:r w:rsidR="006C28D5" w:rsidRPr="00F3659D">
        <w:t xml:space="preserve">The differences in the timing, duration and intensity of rainfall between the northern and southern Reef </w:t>
      </w:r>
      <w:r w:rsidR="00BF37D6">
        <w:t>basin</w:t>
      </w:r>
      <w:r w:rsidR="006C28D5" w:rsidRPr="00F3659D">
        <w:t>s contribute to the pattern of pesticide discharge to the marine environment.</w:t>
      </w:r>
      <w:r w:rsidR="006C28D5">
        <w:t xml:space="preserve"> </w:t>
      </w:r>
    </w:p>
    <w:p w14:paraId="241725FF" w14:textId="77777777" w:rsidR="004B69DA" w:rsidRDefault="004B69DA" w:rsidP="002439C8">
      <w:pPr>
        <w:spacing w:line="276" w:lineRule="auto"/>
        <w:jc w:val="left"/>
      </w:pPr>
    </w:p>
    <w:p w14:paraId="3E4466C6" w14:textId="77777777" w:rsidR="0024078C" w:rsidRPr="00BE05C8" w:rsidRDefault="00454FD3" w:rsidP="0024078C">
      <w:pPr>
        <w:spacing w:line="276" w:lineRule="auto"/>
        <w:jc w:val="left"/>
      </w:pPr>
      <w:r w:rsidRPr="00F3659D">
        <w:rPr>
          <w:lang w:val="en-AU"/>
        </w:rPr>
        <w:t xml:space="preserve">Total annual discharge </w:t>
      </w:r>
      <w:r w:rsidRPr="00F3659D">
        <w:t>of freshwater (based on corrected gauge values for the hydrological year) into the Reef lagoon in 201</w:t>
      </w:r>
      <w:r>
        <w:t>7</w:t>
      </w:r>
      <w:r w:rsidRPr="00F3659D">
        <w:t>-1</w:t>
      </w:r>
      <w:r>
        <w:t>8</w:t>
      </w:r>
      <w:r w:rsidRPr="00F3659D">
        <w:t xml:space="preserve"> was </w:t>
      </w:r>
      <w:r w:rsidR="000E07CE">
        <w:t>equal</w:t>
      </w:r>
      <w:r w:rsidR="000E07CE" w:rsidRPr="00F3659D">
        <w:t xml:space="preserve"> </w:t>
      </w:r>
      <w:r w:rsidRPr="00F3659D">
        <w:t xml:space="preserve">to the long term median </w:t>
      </w:r>
      <w:r w:rsidR="000E07CE">
        <w:t xml:space="preserve">discharge over the last 15 years </w:t>
      </w:r>
      <w:r w:rsidRPr="00F3659D">
        <w:t>(</w:t>
      </w:r>
      <w:r w:rsidRPr="00F3659D">
        <w:fldChar w:fldCharType="begin"/>
      </w:r>
      <w:r w:rsidRPr="00F3659D">
        <w:instrText xml:space="preserve"> REF _Ref477149849 \h  \* MERGEFORMAT </w:instrText>
      </w:r>
      <w:r w:rsidRPr="00F3659D">
        <w:fldChar w:fldCharType="separate"/>
      </w:r>
      <w:r w:rsidR="00251B46" w:rsidRPr="00747824">
        <w:t xml:space="preserve">Figure </w:t>
      </w:r>
      <w:r w:rsidR="00251B46" w:rsidRPr="00251B46">
        <w:t>6</w:t>
      </w:r>
      <w:r w:rsidRPr="00F3659D">
        <w:fldChar w:fldCharType="end"/>
      </w:r>
      <w:r w:rsidRPr="00F3659D">
        <w:t xml:space="preserve">). </w:t>
      </w:r>
      <w:r w:rsidR="0024078C">
        <w:rPr>
          <w:lang w:val="en-AU"/>
        </w:rPr>
        <w:t xml:space="preserve">Despite this close to median discharge, total discharge from rivers located in the Wet Tropics and Burdekin were the highest recorded in the previous three years </w:t>
      </w:r>
      <w:r w:rsidR="0024078C" w:rsidRPr="00F3659D">
        <w:t>(</w:t>
      </w:r>
      <w:r w:rsidR="0024078C" w:rsidRPr="00F3659D">
        <w:fldChar w:fldCharType="begin"/>
      </w:r>
      <w:r w:rsidR="0024078C" w:rsidRPr="00F3659D">
        <w:instrText xml:space="preserve"> REF _Ref502465508 \h  \* MERGEFORMAT </w:instrText>
      </w:r>
      <w:r w:rsidR="0024078C" w:rsidRPr="00F3659D">
        <w:fldChar w:fldCharType="separate"/>
      </w:r>
      <w:r w:rsidR="00251B46" w:rsidRPr="00C57149">
        <w:t xml:space="preserve">Figure </w:t>
      </w:r>
      <w:r w:rsidR="00251B46" w:rsidRPr="00251B46">
        <w:t>7</w:t>
      </w:r>
      <w:r w:rsidR="0024078C" w:rsidRPr="00F3659D">
        <w:fldChar w:fldCharType="end"/>
      </w:r>
      <w:r w:rsidR="0024078C" w:rsidRPr="00F3659D">
        <w:t>)</w:t>
      </w:r>
      <w:r w:rsidR="0024078C" w:rsidRPr="004C1CCA">
        <w:rPr>
          <w:lang w:val="en-AU"/>
        </w:rPr>
        <w:t>.</w:t>
      </w:r>
    </w:p>
    <w:p w14:paraId="5983EFED" w14:textId="77777777" w:rsidR="00FE6E97" w:rsidRDefault="00FE6E97" w:rsidP="002439C8">
      <w:pPr>
        <w:spacing w:line="276" w:lineRule="auto"/>
        <w:jc w:val="left"/>
      </w:pPr>
    </w:p>
    <w:p w14:paraId="17C57FCA" w14:textId="08DA66EF" w:rsidR="008C0F64" w:rsidRDefault="00FE6E97" w:rsidP="002439C8">
      <w:pPr>
        <w:spacing w:line="276" w:lineRule="auto"/>
        <w:jc w:val="left"/>
        <w:rPr>
          <w:lang w:val="en-AU"/>
        </w:rPr>
      </w:pPr>
      <w:r>
        <w:t xml:space="preserve">With the exception of the Herbert River, </w:t>
      </w:r>
      <w:r>
        <w:rPr>
          <w:lang w:val="en-AU"/>
        </w:rPr>
        <w:t>a</w:t>
      </w:r>
      <w:r w:rsidRPr="00F3659D">
        <w:rPr>
          <w:lang w:val="en-AU"/>
        </w:rPr>
        <w:t xml:space="preserve">ll regions </w:t>
      </w:r>
      <w:r>
        <w:rPr>
          <w:lang w:val="en-AU"/>
        </w:rPr>
        <w:t xml:space="preserve">where passive or grab sampling sites were located in 2017-18 </w:t>
      </w:r>
      <w:r w:rsidRPr="00F3659D">
        <w:rPr>
          <w:lang w:val="en-AU"/>
        </w:rPr>
        <w:t xml:space="preserve">had annual discharge close </w:t>
      </w:r>
      <w:r w:rsidRPr="004C1CCA">
        <w:rPr>
          <w:lang w:val="en-AU"/>
        </w:rPr>
        <w:t xml:space="preserve">to </w:t>
      </w:r>
      <w:r>
        <w:rPr>
          <w:lang w:val="en-AU"/>
        </w:rPr>
        <w:t xml:space="preserve">or less than </w:t>
      </w:r>
      <w:r w:rsidRPr="004C1CCA">
        <w:rPr>
          <w:lang w:val="en-AU"/>
        </w:rPr>
        <w:t xml:space="preserve">the </w:t>
      </w:r>
      <w:r>
        <w:rPr>
          <w:lang w:val="en-AU"/>
        </w:rPr>
        <w:t xml:space="preserve">long term </w:t>
      </w:r>
      <w:r w:rsidRPr="004C1CCA">
        <w:rPr>
          <w:lang w:val="en-AU"/>
        </w:rPr>
        <w:t xml:space="preserve">median </w:t>
      </w:r>
      <w:r>
        <w:rPr>
          <w:lang w:val="en-AU"/>
        </w:rPr>
        <w:t>(an average of 0.76 times the median) (</w:t>
      </w:r>
      <w:r>
        <w:rPr>
          <w:lang w:val="en-AU"/>
        </w:rPr>
        <w:fldChar w:fldCharType="begin"/>
      </w:r>
      <w:r>
        <w:rPr>
          <w:lang w:val="en-AU"/>
        </w:rPr>
        <w:instrText xml:space="preserve"> REF _Ref9604047 \h  \* MERGEFORMAT </w:instrText>
      </w:r>
      <w:r>
        <w:rPr>
          <w:lang w:val="en-AU"/>
        </w:rPr>
      </w:r>
      <w:r>
        <w:rPr>
          <w:lang w:val="en-AU"/>
        </w:rPr>
        <w:fldChar w:fldCharType="separate"/>
      </w:r>
      <w:r w:rsidR="00251B46" w:rsidRPr="00FE6E97">
        <w:t xml:space="preserve">Table </w:t>
      </w:r>
      <w:r w:rsidR="00251B46" w:rsidRPr="00251B46">
        <w:rPr>
          <w:noProof/>
        </w:rPr>
        <w:t>4</w:t>
      </w:r>
      <w:r>
        <w:rPr>
          <w:lang w:val="en-AU"/>
        </w:rPr>
        <w:fldChar w:fldCharType="end"/>
      </w:r>
      <w:r>
        <w:rPr>
          <w:lang w:val="en-AU"/>
        </w:rPr>
        <w:t>).</w:t>
      </w:r>
    </w:p>
    <w:p w14:paraId="2D1B3C05" w14:textId="77777777" w:rsidR="00FE6E97" w:rsidRDefault="00FE6E97" w:rsidP="002439C8">
      <w:pPr>
        <w:spacing w:line="276" w:lineRule="auto"/>
        <w:jc w:val="left"/>
      </w:pPr>
    </w:p>
    <w:p w14:paraId="0EC4271A" w14:textId="77777777" w:rsidR="00963BE7" w:rsidRPr="00F3659D" w:rsidRDefault="00C0362F" w:rsidP="002439C8">
      <w:pPr>
        <w:spacing w:line="276" w:lineRule="auto"/>
        <w:jc w:val="left"/>
      </w:pPr>
      <w:r>
        <w:rPr>
          <w:noProof/>
          <w:lang w:val="en-AU" w:eastAsia="en-AU" w:bidi="ar-SA"/>
        </w:rPr>
        <w:lastRenderedPageBreak/>
        <w:drawing>
          <wp:inline distT="0" distB="0" distL="0" distR="0" wp14:anchorId="5EBF7F8C" wp14:editId="449F6083">
            <wp:extent cx="5681252" cy="2942954"/>
            <wp:effectExtent l="0" t="0" r="0" b="0"/>
            <wp:docPr id="7192" name="Picture 7192" descr="Long-term total annual discharge (ML) (hydrological year: 1 October to 30 September) for the 35 main Reef river basins. Blue indicates &lt;1.5 times the median, orange indicates 1.5 to 2 times the median and red indicates &gt;2 times the median Data derived from DNRM http://watermonitoring.dnrm.qld.gov.au/host.htm. Figure is extracted from Gruber et al 2019" title="Fig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81252" cy="2942954"/>
                    </a:xfrm>
                    <a:prstGeom prst="rect">
                      <a:avLst/>
                    </a:prstGeom>
                  </pic:spPr>
                </pic:pic>
              </a:graphicData>
            </a:graphic>
          </wp:inline>
        </w:drawing>
      </w:r>
    </w:p>
    <w:p w14:paraId="161CC533" w14:textId="77777777" w:rsidR="0059608E" w:rsidRDefault="0059608E" w:rsidP="002439C8">
      <w:pPr>
        <w:tabs>
          <w:tab w:val="left" w:pos="10065"/>
        </w:tabs>
        <w:spacing w:after="120" w:line="276" w:lineRule="auto"/>
        <w:jc w:val="left"/>
      </w:pPr>
    </w:p>
    <w:p w14:paraId="500396F4" w14:textId="09899E06" w:rsidR="00C57149" w:rsidRPr="00CB093C" w:rsidRDefault="0059608E" w:rsidP="00C57149">
      <w:pPr>
        <w:pStyle w:val="Caption"/>
        <w:rPr>
          <w:rFonts w:cs="Arial"/>
          <w:i/>
          <w:vanish/>
          <w:color w:val="000000"/>
          <w:specVanish/>
        </w:rPr>
      </w:pPr>
      <w:bookmarkStart w:id="402" w:name="_Ref477149849"/>
      <w:bookmarkStart w:id="403" w:name="_Toc15042898"/>
      <w:bookmarkStart w:id="404" w:name="_Toc527468580"/>
      <w:r w:rsidRPr="00747824">
        <w:rPr>
          <w:b w:val="0"/>
        </w:rPr>
        <w:t xml:space="preserve">Figure </w:t>
      </w:r>
      <w:r w:rsidR="00C91BF5" w:rsidRPr="00747824">
        <w:rPr>
          <w:b w:val="0"/>
        </w:rPr>
        <w:fldChar w:fldCharType="begin"/>
      </w:r>
      <w:r w:rsidRPr="00747824">
        <w:rPr>
          <w:b w:val="0"/>
        </w:rPr>
        <w:instrText xml:space="preserve"> SEQ Figure \* ARABIC </w:instrText>
      </w:r>
      <w:r w:rsidR="00C91BF5" w:rsidRPr="00747824">
        <w:rPr>
          <w:b w:val="0"/>
        </w:rPr>
        <w:fldChar w:fldCharType="separate"/>
      </w:r>
      <w:r w:rsidR="00251B46">
        <w:rPr>
          <w:b w:val="0"/>
          <w:noProof/>
        </w:rPr>
        <w:t>6</w:t>
      </w:r>
      <w:r w:rsidR="00C91BF5" w:rsidRPr="00747824">
        <w:rPr>
          <w:b w:val="0"/>
        </w:rPr>
        <w:fldChar w:fldCharType="end"/>
      </w:r>
      <w:bookmarkEnd w:id="402"/>
      <w:r w:rsidR="00747824">
        <w:rPr>
          <w:b w:val="0"/>
        </w:rPr>
        <w:t xml:space="preserve">: </w:t>
      </w:r>
      <w:r w:rsidR="00180E26" w:rsidRPr="00180E26">
        <w:rPr>
          <w:b w:val="0"/>
        </w:rPr>
        <w:t xml:space="preserve">Long-term </w:t>
      </w:r>
      <w:r w:rsidR="003A67FC">
        <w:rPr>
          <w:b w:val="0"/>
        </w:rPr>
        <w:t>total annual</w:t>
      </w:r>
      <w:r w:rsidR="00180E26" w:rsidRPr="00180E26">
        <w:rPr>
          <w:b w:val="0"/>
        </w:rPr>
        <w:t xml:space="preserve"> discharge (ML) (hydrological year: 1 October to 30 September) for the 35 main </w:t>
      </w:r>
      <w:r w:rsidR="003A67FC">
        <w:rPr>
          <w:b w:val="0"/>
        </w:rPr>
        <w:t>Reef</w:t>
      </w:r>
      <w:r w:rsidR="00180E26" w:rsidRPr="00180E26">
        <w:rPr>
          <w:b w:val="0"/>
        </w:rPr>
        <w:t xml:space="preserve"> </w:t>
      </w:r>
      <w:r w:rsidR="003A67FC">
        <w:rPr>
          <w:b w:val="0"/>
        </w:rPr>
        <w:t xml:space="preserve">river </w:t>
      </w:r>
      <w:r w:rsidR="00BF37D6">
        <w:rPr>
          <w:b w:val="0"/>
        </w:rPr>
        <w:t>basin</w:t>
      </w:r>
      <w:r w:rsidR="003A67FC">
        <w:rPr>
          <w:b w:val="0"/>
        </w:rPr>
        <w:t>s</w:t>
      </w:r>
      <w:r w:rsidR="00180E26" w:rsidRPr="00180E26">
        <w:rPr>
          <w:b w:val="0"/>
        </w:rPr>
        <w:t>.</w:t>
      </w:r>
      <w:bookmarkEnd w:id="403"/>
    </w:p>
    <w:p w14:paraId="68C5E435" w14:textId="77777777" w:rsidR="007F3EB3" w:rsidRDefault="00180E26" w:rsidP="002439C8">
      <w:pPr>
        <w:pStyle w:val="Caption"/>
        <w:sectPr w:rsidR="007F3EB3" w:rsidSect="009E5D22">
          <w:footerReference w:type="default" r:id="rId37"/>
          <w:type w:val="continuous"/>
          <w:pgSz w:w="11907" w:h="16840" w:code="9"/>
          <w:pgMar w:top="1440" w:right="1440" w:bottom="1440" w:left="1440" w:header="709" w:footer="709" w:gutter="0"/>
          <w:cols w:space="708"/>
          <w:docGrid w:linePitch="360"/>
        </w:sectPr>
      </w:pPr>
      <w:r w:rsidRPr="00180E26">
        <w:rPr>
          <w:b w:val="0"/>
        </w:rPr>
        <w:t xml:space="preserve"> </w:t>
      </w:r>
      <w:r w:rsidR="00BE00EB">
        <w:rPr>
          <w:b w:val="0"/>
        </w:rPr>
        <w:t>B</w:t>
      </w:r>
      <w:r w:rsidR="00BE00EB" w:rsidRPr="00BE00EB">
        <w:rPr>
          <w:b w:val="0"/>
        </w:rPr>
        <w:t xml:space="preserve">lue indicates &lt;1.5 times the median, orange indicates 1.5 to 2 times the median and red indicates &gt;2 times the median </w:t>
      </w:r>
      <w:r>
        <w:rPr>
          <w:b w:val="0"/>
        </w:rPr>
        <w:t xml:space="preserve">Data </w:t>
      </w:r>
      <w:r w:rsidR="00AC4642">
        <w:rPr>
          <w:b w:val="0"/>
        </w:rPr>
        <w:t>derived from DNRM</w:t>
      </w:r>
      <w:r w:rsidRPr="00180E26">
        <w:rPr>
          <w:b w:val="0"/>
        </w:rPr>
        <w:t xml:space="preserve"> </w:t>
      </w:r>
      <w:hyperlink r:id="rId38" w:history="1">
        <w:r w:rsidRPr="00A41CC7">
          <w:rPr>
            <w:rStyle w:val="Hyperlink"/>
            <w:rFonts w:cstheme="minorBidi"/>
            <w:b w:val="0"/>
          </w:rPr>
          <w:t>http://watermonitoring.dnrm.qld.gov.au/host.htm</w:t>
        </w:r>
      </w:hyperlink>
      <w:r w:rsidR="00E74446">
        <w:rPr>
          <w:b w:val="0"/>
        </w:rPr>
        <w:t xml:space="preserve">. </w:t>
      </w:r>
      <w:r w:rsidR="00A47643">
        <w:rPr>
          <w:rStyle w:val="IntenseReference"/>
          <w:rFonts w:eastAsiaTheme="majorEastAsia"/>
          <w:color w:val="auto"/>
          <w:u w:val="none"/>
        </w:rPr>
        <w:t>Figure is extracted from</w:t>
      </w:r>
      <w:r w:rsidR="00A47643" w:rsidRPr="00A47643">
        <w:rPr>
          <w:rStyle w:val="IntenseReference"/>
          <w:rFonts w:eastAsiaTheme="majorEastAsia"/>
          <w:color w:val="auto"/>
          <w:u w:val="none"/>
        </w:rPr>
        <w:t xml:space="preserve"> </w:t>
      </w:r>
      <w:r w:rsidR="007F3EB3" w:rsidRPr="00A47643">
        <w:rPr>
          <w:rStyle w:val="IntenseReference"/>
          <w:rFonts w:eastAsiaTheme="majorEastAsia"/>
          <w:color w:val="auto"/>
          <w:u w:val="none"/>
        </w:rPr>
        <w:t>Gruber et al 2019</w:t>
      </w:r>
      <w:r w:rsidR="00A47643" w:rsidRPr="00A47643">
        <w:rPr>
          <w:rStyle w:val="IntenseReference"/>
          <w:rFonts w:eastAsiaTheme="majorEastAsia"/>
          <w:color w:val="auto"/>
          <w:u w:val="none"/>
        </w:rPr>
        <w:t>.</w:t>
      </w:r>
      <w:r w:rsidR="007F3EB3">
        <w:rPr>
          <w:rStyle w:val="IntenseReference"/>
          <w:rFonts w:eastAsiaTheme="majorEastAsia"/>
          <w:color w:val="auto"/>
          <w:u w:val="none"/>
        </w:rPr>
        <w:t xml:space="preserve"> </w:t>
      </w:r>
    </w:p>
    <w:bookmarkEnd w:id="404"/>
    <w:p w14:paraId="1B4344B4" w14:textId="77777777" w:rsidR="0024078C" w:rsidRDefault="0024078C" w:rsidP="002439C8">
      <w:pPr>
        <w:spacing w:line="276" w:lineRule="auto"/>
        <w:jc w:val="left"/>
        <w:rPr>
          <w:lang w:val="en-AU"/>
        </w:rPr>
      </w:pPr>
    </w:p>
    <w:p w14:paraId="0162C2A9" w14:textId="77777777" w:rsidR="00F83D88" w:rsidRDefault="00F83D88" w:rsidP="002439C8">
      <w:pPr>
        <w:jc w:val="left"/>
      </w:pPr>
    </w:p>
    <w:p w14:paraId="44D283A5" w14:textId="77777777" w:rsidR="00262CE9" w:rsidRDefault="007A63A5" w:rsidP="002439C8">
      <w:pPr>
        <w:jc w:val="left"/>
        <w:rPr>
          <w:bCs/>
          <w:sz w:val="18"/>
          <w:szCs w:val="18"/>
        </w:rPr>
      </w:pPr>
      <w:bookmarkStart w:id="405" w:name="_Toc471562221"/>
      <w:r w:rsidRPr="007A63A5">
        <w:rPr>
          <w:noProof/>
          <w:lang w:val="en-AU" w:eastAsia="en-AU" w:bidi="ar-SA"/>
        </w:rPr>
        <w:lastRenderedPageBreak/>
        <w:drawing>
          <wp:inline distT="0" distB="0" distL="0" distR="0" wp14:anchorId="041B27C7" wp14:editId="73EB3C26">
            <wp:extent cx="4857750" cy="3332595"/>
            <wp:effectExtent l="0" t="0" r="0" b="1270"/>
            <wp:docPr id="2" name="Picture 2" descr="Corrected annual hydrological/water year (1 October to 30 September) discharge from each NRM region (using the correction factors in Table 2-2 (Waterhouse et al., 2018)) for 2002–03 to 2017–18 in millions of megalitres per year. Dot line is the long-term median discharge for each NRM; blue indicates &lt;1.5 times the median, orange indicates 1.5 to 2 times the median and red indicates &gt;2 times the median. Data derived from DNRM http://watermonitoring.dnrm.qld.gov.au/host.htm and figure provided by Steve Lewis, JCU.  " title="Fig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62464" cy="3335829"/>
                    </a:xfrm>
                    <a:prstGeom prst="rect">
                      <a:avLst/>
                    </a:prstGeom>
                    <a:noFill/>
                    <a:ln>
                      <a:noFill/>
                    </a:ln>
                  </pic:spPr>
                </pic:pic>
              </a:graphicData>
            </a:graphic>
          </wp:inline>
        </w:drawing>
      </w:r>
    </w:p>
    <w:p w14:paraId="3DF28001" w14:textId="2C70F59A" w:rsidR="00C57149" w:rsidRPr="00C57149" w:rsidRDefault="00203958" w:rsidP="00C57149">
      <w:pPr>
        <w:pStyle w:val="Caption"/>
        <w:rPr>
          <w:rFonts w:cs="Arial"/>
          <w:b w:val="0"/>
          <w:i/>
          <w:vanish/>
          <w:color w:val="000000"/>
          <w:specVanish/>
        </w:rPr>
      </w:pPr>
      <w:bookmarkStart w:id="406" w:name="_Ref502465508"/>
      <w:bookmarkStart w:id="407" w:name="_Toc15042899"/>
      <w:bookmarkStart w:id="408" w:name="_Toc527468581"/>
      <w:r w:rsidRPr="00C57149">
        <w:rPr>
          <w:b w:val="0"/>
          <w:bCs w:val="0"/>
        </w:rPr>
        <w:t xml:space="preserve">Figure </w:t>
      </w:r>
      <w:r w:rsidRPr="00C57149">
        <w:rPr>
          <w:b w:val="0"/>
          <w:bCs w:val="0"/>
        </w:rPr>
        <w:fldChar w:fldCharType="begin"/>
      </w:r>
      <w:r w:rsidRPr="00C57149">
        <w:rPr>
          <w:b w:val="0"/>
          <w:bCs w:val="0"/>
        </w:rPr>
        <w:instrText xml:space="preserve"> SEQ Figure \* ARABIC </w:instrText>
      </w:r>
      <w:r w:rsidRPr="00C57149">
        <w:rPr>
          <w:b w:val="0"/>
          <w:bCs w:val="0"/>
        </w:rPr>
        <w:fldChar w:fldCharType="separate"/>
      </w:r>
      <w:r w:rsidR="00251B46">
        <w:rPr>
          <w:b w:val="0"/>
          <w:bCs w:val="0"/>
          <w:noProof/>
        </w:rPr>
        <w:t>7</w:t>
      </w:r>
      <w:r w:rsidRPr="00C57149">
        <w:rPr>
          <w:b w:val="0"/>
          <w:bCs w:val="0"/>
        </w:rPr>
        <w:fldChar w:fldCharType="end"/>
      </w:r>
      <w:bookmarkEnd w:id="406"/>
      <w:r w:rsidRPr="00C57149">
        <w:rPr>
          <w:b w:val="0"/>
          <w:bCs w:val="0"/>
        </w:rPr>
        <w:t xml:space="preserve">: </w:t>
      </w:r>
      <w:r w:rsidR="00943EC2" w:rsidRPr="00C57149">
        <w:rPr>
          <w:b w:val="0"/>
          <w:bCs w:val="0"/>
        </w:rPr>
        <w:t>Corrected annual hydrological/water year (1 October to 30 September) discharge from each NRM region</w:t>
      </w:r>
      <w:bookmarkEnd w:id="407"/>
    </w:p>
    <w:p w14:paraId="5B1117E6" w14:textId="16E034F7" w:rsidR="009F5052" w:rsidRPr="00197074" w:rsidRDefault="00943EC2" w:rsidP="002439C8">
      <w:pPr>
        <w:jc w:val="left"/>
        <w:rPr>
          <w:bCs/>
          <w:sz w:val="18"/>
          <w:szCs w:val="18"/>
        </w:rPr>
      </w:pPr>
      <w:r w:rsidRPr="00943EC2">
        <w:rPr>
          <w:bCs/>
          <w:sz w:val="18"/>
          <w:szCs w:val="18"/>
        </w:rPr>
        <w:t xml:space="preserve"> (using the correction factors in</w:t>
      </w:r>
      <w:r>
        <w:rPr>
          <w:bCs/>
          <w:sz w:val="18"/>
          <w:szCs w:val="18"/>
        </w:rPr>
        <w:t xml:space="preserve"> Table 2-2 </w:t>
      </w:r>
      <w:r>
        <w:rPr>
          <w:bCs/>
          <w:sz w:val="18"/>
          <w:szCs w:val="18"/>
        </w:rPr>
        <w:fldChar w:fldCharType="begin"/>
      </w:r>
      <w:r w:rsidR="0058467F">
        <w:rPr>
          <w:bCs/>
          <w:sz w:val="18"/>
          <w:szCs w:val="18"/>
        </w:rPr>
        <w:instrText xml:space="preserve"> ADDIN EN.CITE &lt;EndNote&gt;&lt;Cite&gt;&lt;Author&gt;Waterhouse&lt;/Author&gt;&lt;Year&gt;2018&lt;/Year&gt;&lt;RecNum&gt;25&lt;/RecNum&gt;&lt;DisplayText&gt;(Waterhouse et al., 2018)&lt;/DisplayText&gt;&lt;record&gt;&lt;rec-number&gt;25&lt;/rec-number&gt;&lt;foreign-keys&gt;&lt;key app="EN" db-id="xtpvpwz0ufxa2me5tv6v2prn2ez5p9atsvtr" timestamp="1539144943"&gt;25&lt;/key&gt;&lt;/foreign-keys&gt;&lt;ref-type name="Statute"&gt;31&lt;/ref-type&gt;&lt;contributors&gt;&lt;authors&gt;&lt;author&gt;Waterhouse, J.&lt;/author&gt;&lt;author&gt;Lønborg, C&lt;/author&gt;&lt;author&gt;Logan, M&lt;/author&gt;&lt;author&gt;Petus, C&lt;/author&gt;&lt;author&gt;Tracey, D.&lt;/author&gt;&lt;author&gt;Lewis, S&lt;/author&gt;&lt;author&gt;Howley,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 Townsville, 393pp&lt;/title&gt;&lt;/titles&gt;&lt;dates&gt;&lt;year&gt;2018&lt;/year&gt;&lt;/dates&gt;&lt;urls&gt;&lt;/urls&gt;&lt;/record&gt;&lt;/Cite&gt;&lt;/EndNote&gt;</w:instrText>
      </w:r>
      <w:r>
        <w:rPr>
          <w:bCs/>
          <w:sz w:val="18"/>
          <w:szCs w:val="18"/>
        </w:rPr>
        <w:fldChar w:fldCharType="separate"/>
      </w:r>
      <w:r w:rsidR="00B33845">
        <w:rPr>
          <w:bCs/>
          <w:noProof/>
          <w:sz w:val="18"/>
          <w:szCs w:val="18"/>
        </w:rPr>
        <w:t>(Waterhouse et al., 2018)</w:t>
      </w:r>
      <w:r>
        <w:rPr>
          <w:bCs/>
          <w:sz w:val="18"/>
          <w:szCs w:val="18"/>
        </w:rPr>
        <w:fldChar w:fldCharType="end"/>
      </w:r>
      <w:r w:rsidRPr="00943EC2">
        <w:rPr>
          <w:bCs/>
          <w:sz w:val="18"/>
          <w:szCs w:val="18"/>
        </w:rPr>
        <w:t xml:space="preserve">) for 2002–03 to </w:t>
      </w:r>
      <w:r w:rsidR="00E5668B" w:rsidRPr="00943EC2">
        <w:rPr>
          <w:bCs/>
          <w:sz w:val="18"/>
          <w:szCs w:val="18"/>
        </w:rPr>
        <w:t>201</w:t>
      </w:r>
      <w:r w:rsidR="00E5668B">
        <w:rPr>
          <w:bCs/>
          <w:sz w:val="18"/>
          <w:szCs w:val="18"/>
        </w:rPr>
        <w:t>7</w:t>
      </w:r>
      <w:r w:rsidRPr="00943EC2">
        <w:rPr>
          <w:bCs/>
          <w:sz w:val="18"/>
          <w:szCs w:val="18"/>
        </w:rPr>
        <w:t>–</w:t>
      </w:r>
      <w:r w:rsidR="00E5668B" w:rsidRPr="00943EC2">
        <w:rPr>
          <w:bCs/>
          <w:sz w:val="18"/>
          <w:szCs w:val="18"/>
        </w:rPr>
        <w:t>1</w:t>
      </w:r>
      <w:r w:rsidR="00E5668B">
        <w:rPr>
          <w:bCs/>
          <w:sz w:val="18"/>
          <w:szCs w:val="18"/>
        </w:rPr>
        <w:t>8</w:t>
      </w:r>
      <w:r w:rsidR="00E5668B" w:rsidRPr="00943EC2">
        <w:rPr>
          <w:bCs/>
          <w:sz w:val="18"/>
          <w:szCs w:val="18"/>
        </w:rPr>
        <w:t xml:space="preserve"> </w:t>
      </w:r>
      <w:r w:rsidRPr="00943EC2">
        <w:rPr>
          <w:bCs/>
          <w:sz w:val="18"/>
          <w:szCs w:val="18"/>
        </w:rPr>
        <w:t>in million</w:t>
      </w:r>
      <w:r w:rsidR="000C16F6">
        <w:rPr>
          <w:bCs/>
          <w:sz w:val="18"/>
          <w:szCs w:val="18"/>
        </w:rPr>
        <w:t>s of mega</w:t>
      </w:r>
      <w:r w:rsidRPr="00943EC2">
        <w:rPr>
          <w:bCs/>
          <w:sz w:val="18"/>
          <w:szCs w:val="18"/>
        </w:rPr>
        <w:t xml:space="preserve">litres per year. </w:t>
      </w:r>
      <w:r w:rsidR="007A63A5">
        <w:rPr>
          <w:bCs/>
          <w:sz w:val="18"/>
          <w:szCs w:val="18"/>
        </w:rPr>
        <w:t>Dot line is</w:t>
      </w:r>
      <w:r w:rsidR="009F2068">
        <w:rPr>
          <w:bCs/>
          <w:sz w:val="18"/>
          <w:szCs w:val="18"/>
        </w:rPr>
        <w:t xml:space="preserve"> the </w:t>
      </w:r>
      <w:r w:rsidR="007A63A5">
        <w:rPr>
          <w:bCs/>
          <w:sz w:val="18"/>
          <w:szCs w:val="18"/>
        </w:rPr>
        <w:t>long-term</w:t>
      </w:r>
      <w:r w:rsidR="009F2068">
        <w:rPr>
          <w:bCs/>
          <w:sz w:val="18"/>
          <w:szCs w:val="18"/>
        </w:rPr>
        <w:t xml:space="preserve"> median discharge for each NRM; blue indicates &lt;1.5 times the median, orange indicates 1.5 to 2 times the median and red indicates &gt;2 times the median. </w:t>
      </w:r>
      <w:r w:rsidRPr="00943EC2">
        <w:rPr>
          <w:bCs/>
          <w:sz w:val="18"/>
          <w:szCs w:val="18"/>
        </w:rPr>
        <w:t xml:space="preserve">Data derived from DNRM </w:t>
      </w:r>
      <w:hyperlink r:id="rId40" w:history="1">
        <w:r w:rsidR="00552D82" w:rsidRPr="00197074">
          <w:rPr>
            <w:bCs/>
            <w:sz w:val="18"/>
            <w:szCs w:val="18"/>
          </w:rPr>
          <w:t>http://watermonitoring.dnrm.qld.gov.au/host.htm</w:t>
        </w:r>
      </w:hyperlink>
      <w:r w:rsidR="00FF0319" w:rsidRPr="00197074">
        <w:rPr>
          <w:bCs/>
          <w:sz w:val="18"/>
          <w:szCs w:val="18"/>
        </w:rPr>
        <w:t xml:space="preserve"> and figure</w:t>
      </w:r>
      <w:r w:rsidR="001E5909">
        <w:rPr>
          <w:bCs/>
          <w:sz w:val="18"/>
          <w:szCs w:val="18"/>
        </w:rPr>
        <w:t xml:space="preserve"> </w:t>
      </w:r>
      <w:r w:rsidR="00E5668B">
        <w:rPr>
          <w:bCs/>
          <w:sz w:val="18"/>
          <w:szCs w:val="18"/>
        </w:rPr>
        <w:t xml:space="preserve">provided by Steve Lewis, JCU. </w:t>
      </w:r>
      <w:r w:rsidR="00E5668B" w:rsidRPr="00197074">
        <w:rPr>
          <w:bCs/>
          <w:sz w:val="18"/>
          <w:szCs w:val="18"/>
        </w:rPr>
        <w:t xml:space="preserve"> </w:t>
      </w:r>
      <w:bookmarkEnd w:id="405"/>
      <w:bookmarkEnd w:id="408"/>
    </w:p>
    <w:p w14:paraId="39CEB862" w14:textId="77777777" w:rsidR="007F4C3B" w:rsidRDefault="007F4C3B" w:rsidP="002439C8">
      <w:pPr>
        <w:jc w:val="left"/>
      </w:pPr>
    </w:p>
    <w:p w14:paraId="4A845BAC" w14:textId="7A9D4FE0" w:rsidR="00D9470C" w:rsidRDefault="00D9470C" w:rsidP="002439C8">
      <w:pPr>
        <w:jc w:val="left"/>
      </w:pPr>
    </w:p>
    <w:p w14:paraId="52BDA7AE" w14:textId="77777777" w:rsidR="00D9470C" w:rsidRDefault="00D9470C" w:rsidP="002439C8">
      <w:pPr>
        <w:jc w:val="left"/>
      </w:pPr>
    </w:p>
    <w:p w14:paraId="5BD558CE" w14:textId="77777777" w:rsidR="00C57149" w:rsidRPr="00CB093C" w:rsidRDefault="00F01E64" w:rsidP="00C57149">
      <w:pPr>
        <w:pStyle w:val="Caption"/>
        <w:rPr>
          <w:rFonts w:cs="Arial"/>
          <w:i/>
          <w:vanish/>
          <w:color w:val="000000"/>
          <w:specVanish/>
        </w:rPr>
      </w:pPr>
      <w:bookmarkStart w:id="409" w:name="_Ref9604047"/>
      <w:bookmarkStart w:id="410" w:name="_Toc14435325"/>
      <w:r w:rsidRPr="00FE6E97">
        <w:rPr>
          <w:b w:val="0"/>
        </w:rPr>
        <w:t xml:space="preserve">Table </w:t>
      </w:r>
      <w:r w:rsidRPr="00FE6E97">
        <w:rPr>
          <w:b w:val="0"/>
        </w:rPr>
        <w:fldChar w:fldCharType="begin"/>
      </w:r>
      <w:r w:rsidRPr="00FE6E97">
        <w:rPr>
          <w:b w:val="0"/>
        </w:rPr>
        <w:instrText xml:space="preserve"> SEQ Table \* ARABIC </w:instrText>
      </w:r>
      <w:r w:rsidRPr="00FE6E97">
        <w:rPr>
          <w:b w:val="0"/>
        </w:rPr>
        <w:fldChar w:fldCharType="separate"/>
      </w:r>
      <w:r w:rsidR="00251B46">
        <w:rPr>
          <w:b w:val="0"/>
          <w:noProof/>
        </w:rPr>
        <w:t>4</w:t>
      </w:r>
      <w:r w:rsidRPr="00FE6E97">
        <w:rPr>
          <w:b w:val="0"/>
        </w:rPr>
        <w:fldChar w:fldCharType="end"/>
      </w:r>
      <w:bookmarkEnd w:id="409"/>
      <w:r w:rsidRPr="00FE6E97">
        <w:rPr>
          <w:b w:val="0"/>
        </w:rPr>
        <w:t>:</w:t>
      </w:r>
      <w:r>
        <w:t xml:space="preserve"> </w:t>
      </w:r>
      <w:r w:rsidRPr="00AD7DD7">
        <w:rPr>
          <w:b w:val="0"/>
        </w:rPr>
        <w:t>2017-18 annual discharge (ML) of the major Reef basin rivers adjacent to passive sampling sites</w:t>
      </w:r>
      <w:bookmarkEnd w:id="410"/>
    </w:p>
    <w:p w14:paraId="50D6A204" w14:textId="0A9D9E7A" w:rsidR="00F01E64" w:rsidRPr="00AD7DD7" w:rsidRDefault="00F01E64" w:rsidP="002439C8">
      <w:pPr>
        <w:pStyle w:val="Caption"/>
        <w:keepNext/>
        <w:rPr>
          <w:b w:val="0"/>
        </w:rPr>
      </w:pPr>
      <w:r w:rsidRPr="00AD7DD7">
        <w:rPr>
          <w:b w:val="0"/>
        </w:rPr>
        <w:t xml:space="preserve"> (1 October to 30 September 2018, inclusive) compared to the long term (LT) median discharge. Relative discharge (fraction of long-term median) are shown</w:t>
      </w:r>
    </w:p>
    <w:tbl>
      <w:tblPr>
        <w:tblW w:w="5000" w:type="pct"/>
        <w:tblLook w:val="04A0" w:firstRow="1" w:lastRow="0" w:firstColumn="1" w:lastColumn="0" w:noHBand="0" w:noVBand="1"/>
      </w:tblPr>
      <w:tblGrid>
        <w:gridCol w:w="1192"/>
        <w:gridCol w:w="1098"/>
        <w:gridCol w:w="1026"/>
        <w:gridCol w:w="1026"/>
        <w:gridCol w:w="1179"/>
        <w:gridCol w:w="697"/>
        <w:gridCol w:w="697"/>
        <w:gridCol w:w="697"/>
        <w:gridCol w:w="697"/>
        <w:gridCol w:w="698"/>
      </w:tblGrid>
      <w:tr w:rsidR="00F01E64" w:rsidRPr="007D1983" w14:paraId="38DB460F" w14:textId="77777777" w:rsidTr="00F01E64">
        <w:trPr>
          <w:trHeight w:val="315"/>
        </w:trPr>
        <w:tc>
          <w:tcPr>
            <w:tcW w:w="570" w:type="pct"/>
            <w:vMerge w:val="restart"/>
            <w:tcBorders>
              <w:top w:val="single" w:sz="8" w:space="0" w:color="auto"/>
              <w:left w:val="single" w:sz="8" w:space="0" w:color="auto"/>
              <w:bottom w:val="single" w:sz="8" w:space="0" w:color="000000"/>
              <w:right w:val="nil"/>
            </w:tcBorders>
            <w:shd w:val="clear" w:color="000000" w:fill="F2F2F2"/>
            <w:noWrap/>
            <w:vAlign w:val="center"/>
            <w:hideMark/>
          </w:tcPr>
          <w:p w14:paraId="55124B31"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r w:rsidRPr="00503D38">
              <w:rPr>
                <w:rFonts w:ascii="Calibri" w:eastAsia="Times New Roman" w:hAnsi="Calibri" w:cs="Calibri"/>
                <w:b/>
                <w:bCs/>
                <w:color w:val="000000"/>
                <w:sz w:val="20"/>
                <w:szCs w:val="20"/>
                <w:lang w:val="en-AU" w:eastAsia="en-AU" w:bidi="ar-SA"/>
              </w:rPr>
              <w:t>Region</w:t>
            </w:r>
          </w:p>
        </w:tc>
        <w:tc>
          <w:tcPr>
            <w:tcW w:w="561" w:type="pct"/>
            <w:vMerge w:val="restart"/>
            <w:tcBorders>
              <w:top w:val="single" w:sz="8" w:space="0" w:color="auto"/>
              <w:left w:val="nil"/>
              <w:bottom w:val="single" w:sz="8" w:space="0" w:color="000000"/>
              <w:right w:val="nil"/>
            </w:tcBorders>
            <w:shd w:val="clear" w:color="000000" w:fill="F2F2F2"/>
            <w:noWrap/>
            <w:vAlign w:val="center"/>
            <w:hideMark/>
          </w:tcPr>
          <w:p w14:paraId="39DB8B8A"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r w:rsidRPr="00503D38">
              <w:rPr>
                <w:rFonts w:ascii="Calibri" w:eastAsia="Times New Roman" w:hAnsi="Calibri" w:cs="Calibri"/>
                <w:b/>
                <w:bCs/>
                <w:color w:val="000000"/>
                <w:sz w:val="20"/>
                <w:szCs w:val="20"/>
                <w:lang w:val="en-AU" w:eastAsia="en-AU" w:bidi="ar-SA"/>
              </w:rPr>
              <w:t>Site</w:t>
            </w:r>
          </w:p>
        </w:tc>
        <w:tc>
          <w:tcPr>
            <w:tcW w:w="527" w:type="pct"/>
            <w:vMerge w:val="restart"/>
            <w:tcBorders>
              <w:top w:val="single" w:sz="8" w:space="0" w:color="auto"/>
              <w:left w:val="nil"/>
              <w:bottom w:val="single" w:sz="8" w:space="0" w:color="000000"/>
              <w:right w:val="nil"/>
            </w:tcBorders>
            <w:shd w:val="clear" w:color="000000" w:fill="F2F2F2"/>
            <w:vAlign w:val="center"/>
            <w:hideMark/>
          </w:tcPr>
          <w:p w14:paraId="368506D3"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r w:rsidRPr="00503D38">
              <w:rPr>
                <w:rFonts w:ascii="Calibri" w:eastAsia="Times New Roman" w:hAnsi="Calibri" w:cs="Calibri"/>
                <w:b/>
                <w:bCs/>
                <w:color w:val="000000"/>
                <w:sz w:val="20"/>
                <w:szCs w:val="20"/>
                <w:lang w:val="en-AU" w:eastAsia="en-AU" w:bidi="ar-SA"/>
              </w:rPr>
              <w:t>2017–18 annual discharge (ML)</w:t>
            </w:r>
          </w:p>
        </w:tc>
        <w:tc>
          <w:tcPr>
            <w:tcW w:w="527" w:type="pct"/>
            <w:vMerge w:val="restart"/>
            <w:tcBorders>
              <w:top w:val="single" w:sz="8" w:space="0" w:color="auto"/>
              <w:left w:val="nil"/>
              <w:bottom w:val="single" w:sz="8" w:space="0" w:color="000000"/>
              <w:right w:val="nil"/>
            </w:tcBorders>
            <w:shd w:val="clear" w:color="000000" w:fill="F2F2F2"/>
            <w:vAlign w:val="center"/>
            <w:hideMark/>
          </w:tcPr>
          <w:p w14:paraId="28639064"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r w:rsidRPr="00503D38">
              <w:rPr>
                <w:rFonts w:ascii="Calibri" w:eastAsia="Times New Roman" w:hAnsi="Calibri" w:cs="Calibri"/>
                <w:b/>
                <w:bCs/>
                <w:color w:val="000000"/>
                <w:sz w:val="20"/>
                <w:szCs w:val="20"/>
                <w:lang w:val="en-AU" w:eastAsia="en-AU" w:bidi="ar-SA"/>
              </w:rPr>
              <w:t>LT median annual discharge (ML)</w:t>
            </w:r>
          </w:p>
        </w:tc>
        <w:tc>
          <w:tcPr>
            <w:tcW w:w="2815" w:type="pct"/>
            <w:gridSpan w:val="6"/>
            <w:tcBorders>
              <w:top w:val="single" w:sz="8" w:space="0" w:color="auto"/>
              <w:left w:val="nil"/>
              <w:bottom w:val="single" w:sz="8" w:space="0" w:color="auto"/>
              <w:right w:val="single" w:sz="8" w:space="0" w:color="000000"/>
            </w:tcBorders>
            <w:shd w:val="clear" w:color="000000" w:fill="F2F2F2"/>
            <w:noWrap/>
            <w:vAlign w:val="center"/>
            <w:hideMark/>
          </w:tcPr>
          <w:p w14:paraId="0EA7079A"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r w:rsidRPr="00503D38">
              <w:rPr>
                <w:rFonts w:ascii="Calibri" w:eastAsia="Times New Roman" w:hAnsi="Calibri" w:cs="Calibri"/>
                <w:b/>
                <w:bCs/>
                <w:color w:val="000000"/>
                <w:sz w:val="20"/>
                <w:szCs w:val="20"/>
                <w:lang w:val="en-AU" w:eastAsia="en-AU" w:bidi="ar-SA"/>
              </w:rPr>
              <w:t>Relative discharge (fraction of long-term median)</w:t>
            </w:r>
          </w:p>
        </w:tc>
      </w:tr>
      <w:tr w:rsidR="00F01E64" w:rsidRPr="007D1983" w14:paraId="107E048A" w14:textId="77777777" w:rsidTr="00F01E64">
        <w:trPr>
          <w:trHeight w:val="540"/>
        </w:trPr>
        <w:tc>
          <w:tcPr>
            <w:tcW w:w="570" w:type="pct"/>
            <w:vMerge/>
            <w:tcBorders>
              <w:top w:val="single" w:sz="8" w:space="0" w:color="auto"/>
              <w:left w:val="single" w:sz="8" w:space="0" w:color="auto"/>
              <w:bottom w:val="single" w:sz="8" w:space="0" w:color="000000"/>
              <w:right w:val="nil"/>
            </w:tcBorders>
            <w:vAlign w:val="center"/>
            <w:hideMark/>
          </w:tcPr>
          <w:p w14:paraId="4F1B803F"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p>
        </w:tc>
        <w:tc>
          <w:tcPr>
            <w:tcW w:w="561" w:type="pct"/>
            <w:vMerge/>
            <w:tcBorders>
              <w:top w:val="single" w:sz="8" w:space="0" w:color="auto"/>
              <w:left w:val="nil"/>
              <w:bottom w:val="single" w:sz="8" w:space="0" w:color="000000"/>
              <w:right w:val="nil"/>
            </w:tcBorders>
            <w:vAlign w:val="center"/>
            <w:hideMark/>
          </w:tcPr>
          <w:p w14:paraId="6D13BFB5"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p>
        </w:tc>
        <w:tc>
          <w:tcPr>
            <w:tcW w:w="527" w:type="pct"/>
            <w:vMerge/>
            <w:tcBorders>
              <w:top w:val="single" w:sz="8" w:space="0" w:color="auto"/>
              <w:left w:val="nil"/>
              <w:bottom w:val="single" w:sz="8" w:space="0" w:color="000000"/>
              <w:right w:val="nil"/>
            </w:tcBorders>
            <w:vAlign w:val="center"/>
            <w:hideMark/>
          </w:tcPr>
          <w:p w14:paraId="29AE8641"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p>
        </w:tc>
        <w:tc>
          <w:tcPr>
            <w:tcW w:w="527" w:type="pct"/>
            <w:vMerge/>
            <w:tcBorders>
              <w:top w:val="single" w:sz="8" w:space="0" w:color="auto"/>
              <w:left w:val="nil"/>
              <w:bottom w:val="single" w:sz="8" w:space="0" w:color="000000"/>
              <w:right w:val="nil"/>
            </w:tcBorders>
            <w:vAlign w:val="center"/>
            <w:hideMark/>
          </w:tcPr>
          <w:p w14:paraId="27613D10"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p>
        </w:tc>
        <w:tc>
          <w:tcPr>
            <w:tcW w:w="564" w:type="pct"/>
            <w:tcBorders>
              <w:top w:val="nil"/>
              <w:left w:val="nil"/>
              <w:bottom w:val="single" w:sz="8" w:space="0" w:color="auto"/>
              <w:right w:val="nil"/>
            </w:tcBorders>
            <w:shd w:val="clear" w:color="000000" w:fill="F2F2F2"/>
            <w:noWrap/>
            <w:vAlign w:val="center"/>
            <w:hideMark/>
          </w:tcPr>
          <w:p w14:paraId="5870534C"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r w:rsidRPr="00503D38">
              <w:rPr>
                <w:rFonts w:ascii="Calibri" w:eastAsia="Times New Roman" w:hAnsi="Calibri" w:cs="Calibri"/>
                <w:b/>
                <w:bCs/>
                <w:color w:val="000000"/>
                <w:sz w:val="20"/>
                <w:szCs w:val="20"/>
                <w:lang w:val="en-AU" w:eastAsia="en-AU" w:bidi="ar-SA"/>
              </w:rPr>
              <w:t>2012 - 2013</w:t>
            </w:r>
          </w:p>
        </w:tc>
        <w:tc>
          <w:tcPr>
            <w:tcW w:w="450" w:type="pct"/>
            <w:tcBorders>
              <w:top w:val="nil"/>
              <w:left w:val="nil"/>
              <w:bottom w:val="single" w:sz="8" w:space="0" w:color="auto"/>
              <w:right w:val="nil"/>
            </w:tcBorders>
            <w:shd w:val="clear" w:color="000000" w:fill="F2F2F2"/>
            <w:vAlign w:val="center"/>
            <w:hideMark/>
          </w:tcPr>
          <w:p w14:paraId="68386532"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r w:rsidRPr="00503D38">
              <w:rPr>
                <w:rFonts w:ascii="Calibri" w:eastAsia="Times New Roman" w:hAnsi="Calibri" w:cs="Calibri"/>
                <w:b/>
                <w:bCs/>
                <w:color w:val="000000"/>
                <w:sz w:val="20"/>
                <w:szCs w:val="20"/>
                <w:lang w:val="en-AU" w:eastAsia="en-AU" w:bidi="ar-SA"/>
              </w:rPr>
              <w:t>2013 - 2014</w:t>
            </w:r>
          </w:p>
        </w:tc>
        <w:tc>
          <w:tcPr>
            <w:tcW w:w="450" w:type="pct"/>
            <w:tcBorders>
              <w:top w:val="nil"/>
              <w:left w:val="nil"/>
              <w:bottom w:val="single" w:sz="8" w:space="0" w:color="auto"/>
              <w:right w:val="nil"/>
            </w:tcBorders>
            <w:shd w:val="clear" w:color="000000" w:fill="F2F2F2"/>
            <w:vAlign w:val="center"/>
            <w:hideMark/>
          </w:tcPr>
          <w:p w14:paraId="568F2028"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r w:rsidRPr="00503D38">
              <w:rPr>
                <w:rFonts w:ascii="Calibri" w:eastAsia="Times New Roman" w:hAnsi="Calibri" w:cs="Calibri"/>
                <w:b/>
                <w:bCs/>
                <w:color w:val="000000"/>
                <w:sz w:val="20"/>
                <w:szCs w:val="20"/>
                <w:lang w:val="en-AU" w:eastAsia="en-AU" w:bidi="ar-SA"/>
              </w:rPr>
              <w:t>2014 - 2015</w:t>
            </w:r>
          </w:p>
        </w:tc>
        <w:tc>
          <w:tcPr>
            <w:tcW w:w="450" w:type="pct"/>
            <w:tcBorders>
              <w:top w:val="nil"/>
              <w:left w:val="nil"/>
              <w:bottom w:val="single" w:sz="8" w:space="0" w:color="auto"/>
              <w:right w:val="nil"/>
            </w:tcBorders>
            <w:shd w:val="clear" w:color="000000" w:fill="F2F2F2"/>
            <w:vAlign w:val="center"/>
            <w:hideMark/>
          </w:tcPr>
          <w:p w14:paraId="4BD17513"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r w:rsidRPr="00503D38">
              <w:rPr>
                <w:rFonts w:ascii="Calibri" w:eastAsia="Times New Roman" w:hAnsi="Calibri" w:cs="Calibri"/>
                <w:b/>
                <w:bCs/>
                <w:color w:val="000000"/>
                <w:sz w:val="20"/>
                <w:szCs w:val="20"/>
                <w:lang w:val="en-AU" w:eastAsia="en-AU" w:bidi="ar-SA"/>
              </w:rPr>
              <w:t>2015 - 2016</w:t>
            </w:r>
          </w:p>
        </w:tc>
        <w:tc>
          <w:tcPr>
            <w:tcW w:w="450" w:type="pct"/>
            <w:tcBorders>
              <w:top w:val="nil"/>
              <w:left w:val="nil"/>
              <w:bottom w:val="single" w:sz="8" w:space="0" w:color="auto"/>
              <w:right w:val="nil"/>
            </w:tcBorders>
            <w:shd w:val="clear" w:color="000000" w:fill="F2F2F2"/>
            <w:vAlign w:val="center"/>
            <w:hideMark/>
          </w:tcPr>
          <w:p w14:paraId="3D852BE0"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r w:rsidRPr="00503D38">
              <w:rPr>
                <w:rFonts w:ascii="Calibri" w:eastAsia="Times New Roman" w:hAnsi="Calibri" w:cs="Calibri"/>
                <w:b/>
                <w:bCs/>
                <w:color w:val="000000"/>
                <w:sz w:val="20"/>
                <w:szCs w:val="20"/>
                <w:lang w:val="en-AU" w:eastAsia="en-AU" w:bidi="ar-SA"/>
              </w:rPr>
              <w:t>2016 - 2017</w:t>
            </w:r>
          </w:p>
        </w:tc>
        <w:tc>
          <w:tcPr>
            <w:tcW w:w="451" w:type="pct"/>
            <w:tcBorders>
              <w:top w:val="nil"/>
              <w:left w:val="nil"/>
              <w:bottom w:val="single" w:sz="8" w:space="0" w:color="auto"/>
              <w:right w:val="single" w:sz="8" w:space="0" w:color="auto"/>
            </w:tcBorders>
            <w:shd w:val="clear" w:color="000000" w:fill="F2F2F2"/>
            <w:vAlign w:val="center"/>
            <w:hideMark/>
          </w:tcPr>
          <w:p w14:paraId="38F0FF46" w14:textId="77777777" w:rsidR="00F01E64" w:rsidRPr="00503D38" w:rsidRDefault="00F01E64" w:rsidP="002439C8">
            <w:pPr>
              <w:jc w:val="left"/>
              <w:rPr>
                <w:rFonts w:ascii="Calibri" w:eastAsia="Times New Roman" w:hAnsi="Calibri" w:cs="Calibri"/>
                <w:b/>
                <w:bCs/>
                <w:color w:val="000000"/>
                <w:sz w:val="20"/>
                <w:szCs w:val="20"/>
                <w:lang w:val="en-AU" w:eastAsia="en-AU" w:bidi="ar-SA"/>
              </w:rPr>
            </w:pPr>
            <w:r w:rsidRPr="00503D38">
              <w:rPr>
                <w:rFonts w:ascii="Calibri" w:eastAsia="Times New Roman" w:hAnsi="Calibri" w:cs="Calibri"/>
                <w:b/>
                <w:bCs/>
                <w:color w:val="000000"/>
                <w:sz w:val="20"/>
                <w:szCs w:val="20"/>
                <w:lang w:val="en-AU" w:eastAsia="en-AU" w:bidi="ar-SA"/>
              </w:rPr>
              <w:t>2017 - 2018</w:t>
            </w:r>
          </w:p>
        </w:tc>
      </w:tr>
      <w:tr w:rsidR="00F01E64" w:rsidRPr="007D1983" w14:paraId="102E72AA" w14:textId="77777777" w:rsidTr="00F01E64">
        <w:trPr>
          <w:trHeight w:val="300"/>
        </w:trPr>
        <w:tc>
          <w:tcPr>
            <w:tcW w:w="570" w:type="pct"/>
            <w:vMerge w:val="restart"/>
            <w:tcBorders>
              <w:top w:val="nil"/>
              <w:left w:val="single" w:sz="8" w:space="0" w:color="auto"/>
              <w:bottom w:val="single" w:sz="8" w:space="0" w:color="000000"/>
              <w:right w:val="nil"/>
            </w:tcBorders>
            <w:shd w:val="clear" w:color="auto" w:fill="auto"/>
            <w:vAlign w:val="center"/>
            <w:hideMark/>
          </w:tcPr>
          <w:p w14:paraId="4D80C905"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Wet Tropics</w:t>
            </w:r>
          </w:p>
        </w:tc>
        <w:tc>
          <w:tcPr>
            <w:tcW w:w="561" w:type="pct"/>
            <w:tcBorders>
              <w:top w:val="nil"/>
              <w:left w:val="nil"/>
              <w:bottom w:val="nil"/>
              <w:right w:val="nil"/>
            </w:tcBorders>
            <w:shd w:val="clear" w:color="auto" w:fill="auto"/>
            <w:vAlign w:val="center"/>
            <w:hideMark/>
          </w:tcPr>
          <w:p w14:paraId="60ACA912"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Mossman</w:t>
            </w:r>
          </w:p>
        </w:tc>
        <w:tc>
          <w:tcPr>
            <w:tcW w:w="527" w:type="pct"/>
            <w:tcBorders>
              <w:top w:val="nil"/>
              <w:left w:val="nil"/>
              <w:bottom w:val="nil"/>
              <w:right w:val="nil"/>
            </w:tcBorders>
            <w:shd w:val="clear" w:color="auto" w:fill="auto"/>
            <w:noWrap/>
            <w:vAlign w:val="center"/>
            <w:hideMark/>
          </w:tcPr>
          <w:p w14:paraId="5ADEF2BA"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1,503,754</w:t>
            </w:r>
          </w:p>
        </w:tc>
        <w:tc>
          <w:tcPr>
            <w:tcW w:w="527" w:type="pct"/>
            <w:tcBorders>
              <w:top w:val="nil"/>
              <w:left w:val="nil"/>
              <w:bottom w:val="nil"/>
              <w:right w:val="nil"/>
            </w:tcBorders>
            <w:shd w:val="clear" w:color="auto" w:fill="auto"/>
            <w:noWrap/>
            <w:vAlign w:val="center"/>
            <w:hideMark/>
          </w:tcPr>
          <w:p w14:paraId="3612A595"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1,207,012</w:t>
            </w:r>
          </w:p>
        </w:tc>
        <w:tc>
          <w:tcPr>
            <w:tcW w:w="564" w:type="pct"/>
            <w:tcBorders>
              <w:top w:val="nil"/>
              <w:left w:val="nil"/>
              <w:bottom w:val="nil"/>
              <w:right w:val="nil"/>
            </w:tcBorders>
            <w:shd w:val="clear" w:color="000000" w:fill="FFFFFF"/>
            <w:noWrap/>
            <w:vAlign w:val="center"/>
            <w:hideMark/>
          </w:tcPr>
          <w:p w14:paraId="04672112"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1.0</w:t>
            </w:r>
          </w:p>
        </w:tc>
        <w:tc>
          <w:tcPr>
            <w:tcW w:w="450" w:type="pct"/>
            <w:tcBorders>
              <w:top w:val="nil"/>
              <w:left w:val="nil"/>
              <w:bottom w:val="nil"/>
              <w:right w:val="nil"/>
            </w:tcBorders>
            <w:shd w:val="clear" w:color="000000" w:fill="FFFF00"/>
            <w:noWrap/>
            <w:vAlign w:val="center"/>
            <w:hideMark/>
          </w:tcPr>
          <w:p w14:paraId="036C5E26"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1.6</w:t>
            </w:r>
          </w:p>
        </w:tc>
        <w:tc>
          <w:tcPr>
            <w:tcW w:w="450" w:type="pct"/>
            <w:tcBorders>
              <w:top w:val="nil"/>
              <w:left w:val="nil"/>
              <w:bottom w:val="nil"/>
              <w:right w:val="nil"/>
            </w:tcBorders>
            <w:shd w:val="clear" w:color="000000" w:fill="FFFFFF"/>
            <w:noWrap/>
            <w:vAlign w:val="center"/>
            <w:hideMark/>
          </w:tcPr>
          <w:p w14:paraId="6F648A87"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0.7</w:t>
            </w:r>
          </w:p>
        </w:tc>
        <w:tc>
          <w:tcPr>
            <w:tcW w:w="450" w:type="pct"/>
            <w:tcBorders>
              <w:top w:val="nil"/>
              <w:left w:val="nil"/>
              <w:bottom w:val="nil"/>
              <w:right w:val="nil"/>
            </w:tcBorders>
            <w:shd w:val="clear" w:color="000000" w:fill="FFFFFF"/>
            <w:noWrap/>
            <w:vAlign w:val="center"/>
            <w:hideMark/>
          </w:tcPr>
          <w:p w14:paraId="7F235C1E"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1.0</w:t>
            </w:r>
          </w:p>
        </w:tc>
        <w:tc>
          <w:tcPr>
            <w:tcW w:w="450" w:type="pct"/>
            <w:tcBorders>
              <w:top w:val="nil"/>
              <w:left w:val="nil"/>
              <w:bottom w:val="nil"/>
              <w:right w:val="nil"/>
            </w:tcBorders>
            <w:shd w:val="clear" w:color="000000" w:fill="FFFFFF"/>
            <w:noWrap/>
            <w:vAlign w:val="center"/>
            <w:hideMark/>
          </w:tcPr>
          <w:p w14:paraId="0A91ED81"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0.9</w:t>
            </w:r>
          </w:p>
        </w:tc>
        <w:tc>
          <w:tcPr>
            <w:tcW w:w="451" w:type="pct"/>
            <w:tcBorders>
              <w:top w:val="nil"/>
              <w:left w:val="nil"/>
              <w:bottom w:val="nil"/>
              <w:right w:val="single" w:sz="8" w:space="0" w:color="auto"/>
            </w:tcBorders>
            <w:shd w:val="clear" w:color="000000" w:fill="FFFFFF"/>
            <w:noWrap/>
            <w:vAlign w:val="center"/>
            <w:hideMark/>
          </w:tcPr>
          <w:p w14:paraId="1B51120E"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1.2</w:t>
            </w:r>
          </w:p>
        </w:tc>
      </w:tr>
      <w:tr w:rsidR="00F01E64" w:rsidRPr="007D1983" w14:paraId="7D32F414" w14:textId="77777777" w:rsidTr="00F01E64">
        <w:trPr>
          <w:trHeight w:val="510"/>
        </w:trPr>
        <w:tc>
          <w:tcPr>
            <w:tcW w:w="570" w:type="pct"/>
            <w:vMerge/>
            <w:tcBorders>
              <w:top w:val="nil"/>
              <w:left w:val="single" w:sz="8" w:space="0" w:color="auto"/>
              <w:bottom w:val="single" w:sz="8" w:space="0" w:color="000000"/>
              <w:right w:val="nil"/>
            </w:tcBorders>
            <w:vAlign w:val="center"/>
            <w:hideMark/>
          </w:tcPr>
          <w:p w14:paraId="60F1937C" w14:textId="77777777" w:rsidR="00F01E64" w:rsidRPr="00503D38" w:rsidRDefault="00F01E64" w:rsidP="002439C8">
            <w:pPr>
              <w:jc w:val="left"/>
              <w:rPr>
                <w:rFonts w:ascii="Calibri" w:eastAsia="Times New Roman" w:hAnsi="Calibri" w:cs="Calibri"/>
                <w:color w:val="000000"/>
                <w:sz w:val="20"/>
                <w:szCs w:val="20"/>
                <w:lang w:val="en-AU" w:eastAsia="en-AU" w:bidi="ar-SA"/>
              </w:rPr>
            </w:pPr>
          </w:p>
        </w:tc>
        <w:tc>
          <w:tcPr>
            <w:tcW w:w="561" w:type="pct"/>
            <w:tcBorders>
              <w:top w:val="nil"/>
              <w:left w:val="nil"/>
              <w:bottom w:val="nil"/>
              <w:right w:val="nil"/>
            </w:tcBorders>
            <w:shd w:val="clear" w:color="auto" w:fill="auto"/>
            <w:vAlign w:val="center"/>
            <w:hideMark/>
          </w:tcPr>
          <w:p w14:paraId="2EB3F0F0"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Mulgrave-Russell</w:t>
            </w:r>
          </w:p>
        </w:tc>
        <w:tc>
          <w:tcPr>
            <w:tcW w:w="527" w:type="pct"/>
            <w:tcBorders>
              <w:top w:val="nil"/>
              <w:left w:val="nil"/>
              <w:bottom w:val="nil"/>
              <w:right w:val="nil"/>
            </w:tcBorders>
            <w:shd w:val="clear" w:color="auto" w:fill="auto"/>
            <w:noWrap/>
            <w:vAlign w:val="center"/>
            <w:hideMark/>
          </w:tcPr>
          <w:p w14:paraId="482EE873"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5,759,716</w:t>
            </w:r>
          </w:p>
        </w:tc>
        <w:tc>
          <w:tcPr>
            <w:tcW w:w="527" w:type="pct"/>
            <w:tcBorders>
              <w:top w:val="nil"/>
              <w:left w:val="nil"/>
              <w:bottom w:val="nil"/>
              <w:right w:val="nil"/>
            </w:tcBorders>
            <w:shd w:val="clear" w:color="auto" w:fill="auto"/>
            <w:noWrap/>
            <w:vAlign w:val="center"/>
            <w:hideMark/>
          </w:tcPr>
          <w:p w14:paraId="4A9865A2"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4,457,940</w:t>
            </w:r>
          </w:p>
        </w:tc>
        <w:tc>
          <w:tcPr>
            <w:tcW w:w="564" w:type="pct"/>
            <w:tcBorders>
              <w:top w:val="nil"/>
              <w:left w:val="nil"/>
              <w:bottom w:val="nil"/>
              <w:right w:val="nil"/>
            </w:tcBorders>
            <w:shd w:val="clear" w:color="000000" w:fill="FFFFFF"/>
            <w:noWrap/>
            <w:vAlign w:val="center"/>
            <w:hideMark/>
          </w:tcPr>
          <w:p w14:paraId="537FDA3B"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0.8</w:t>
            </w:r>
          </w:p>
        </w:tc>
        <w:tc>
          <w:tcPr>
            <w:tcW w:w="450" w:type="pct"/>
            <w:tcBorders>
              <w:top w:val="nil"/>
              <w:left w:val="nil"/>
              <w:bottom w:val="nil"/>
              <w:right w:val="nil"/>
            </w:tcBorders>
            <w:shd w:val="clear" w:color="000000" w:fill="FFFFFF"/>
            <w:noWrap/>
            <w:vAlign w:val="center"/>
            <w:hideMark/>
          </w:tcPr>
          <w:p w14:paraId="6AE3F63A"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1.2</w:t>
            </w:r>
          </w:p>
        </w:tc>
        <w:tc>
          <w:tcPr>
            <w:tcW w:w="450" w:type="pct"/>
            <w:tcBorders>
              <w:top w:val="nil"/>
              <w:left w:val="nil"/>
              <w:bottom w:val="nil"/>
              <w:right w:val="nil"/>
            </w:tcBorders>
            <w:shd w:val="clear" w:color="000000" w:fill="FFFFFF"/>
            <w:noWrap/>
            <w:vAlign w:val="center"/>
            <w:hideMark/>
          </w:tcPr>
          <w:p w14:paraId="466A0562"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0.7</w:t>
            </w:r>
          </w:p>
        </w:tc>
        <w:tc>
          <w:tcPr>
            <w:tcW w:w="450" w:type="pct"/>
            <w:tcBorders>
              <w:top w:val="nil"/>
              <w:left w:val="nil"/>
              <w:bottom w:val="nil"/>
              <w:right w:val="nil"/>
            </w:tcBorders>
            <w:shd w:val="clear" w:color="000000" w:fill="FFFFFF"/>
            <w:noWrap/>
            <w:vAlign w:val="center"/>
            <w:hideMark/>
          </w:tcPr>
          <w:p w14:paraId="6C5D533F"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0.7</w:t>
            </w:r>
          </w:p>
        </w:tc>
        <w:tc>
          <w:tcPr>
            <w:tcW w:w="450" w:type="pct"/>
            <w:tcBorders>
              <w:top w:val="nil"/>
              <w:left w:val="nil"/>
              <w:bottom w:val="nil"/>
              <w:right w:val="nil"/>
            </w:tcBorders>
            <w:shd w:val="clear" w:color="000000" w:fill="FFFFFF"/>
            <w:noWrap/>
            <w:vAlign w:val="center"/>
            <w:hideMark/>
          </w:tcPr>
          <w:p w14:paraId="534F7F23"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0.7</w:t>
            </w:r>
          </w:p>
        </w:tc>
        <w:tc>
          <w:tcPr>
            <w:tcW w:w="451" w:type="pct"/>
            <w:tcBorders>
              <w:top w:val="nil"/>
              <w:left w:val="nil"/>
              <w:bottom w:val="nil"/>
              <w:right w:val="single" w:sz="8" w:space="0" w:color="auto"/>
            </w:tcBorders>
            <w:shd w:val="clear" w:color="000000" w:fill="FFFFFF"/>
            <w:noWrap/>
            <w:vAlign w:val="center"/>
            <w:hideMark/>
          </w:tcPr>
          <w:p w14:paraId="2BCD473F"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1.3</w:t>
            </w:r>
          </w:p>
        </w:tc>
      </w:tr>
      <w:tr w:rsidR="00F01E64" w:rsidRPr="007D1983" w14:paraId="2BB21242" w14:textId="77777777" w:rsidTr="00F01E64">
        <w:trPr>
          <w:trHeight w:val="300"/>
        </w:trPr>
        <w:tc>
          <w:tcPr>
            <w:tcW w:w="570" w:type="pct"/>
            <w:vMerge/>
            <w:tcBorders>
              <w:top w:val="nil"/>
              <w:left w:val="single" w:sz="8" w:space="0" w:color="auto"/>
              <w:bottom w:val="single" w:sz="8" w:space="0" w:color="000000"/>
              <w:right w:val="nil"/>
            </w:tcBorders>
            <w:vAlign w:val="center"/>
            <w:hideMark/>
          </w:tcPr>
          <w:p w14:paraId="26CAAC50" w14:textId="77777777" w:rsidR="00F01E64" w:rsidRPr="00503D38" w:rsidRDefault="00F01E64" w:rsidP="002439C8">
            <w:pPr>
              <w:jc w:val="left"/>
              <w:rPr>
                <w:rFonts w:ascii="Calibri" w:eastAsia="Times New Roman" w:hAnsi="Calibri" w:cs="Calibri"/>
                <w:color w:val="000000"/>
                <w:sz w:val="20"/>
                <w:szCs w:val="20"/>
                <w:lang w:val="en-AU" w:eastAsia="en-AU" w:bidi="ar-SA"/>
              </w:rPr>
            </w:pPr>
          </w:p>
        </w:tc>
        <w:tc>
          <w:tcPr>
            <w:tcW w:w="561" w:type="pct"/>
            <w:tcBorders>
              <w:top w:val="nil"/>
              <w:left w:val="nil"/>
              <w:bottom w:val="nil"/>
              <w:right w:val="nil"/>
            </w:tcBorders>
            <w:shd w:val="clear" w:color="auto" w:fill="auto"/>
            <w:vAlign w:val="center"/>
            <w:hideMark/>
          </w:tcPr>
          <w:p w14:paraId="48413514"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Tully</w:t>
            </w:r>
          </w:p>
        </w:tc>
        <w:tc>
          <w:tcPr>
            <w:tcW w:w="527" w:type="pct"/>
            <w:tcBorders>
              <w:top w:val="nil"/>
              <w:left w:val="nil"/>
              <w:bottom w:val="nil"/>
              <w:right w:val="nil"/>
            </w:tcBorders>
            <w:shd w:val="clear" w:color="auto" w:fill="auto"/>
            <w:noWrap/>
            <w:vAlign w:val="center"/>
            <w:hideMark/>
          </w:tcPr>
          <w:p w14:paraId="089E2D11"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4,237,041</w:t>
            </w:r>
          </w:p>
        </w:tc>
        <w:tc>
          <w:tcPr>
            <w:tcW w:w="527" w:type="pct"/>
            <w:tcBorders>
              <w:top w:val="nil"/>
              <w:left w:val="nil"/>
              <w:bottom w:val="nil"/>
              <w:right w:val="nil"/>
            </w:tcBorders>
            <w:shd w:val="clear" w:color="auto" w:fill="auto"/>
            <w:noWrap/>
            <w:vAlign w:val="center"/>
            <w:hideMark/>
          </w:tcPr>
          <w:p w14:paraId="37338EC3"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3,536,054</w:t>
            </w:r>
          </w:p>
        </w:tc>
        <w:tc>
          <w:tcPr>
            <w:tcW w:w="564" w:type="pct"/>
            <w:tcBorders>
              <w:top w:val="nil"/>
              <w:left w:val="nil"/>
              <w:bottom w:val="nil"/>
              <w:right w:val="nil"/>
            </w:tcBorders>
            <w:shd w:val="clear" w:color="000000" w:fill="FFFFFF"/>
            <w:noWrap/>
            <w:vAlign w:val="center"/>
            <w:hideMark/>
          </w:tcPr>
          <w:p w14:paraId="4FF8A169"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0.9</w:t>
            </w:r>
          </w:p>
        </w:tc>
        <w:tc>
          <w:tcPr>
            <w:tcW w:w="450" w:type="pct"/>
            <w:tcBorders>
              <w:top w:val="nil"/>
              <w:left w:val="nil"/>
              <w:bottom w:val="nil"/>
              <w:right w:val="nil"/>
            </w:tcBorders>
            <w:shd w:val="clear" w:color="000000" w:fill="FFFFFF"/>
            <w:noWrap/>
            <w:vAlign w:val="center"/>
            <w:hideMark/>
          </w:tcPr>
          <w:p w14:paraId="1055196E"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1.2</w:t>
            </w:r>
          </w:p>
        </w:tc>
        <w:tc>
          <w:tcPr>
            <w:tcW w:w="450" w:type="pct"/>
            <w:tcBorders>
              <w:top w:val="nil"/>
              <w:left w:val="nil"/>
              <w:bottom w:val="nil"/>
              <w:right w:val="nil"/>
            </w:tcBorders>
            <w:shd w:val="clear" w:color="000000" w:fill="FFFFFF"/>
            <w:noWrap/>
            <w:vAlign w:val="center"/>
            <w:hideMark/>
          </w:tcPr>
          <w:p w14:paraId="2BBD5419"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0.8</w:t>
            </w:r>
          </w:p>
        </w:tc>
        <w:tc>
          <w:tcPr>
            <w:tcW w:w="450" w:type="pct"/>
            <w:tcBorders>
              <w:top w:val="nil"/>
              <w:left w:val="nil"/>
              <w:bottom w:val="nil"/>
              <w:right w:val="nil"/>
            </w:tcBorders>
            <w:shd w:val="clear" w:color="000000" w:fill="FFFFFF"/>
            <w:noWrap/>
            <w:vAlign w:val="center"/>
            <w:hideMark/>
          </w:tcPr>
          <w:p w14:paraId="19501355"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0.8</w:t>
            </w:r>
          </w:p>
        </w:tc>
        <w:tc>
          <w:tcPr>
            <w:tcW w:w="450" w:type="pct"/>
            <w:tcBorders>
              <w:top w:val="nil"/>
              <w:left w:val="nil"/>
              <w:bottom w:val="nil"/>
              <w:right w:val="nil"/>
            </w:tcBorders>
            <w:shd w:val="clear" w:color="000000" w:fill="FFFFFF"/>
            <w:noWrap/>
            <w:vAlign w:val="center"/>
            <w:hideMark/>
          </w:tcPr>
          <w:p w14:paraId="30026BF6"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0.9</w:t>
            </w:r>
          </w:p>
        </w:tc>
        <w:tc>
          <w:tcPr>
            <w:tcW w:w="451" w:type="pct"/>
            <w:tcBorders>
              <w:top w:val="nil"/>
              <w:left w:val="nil"/>
              <w:bottom w:val="nil"/>
              <w:right w:val="single" w:sz="8" w:space="0" w:color="auto"/>
            </w:tcBorders>
            <w:shd w:val="clear" w:color="000000" w:fill="FFFFFF"/>
            <w:noWrap/>
            <w:vAlign w:val="center"/>
            <w:hideMark/>
          </w:tcPr>
          <w:p w14:paraId="67F48C2A"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1.2</w:t>
            </w:r>
          </w:p>
        </w:tc>
      </w:tr>
      <w:tr w:rsidR="00F01E64" w:rsidRPr="007D1983" w14:paraId="4BAFB409" w14:textId="77777777" w:rsidTr="00F01E64">
        <w:trPr>
          <w:trHeight w:val="315"/>
        </w:trPr>
        <w:tc>
          <w:tcPr>
            <w:tcW w:w="570" w:type="pct"/>
            <w:vMerge/>
            <w:tcBorders>
              <w:top w:val="nil"/>
              <w:left w:val="single" w:sz="8" w:space="0" w:color="auto"/>
              <w:bottom w:val="single" w:sz="8" w:space="0" w:color="000000"/>
              <w:right w:val="nil"/>
            </w:tcBorders>
            <w:vAlign w:val="center"/>
            <w:hideMark/>
          </w:tcPr>
          <w:p w14:paraId="69733023" w14:textId="77777777" w:rsidR="00F01E64" w:rsidRPr="00503D38" w:rsidRDefault="00F01E64" w:rsidP="002439C8">
            <w:pPr>
              <w:jc w:val="left"/>
              <w:rPr>
                <w:rFonts w:ascii="Calibri" w:eastAsia="Times New Roman" w:hAnsi="Calibri" w:cs="Calibri"/>
                <w:color w:val="000000"/>
                <w:sz w:val="20"/>
                <w:szCs w:val="20"/>
                <w:lang w:val="en-AU" w:eastAsia="en-AU" w:bidi="ar-SA"/>
              </w:rPr>
            </w:pPr>
          </w:p>
        </w:tc>
        <w:tc>
          <w:tcPr>
            <w:tcW w:w="561" w:type="pct"/>
            <w:tcBorders>
              <w:top w:val="nil"/>
              <w:left w:val="nil"/>
              <w:bottom w:val="single" w:sz="8" w:space="0" w:color="auto"/>
              <w:right w:val="nil"/>
            </w:tcBorders>
            <w:shd w:val="clear" w:color="auto" w:fill="auto"/>
            <w:vAlign w:val="center"/>
            <w:hideMark/>
          </w:tcPr>
          <w:p w14:paraId="030A9778"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Herbert</w:t>
            </w:r>
          </w:p>
        </w:tc>
        <w:tc>
          <w:tcPr>
            <w:tcW w:w="527" w:type="pct"/>
            <w:tcBorders>
              <w:top w:val="nil"/>
              <w:left w:val="nil"/>
              <w:bottom w:val="single" w:sz="8" w:space="0" w:color="auto"/>
              <w:right w:val="nil"/>
            </w:tcBorders>
            <w:shd w:val="clear" w:color="auto" w:fill="auto"/>
            <w:noWrap/>
            <w:vAlign w:val="center"/>
            <w:hideMark/>
          </w:tcPr>
          <w:p w14:paraId="48618786"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6,385,655</w:t>
            </w:r>
          </w:p>
        </w:tc>
        <w:tc>
          <w:tcPr>
            <w:tcW w:w="527" w:type="pct"/>
            <w:tcBorders>
              <w:top w:val="nil"/>
              <w:left w:val="nil"/>
              <w:bottom w:val="single" w:sz="8" w:space="0" w:color="auto"/>
              <w:right w:val="nil"/>
            </w:tcBorders>
            <w:shd w:val="clear" w:color="auto" w:fill="auto"/>
            <w:noWrap/>
            <w:vAlign w:val="center"/>
            <w:hideMark/>
          </w:tcPr>
          <w:p w14:paraId="6098EA9C"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3,556,376</w:t>
            </w:r>
          </w:p>
        </w:tc>
        <w:tc>
          <w:tcPr>
            <w:tcW w:w="564" w:type="pct"/>
            <w:tcBorders>
              <w:top w:val="nil"/>
              <w:left w:val="nil"/>
              <w:bottom w:val="single" w:sz="8" w:space="0" w:color="auto"/>
              <w:right w:val="nil"/>
            </w:tcBorders>
            <w:shd w:val="clear" w:color="000000" w:fill="FFFFFF"/>
            <w:noWrap/>
            <w:vAlign w:val="center"/>
            <w:hideMark/>
          </w:tcPr>
          <w:p w14:paraId="656D45BA"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0.9</w:t>
            </w:r>
          </w:p>
        </w:tc>
        <w:tc>
          <w:tcPr>
            <w:tcW w:w="450" w:type="pct"/>
            <w:tcBorders>
              <w:top w:val="nil"/>
              <w:left w:val="nil"/>
              <w:bottom w:val="single" w:sz="8" w:space="0" w:color="auto"/>
              <w:right w:val="nil"/>
            </w:tcBorders>
            <w:shd w:val="clear" w:color="000000" w:fill="FFFFFF"/>
            <w:noWrap/>
            <w:vAlign w:val="center"/>
            <w:hideMark/>
          </w:tcPr>
          <w:p w14:paraId="2C18CF5B"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1.2</w:t>
            </w:r>
          </w:p>
        </w:tc>
        <w:tc>
          <w:tcPr>
            <w:tcW w:w="450" w:type="pct"/>
            <w:tcBorders>
              <w:top w:val="nil"/>
              <w:left w:val="nil"/>
              <w:bottom w:val="single" w:sz="8" w:space="0" w:color="auto"/>
              <w:right w:val="nil"/>
            </w:tcBorders>
            <w:shd w:val="clear" w:color="000000" w:fill="FFFFFF"/>
            <w:noWrap/>
            <w:vAlign w:val="center"/>
            <w:hideMark/>
          </w:tcPr>
          <w:p w14:paraId="4ED7A748"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0.3</w:t>
            </w:r>
          </w:p>
        </w:tc>
        <w:tc>
          <w:tcPr>
            <w:tcW w:w="450" w:type="pct"/>
            <w:tcBorders>
              <w:top w:val="nil"/>
              <w:left w:val="nil"/>
              <w:bottom w:val="single" w:sz="8" w:space="0" w:color="auto"/>
              <w:right w:val="nil"/>
            </w:tcBorders>
            <w:shd w:val="clear" w:color="000000" w:fill="FFFFFF"/>
            <w:noWrap/>
            <w:vAlign w:val="center"/>
            <w:hideMark/>
          </w:tcPr>
          <w:p w14:paraId="42394B19"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0.5</w:t>
            </w:r>
          </w:p>
        </w:tc>
        <w:tc>
          <w:tcPr>
            <w:tcW w:w="450" w:type="pct"/>
            <w:tcBorders>
              <w:top w:val="nil"/>
              <w:left w:val="nil"/>
              <w:bottom w:val="single" w:sz="8" w:space="0" w:color="auto"/>
              <w:right w:val="nil"/>
            </w:tcBorders>
            <w:shd w:val="clear" w:color="000000" w:fill="FFFFFF"/>
            <w:noWrap/>
            <w:vAlign w:val="center"/>
            <w:hideMark/>
          </w:tcPr>
          <w:p w14:paraId="2B02E509"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0.6</w:t>
            </w:r>
          </w:p>
        </w:tc>
        <w:tc>
          <w:tcPr>
            <w:tcW w:w="451" w:type="pct"/>
            <w:tcBorders>
              <w:top w:val="nil"/>
              <w:left w:val="nil"/>
              <w:bottom w:val="single" w:sz="8" w:space="0" w:color="auto"/>
              <w:right w:val="single" w:sz="8" w:space="0" w:color="auto"/>
            </w:tcBorders>
            <w:shd w:val="clear" w:color="000000" w:fill="FFFF00"/>
            <w:noWrap/>
            <w:vAlign w:val="center"/>
            <w:hideMark/>
          </w:tcPr>
          <w:p w14:paraId="291953C7"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1.8</w:t>
            </w:r>
          </w:p>
        </w:tc>
      </w:tr>
      <w:tr w:rsidR="00F01E64" w:rsidRPr="007D1983" w14:paraId="13FA778D" w14:textId="77777777" w:rsidTr="00F01E64">
        <w:trPr>
          <w:trHeight w:val="315"/>
        </w:trPr>
        <w:tc>
          <w:tcPr>
            <w:tcW w:w="570" w:type="pct"/>
            <w:tcBorders>
              <w:top w:val="nil"/>
              <w:left w:val="single" w:sz="8" w:space="0" w:color="auto"/>
              <w:bottom w:val="single" w:sz="8" w:space="0" w:color="auto"/>
              <w:right w:val="nil"/>
            </w:tcBorders>
            <w:shd w:val="clear" w:color="auto" w:fill="auto"/>
            <w:vAlign w:val="center"/>
            <w:hideMark/>
          </w:tcPr>
          <w:p w14:paraId="2E9AA6B2"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Burdekin</w:t>
            </w:r>
          </w:p>
        </w:tc>
        <w:tc>
          <w:tcPr>
            <w:tcW w:w="561" w:type="pct"/>
            <w:tcBorders>
              <w:top w:val="nil"/>
              <w:left w:val="nil"/>
              <w:bottom w:val="single" w:sz="8" w:space="0" w:color="auto"/>
              <w:right w:val="nil"/>
            </w:tcBorders>
            <w:shd w:val="clear" w:color="auto" w:fill="auto"/>
            <w:vAlign w:val="center"/>
            <w:hideMark/>
          </w:tcPr>
          <w:p w14:paraId="7DF9C3F1"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Burdekin</w:t>
            </w:r>
          </w:p>
        </w:tc>
        <w:tc>
          <w:tcPr>
            <w:tcW w:w="527" w:type="pct"/>
            <w:tcBorders>
              <w:top w:val="nil"/>
              <w:left w:val="nil"/>
              <w:bottom w:val="single" w:sz="8" w:space="0" w:color="auto"/>
              <w:right w:val="nil"/>
            </w:tcBorders>
            <w:shd w:val="clear" w:color="auto" w:fill="auto"/>
            <w:noWrap/>
            <w:vAlign w:val="center"/>
            <w:hideMark/>
          </w:tcPr>
          <w:p w14:paraId="71DEE71D"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5,542,306</w:t>
            </w:r>
          </w:p>
        </w:tc>
        <w:tc>
          <w:tcPr>
            <w:tcW w:w="527" w:type="pct"/>
            <w:tcBorders>
              <w:top w:val="nil"/>
              <w:left w:val="nil"/>
              <w:bottom w:val="single" w:sz="8" w:space="0" w:color="auto"/>
              <w:right w:val="nil"/>
            </w:tcBorders>
            <w:shd w:val="clear" w:color="auto" w:fill="auto"/>
            <w:noWrap/>
            <w:vAlign w:val="center"/>
            <w:hideMark/>
          </w:tcPr>
          <w:p w14:paraId="0F553967"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4,406,780</w:t>
            </w:r>
          </w:p>
        </w:tc>
        <w:tc>
          <w:tcPr>
            <w:tcW w:w="564" w:type="pct"/>
            <w:tcBorders>
              <w:top w:val="nil"/>
              <w:left w:val="nil"/>
              <w:bottom w:val="single" w:sz="8" w:space="0" w:color="auto"/>
              <w:right w:val="nil"/>
            </w:tcBorders>
            <w:shd w:val="clear" w:color="000000" w:fill="FFFFFF"/>
            <w:noWrap/>
            <w:vAlign w:val="center"/>
            <w:hideMark/>
          </w:tcPr>
          <w:p w14:paraId="5387CD41"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0.8</w:t>
            </w:r>
          </w:p>
        </w:tc>
        <w:tc>
          <w:tcPr>
            <w:tcW w:w="450" w:type="pct"/>
            <w:tcBorders>
              <w:top w:val="nil"/>
              <w:left w:val="nil"/>
              <w:bottom w:val="single" w:sz="8" w:space="0" w:color="auto"/>
              <w:right w:val="nil"/>
            </w:tcBorders>
            <w:shd w:val="clear" w:color="000000" w:fill="FFFFFF"/>
            <w:noWrap/>
            <w:vAlign w:val="center"/>
            <w:hideMark/>
          </w:tcPr>
          <w:p w14:paraId="1BDA103B"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0.3</w:t>
            </w:r>
          </w:p>
        </w:tc>
        <w:tc>
          <w:tcPr>
            <w:tcW w:w="450" w:type="pct"/>
            <w:tcBorders>
              <w:top w:val="nil"/>
              <w:left w:val="nil"/>
              <w:bottom w:val="single" w:sz="8" w:space="0" w:color="auto"/>
              <w:right w:val="nil"/>
            </w:tcBorders>
            <w:shd w:val="clear" w:color="000000" w:fill="FFFFFF"/>
            <w:noWrap/>
            <w:vAlign w:val="center"/>
            <w:hideMark/>
          </w:tcPr>
          <w:p w14:paraId="17AD6434"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0.2</w:t>
            </w:r>
          </w:p>
        </w:tc>
        <w:tc>
          <w:tcPr>
            <w:tcW w:w="450" w:type="pct"/>
            <w:tcBorders>
              <w:top w:val="nil"/>
              <w:left w:val="nil"/>
              <w:bottom w:val="single" w:sz="8" w:space="0" w:color="auto"/>
              <w:right w:val="nil"/>
            </w:tcBorders>
            <w:shd w:val="clear" w:color="000000" w:fill="FFFFFF"/>
            <w:noWrap/>
            <w:vAlign w:val="center"/>
            <w:hideMark/>
          </w:tcPr>
          <w:p w14:paraId="71E9DE47"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0.4</w:t>
            </w:r>
          </w:p>
        </w:tc>
        <w:tc>
          <w:tcPr>
            <w:tcW w:w="450" w:type="pct"/>
            <w:tcBorders>
              <w:top w:val="nil"/>
              <w:left w:val="nil"/>
              <w:bottom w:val="single" w:sz="8" w:space="0" w:color="auto"/>
              <w:right w:val="nil"/>
            </w:tcBorders>
            <w:shd w:val="clear" w:color="000000" w:fill="FFFFFF"/>
            <w:noWrap/>
            <w:vAlign w:val="center"/>
            <w:hideMark/>
          </w:tcPr>
          <w:p w14:paraId="34013D42"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0.9</w:t>
            </w:r>
          </w:p>
        </w:tc>
        <w:tc>
          <w:tcPr>
            <w:tcW w:w="451" w:type="pct"/>
            <w:tcBorders>
              <w:top w:val="nil"/>
              <w:left w:val="nil"/>
              <w:bottom w:val="single" w:sz="8" w:space="0" w:color="auto"/>
              <w:right w:val="single" w:sz="8" w:space="0" w:color="auto"/>
            </w:tcBorders>
            <w:shd w:val="clear" w:color="000000" w:fill="FFFFFF"/>
            <w:noWrap/>
            <w:vAlign w:val="center"/>
            <w:hideMark/>
          </w:tcPr>
          <w:p w14:paraId="2E97E35F"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1.3</w:t>
            </w:r>
          </w:p>
        </w:tc>
      </w:tr>
      <w:tr w:rsidR="00F01E64" w:rsidRPr="007D1983" w14:paraId="39648A84" w14:textId="77777777" w:rsidTr="00F01E64">
        <w:trPr>
          <w:trHeight w:val="300"/>
        </w:trPr>
        <w:tc>
          <w:tcPr>
            <w:tcW w:w="570" w:type="pct"/>
            <w:vMerge w:val="restart"/>
            <w:tcBorders>
              <w:top w:val="nil"/>
              <w:left w:val="single" w:sz="8" w:space="0" w:color="auto"/>
              <w:bottom w:val="single" w:sz="8" w:space="0" w:color="000000"/>
              <w:right w:val="nil"/>
            </w:tcBorders>
            <w:shd w:val="clear" w:color="auto" w:fill="auto"/>
            <w:vAlign w:val="center"/>
            <w:hideMark/>
          </w:tcPr>
          <w:p w14:paraId="0AC90D01"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Mackay Whitsunday</w:t>
            </w:r>
          </w:p>
        </w:tc>
        <w:tc>
          <w:tcPr>
            <w:tcW w:w="561" w:type="pct"/>
            <w:tcBorders>
              <w:top w:val="nil"/>
              <w:left w:val="nil"/>
              <w:bottom w:val="nil"/>
              <w:right w:val="nil"/>
            </w:tcBorders>
            <w:shd w:val="clear" w:color="auto" w:fill="auto"/>
            <w:vAlign w:val="center"/>
            <w:hideMark/>
          </w:tcPr>
          <w:p w14:paraId="5E049C5A"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Proserpine</w:t>
            </w:r>
          </w:p>
        </w:tc>
        <w:tc>
          <w:tcPr>
            <w:tcW w:w="527" w:type="pct"/>
            <w:tcBorders>
              <w:top w:val="nil"/>
              <w:left w:val="nil"/>
              <w:bottom w:val="nil"/>
              <w:right w:val="nil"/>
            </w:tcBorders>
            <w:shd w:val="clear" w:color="auto" w:fill="auto"/>
            <w:noWrap/>
            <w:vAlign w:val="center"/>
            <w:hideMark/>
          </w:tcPr>
          <w:p w14:paraId="71EF235A"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543,452</w:t>
            </w:r>
          </w:p>
        </w:tc>
        <w:tc>
          <w:tcPr>
            <w:tcW w:w="527" w:type="pct"/>
            <w:tcBorders>
              <w:top w:val="nil"/>
              <w:left w:val="nil"/>
              <w:bottom w:val="nil"/>
              <w:right w:val="nil"/>
            </w:tcBorders>
            <w:shd w:val="clear" w:color="auto" w:fill="auto"/>
            <w:noWrap/>
            <w:vAlign w:val="center"/>
            <w:hideMark/>
          </w:tcPr>
          <w:p w14:paraId="7E2C1ACB"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887,771</w:t>
            </w:r>
          </w:p>
        </w:tc>
        <w:tc>
          <w:tcPr>
            <w:tcW w:w="564" w:type="pct"/>
            <w:tcBorders>
              <w:top w:val="nil"/>
              <w:left w:val="nil"/>
              <w:bottom w:val="nil"/>
              <w:right w:val="nil"/>
            </w:tcBorders>
            <w:shd w:val="clear" w:color="000000" w:fill="FFFFFF"/>
            <w:noWrap/>
            <w:vAlign w:val="center"/>
            <w:hideMark/>
          </w:tcPr>
          <w:p w14:paraId="7D0CDB8C"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1.0</w:t>
            </w:r>
          </w:p>
        </w:tc>
        <w:tc>
          <w:tcPr>
            <w:tcW w:w="450" w:type="pct"/>
            <w:tcBorders>
              <w:top w:val="nil"/>
              <w:left w:val="nil"/>
              <w:bottom w:val="nil"/>
              <w:right w:val="nil"/>
            </w:tcBorders>
            <w:shd w:val="clear" w:color="000000" w:fill="FFFFFF"/>
            <w:noWrap/>
            <w:vAlign w:val="center"/>
            <w:hideMark/>
          </w:tcPr>
          <w:p w14:paraId="714F8929"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0.8</w:t>
            </w:r>
          </w:p>
        </w:tc>
        <w:tc>
          <w:tcPr>
            <w:tcW w:w="450" w:type="pct"/>
            <w:tcBorders>
              <w:top w:val="nil"/>
              <w:left w:val="nil"/>
              <w:bottom w:val="nil"/>
              <w:right w:val="nil"/>
            </w:tcBorders>
            <w:shd w:val="clear" w:color="000000" w:fill="FFFFFF"/>
            <w:noWrap/>
            <w:vAlign w:val="center"/>
            <w:hideMark/>
          </w:tcPr>
          <w:p w14:paraId="134DDB1D"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0.2</w:t>
            </w:r>
          </w:p>
        </w:tc>
        <w:tc>
          <w:tcPr>
            <w:tcW w:w="450" w:type="pct"/>
            <w:tcBorders>
              <w:top w:val="nil"/>
              <w:left w:val="nil"/>
              <w:bottom w:val="nil"/>
              <w:right w:val="nil"/>
            </w:tcBorders>
            <w:shd w:val="clear" w:color="000000" w:fill="FFFFFF"/>
            <w:noWrap/>
            <w:vAlign w:val="center"/>
            <w:hideMark/>
          </w:tcPr>
          <w:p w14:paraId="2CDBACB2"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0.4</w:t>
            </w:r>
          </w:p>
        </w:tc>
        <w:tc>
          <w:tcPr>
            <w:tcW w:w="450" w:type="pct"/>
            <w:tcBorders>
              <w:top w:val="nil"/>
              <w:left w:val="nil"/>
              <w:bottom w:val="nil"/>
              <w:right w:val="nil"/>
            </w:tcBorders>
            <w:shd w:val="clear" w:color="000000" w:fill="FFFF00"/>
            <w:noWrap/>
            <w:vAlign w:val="center"/>
            <w:hideMark/>
          </w:tcPr>
          <w:p w14:paraId="027CF53F"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1.9</w:t>
            </w:r>
          </w:p>
        </w:tc>
        <w:tc>
          <w:tcPr>
            <w:tcW w:w="451" w:type="pct"/>
            <w:tcBorders>
              <w:top w:val="nil"/>
              <w:left w:val="nil"/>
              <w:bottom w:val="nil"/>
              <w:right w:val="single" w:sz="8" w:space="0" w:color="auto"/>
            </w:tcBorders>
            <w:shd w:val="clear" w:color="000000" w:fill="FFFFFF"/>
            <w:noWrap/>
            <w:vAlign w:val="center"/>
            <w:hideMark/>
          </w:tcPr>
          <w:p w14:paraId="0ED9176E"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0.6</w:t>
            </w:r>
          </w:p>
        </w:tc>
      </w:tr>
      <w:tr w:rsidR="00F01E64" w:rsidRPr="007D1983" w14:paraId="51589A09" w14:textId="77777777" w:rsidTr="00F01E64">
        <w:trPr>
          <w:trHeight w:val="300"/>
        </w:trPr>
        <w:tc>
          <w:tcPr>
            <w:tcW w:w="570" w:type="pct"/>
            <w:vMerge/>
            <w:tcBorders>
              <w:top w:val="nil"/>
              <w:left w:val="single" w:sz="8" w:space="0" w:color="auto"/>
              <w:bottom w:val="single" w:sz="8" w:space="0" w:color="000000"/>
              <w:right w:val="nil"/>
            </w:tcBorders>
            <w:vAlign w:val="center"/>
            <w:hideMark/>
          </w:tcPr>
          <w:p w14:paraId="6122B33B" w14:textId="77777777" w:rsidR="00F01E64" w:rsidRPr="00503D38" w:rsidRDefault="00F01E64" w:rsidP="002439C8">
            <w:pPr>
              <w:jc w:val="left"/>
              <w:rPr>
                <w:rFonts w:ascii="Calibri" w:eastAsia="Times New Roman" w:hAnsi="Calibri" w:cs="Calibri"/>
                <w:color w:val="000000"/>
                <w:sz w:val="20"/>
                <w:szCs w:val="20"/>
                <w:lang w:val="en-AU" w:eastAsia="en-AU" w:bidi="ar-SA"/>
              </w:rPr>
            </w:pPr>
          </w:p>
        </w:tc>
        <w:tc>
          <w:tcPr>
            <w:tcW w:w="561" w:type="pct"/>
            <w:tcBorders>
              <w:top w:val="nil"/>
              <w:left w:val="nil"/>
              <w:bottom w:val="nil"/>
              <w:right w:val="nil"/>
            </w:tcBorders>
            <w:shd w:val="clear" w:color="auto" w:fill="auto"/>
            <w:vAlign w:val="center"/>
            <w:hideMark/>
          </w:tcPr>
          <w:p w14:paraId="0B42D101"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O'Connell</w:t>
            </w:r>
          </w:p>
        </w:tc>
        <w:tc>
          <w:tcPr>
            <w:tcW w:w="527" w:type="pct"/>
            <w:tcBorders>
              <w:top w:val="nil"/>
              <w:left w:val="nil"/>
              <w:bottom w:val="nil"/>
              <w:right w:val="nil"/>
            </w:tcBorders>
            <w:shd w:val="clear" w:color="auto" w:fill="auto"/>
            <w:noWrap/>
            <w:vAlign w:val="center"/>
            <w:hideMark/>
          </w:tcPr>
          <w:p w14:paraId="1D58BC6D"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487,713</w:t>
            </w:r>
          </w:p>
        </w:tc>
        <w:tc>
          <w:tcPr>
            <w:tcW w:w="527" w:type="pct"/>
            <w:tcBorders>
              <w:top w:val="nil"/>
              <w:left w:val="nil"/>
              <w:bottom w:val="nil"/>
              <w:right w:val="nil"/>
            </w:tcBorders>
            <w:shd w:val="clear" w:color="auto" w:fill="auto"/>
            <w:noWrap/>
            <w:vAlign w:val="center"/>
            <w:hideMark/>
          </w:tcPr>
          <w:p w14:paraId="704169C0"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796,718</w:t>
            </w:r>
          </w:p>
        </w:tc>
        <w:tc>
          <w:tcPr>
            <w:tcW w:w="564" w:type="pct"/>
            <w:tcBorders>
              <w:top w:val="nil"/>
              <w:left w:val="nil"/>
              <w:bottom w:val="nil"/>
              <w:right w:val="nil"/>
            </w:tcBorders>
            <w:shd w:val="clear" w:color="000000" w:fill="FFFFFF"/>
            <w:noWrap/>
            <w:vAlign w:val="center"/>
            <w:hideMark/>
          </w:tcPr>
          <w:p w14:paraId="1882E7E2"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1.0</w:t>
            </w:r>
          </w:p>
        </w:tc>
        <w:tc>
          <w:tcPr>
            <w:tcW w:w="450" w:type="pct"/>
            <w:tcBorders>
              <w:top w:val="nil"/>
              <w:left w:val="nil"/>
              <w:bottom w:val="nil"/>
              <w:right w:val="nil"/>
            </w:tcBorders>
            <w:shd w:val="clear" w:color="000000" w:fill="FFFFFF"/>
            <w:noWrap/>
            <w:vAlign w:val="center"/>
            <w:hideMark/>
          </w:tcPr>
          <w:p w14:paraId="710689C3"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0.8</w:t>
            </w:r>
          </w:p>
        </w:tc>
        <w:tc>
          <w:tcPr>
            <w:tcW w:w="450" w:type="pct"/>
            <w:tcBorders>
              <w:top w:val="nil"/>
              <w:left w:val="nil"/>
              <w:bottom w:val="nil"/>
              <w:right w:val="nil"/>
            </w:tcBorders>
            <w:shd w:val="clear" w:color="000000" w:fill="FFFFFF"/>
            <w:noWrap/>
            <w:vAlign w:val="center"/>
            <w:hideMark/>
          </w:tcPr>
          <w:p w14:paraId="22DFF4AE"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0.2</w:t>
            </w:r>
          </w:p>
        </w:tc>
        <w:tc>
          <w:tcPr>
            <w:tcW w:w="450" w:type="pct"/>
            <w:tcBorders>
              <w:top w:val="nil"/>
              <w:left w:val="nil"/>
              <w:bottom w:val="nil"/>
              <w:right w:val="nil"/>
            </w:tcBorders>
            <w:shd w:val="clear" w:color="000000" w:fill="FFFFFF"/>
            <w:noWrap/>
            <w:vAlign w:val="center"/>
            <w:hideMark/>
          </w:tcPr>
          <w:p w14:paraId="04BA6DFD"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0.4</w:t>
            </w:r>
          </w:p>
        </w:tc>
        <w:tc>
          <w:tcPr>
            <w:tcW w:w="450" w:type="pct"/>
            <w:tcBorders>
              <w:top w:val="nil"/>
              <w:left w:val="nil"/>
              <w:bottom w:val="nil"/>
              <w:right w:val="nil"/>
            </w:tcBorders>
            <w:shd w:val="clear" w:color="000000" w:fill="FFFF00"/>
            <w:noWrap/>
            <w:vAlign w:val="center"/>
            <w:hideMark/>
          </w:tcPr>
          <w:p w14:paraId="7F1A2DEA"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1.9</w:t>
            </w:r>
          </w:p>
        </w:tc>
        <w:tc>
          <w:tcPr>
            <w:tcW w:w="451" w:type="pct"/>
            <w:tcBorders>
              <w:top w:val="nil"/>
              <w:left w:val="nil"/>
              <w:bottom w:val="nil"/>
              <w:right w:val="single" w:sz="8" w:space="0" w:color="auto"/>
            </w:tcBorders>
            <w:shd w:val="clear" w:color="000000" w:fill="FFFFFF"/>
            <w:noWrap/>
            <w:vAlign w:val="center"/>
            <w:hideMark/>
          </w:tcPr>
          <w:p w14:paraId="2A607441"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0.6</w:t>
            </w:r>
          </w:p>
        </w:tc>
      </w:tr>
      <w:tr w:rsidR="00F01E64" w:rsidRPr="007D1983" w14:paraId="0B39DBC6" w14:textId="77777777" w:rsidTr="00F01E64">
        <w:trPr>
          <w:trHeight w:val="300"/>
        </w:trPr>
        <w:tc>
          <w:tcPr>
            <w:tcW w:w="570" w:type="pct"/>
            <w:vMerge/>
            <w:tcBorders>
              <w:top w:val="nil"/>
              <w:left w:val="single" w:sz="8" w:space="0" w:color="auto"/>
              <w:bottom w:val="single" w:sz="8" w:space="0" w:color="000000"/>
              <w:right w:val="nil"/>
            </w:tcBorders>
            <w:vAlign w:val="center"/>
            <w:hideMark/>
          </w:tcPr>
          <w:p w14:paraId="4F1A1C7E" w14:textId="77777777" w:rsidR="00F01E64" w:rsidRPr="00503D38" w:rsidRDefault="00F01E64" w:rsidP="002439C8">
            <w:pPr>
              <w:jc w:val="left"/>
              <w:rPr>
                <w:rFonts w:ascii="Calibri" w:eastAsia="Times New Roman" w:hAnsi="Calibri" w:cs="Calibri"/>
                <w:color w:val="000000"/>
                <w:sz w:val="20"/>
                <w:szCs w:val="20"/>
                <w:lang w:val="en-AU" w:eastAsia="en-AU" w:bidi="ar-SA"/>
              </w:rPr>
            </w:pPr>
          </w:p>
        </w:tc>
        <w:tc>
          <w:tcPr>
            <w:tcW w:w="561" w:type="pct"/>
            <w:tcBorders>
              <w:top w:val="nil"/>
              <w:left w:val="nil"/>
              <w:bottom w:val="nil"/>
              <w:right w:val="nil"/>
            </w:tcBorders>
            <w:shd w:val="clear" w:color="auto" w:fill="auto"/>
            <w:vAlign w:val="center"/>
            <w:hideMark/>
          </w:tcPr>
          <w:p w14:paraId="37C3E3B8"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Pioneer</w:t>
            </w:r>
          </w:p>
        </w:tc>
        <w:tc>
          <w:tcPr>
            <w:tcW w:w="527" w:type="pct"/>
            <w:tcBorders>
              <w:top w:val="nil"/>
              <w:left w:val="nil"/>
              <w:bottom w:val="nil"/>
              <w:right w:val="nil"/>
            </w:tcBorders>
            <w:shd w:val="clear" w:color="auto" w:fill="auto"/>
            <w:noWrap/>
            <w:vAlign w:val="center"/>
            <w:hideMark/>
          </w:tcPr>
          <w:p w14:paraId="7103CA6E"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249,530</w:t>
            </w:r>
          </w:p>
        </w:tc>
        <w:tc>
          <w:tcPr>
            <w:tcW w:w="527" w:type="pct"/>
            <w:tcBorders>
              <w:top w:val="nil"/>
              <w:left w:val="nil"/>
              <w:bottom w:val="nil"/>
              <w:right w:val="nil"/>
            </w:tcBorders>
            <w:shd w:val="clear" w:color="auto" w:fill="auto"/>
            <w:noWrap/>
            <w:vAlign w:val="center"/>
            <w:hideMark/>
          </w:tcPr>
          <w:p w14:paraId="3979CDD4"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776,984</w:t>
            </w:r>
          </w:p>
        </w:tc>
        <w:tc>
          <w:tcPr>
            <w:tcW w:w="564" w:type="pct"/>
            <w:tcBorders>
              <w:top w:val="nil"/>
              <w:left w:val="nil"/>
              <w:bottom w:val="nil"/>
              <w:right w:val="nil"/>
            </w:tcBorders>
            <w:shd w:val="clear" w:color="000000" w:fill="FFFF00"/>
            <w:noWrap/>
            <w:vAlign w:val="center"/>
            <w:hideMark/>
          </w:tcPr>
          <w:p w14:paraId="10DA1F33"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1.5</w:t>
            </w:r>
          </w:p>
        </w:tc>
        <w:tc>
          <w:tcPr>
            <w:tcW w:w="450" w:type="pct"/>
            <w:tcBorders>
              <w:top w:val="nil"/>
              <w:left w:val="nil"/>
              <w:bottom w:val="nil"/>
              <w:right w:val="nil"/>
            </w:tcBorders>
            <w:shd w:val="clear" w:color="000000" w:fill="FFFFFF"/>
            <w:noWrap/>
            <w:vAlign w:val="center"/>
            <w:hideMark/>
          </w:tcPr>
          <w:p w14:paraId="1AEBB18F"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0.8</w:t>
            </w:r>
          </w:p>
        </w:tc>
        <w:tc>
          <w:tcPr>
            <w:tcW w:w="450" w:type="pct"/>
            <w:tcBorders>
              <w:top w:val="nil"/>
              <w:left w:val="nil"/>
              <w:bottom w:val="nil"/>
              <w:right w:val="nil"/>
            </w:tcBorders>
            <w:shd w:val="clear" w:color="000000" w:fill="FFC000"/>
            <w:noWrap/>
            <w:vAlign w:val="center"/>
            <w:hideMark/>
          </w:tcPr>
          <w:p w14:paraId="5F07801B"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2.6</w:t>
            </w:r>
          </w:p>
        </w:tc>
        <w:tc>
          <w:tcPr>
            <w:tcW w:w="450" w:type="pct"/>
            <w:tcBorders>
              <w:top w:val="nil"/>
              <w:left w:val="nil"/>
              <w:bottom w:val="nil"/>
              <w:right w:val="nil"/>
            </w:tcBorders>
            <w:shd w:val="clear" w:color="000000" w:fill="FFFFFF"/>
            <w:noWrap/>
            <w:vAlign w:val="center"/>
            <w:hideMark/>
          </w:tcPr>
          <w:p w14:paraId="3DCA7EC0"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0.8</w:t>
            </w:r>
          </w:p>
        </w:tc>
        <w:tc>
          <w:tcPr>
            <w:tcW w:w="450" w:type="pct"/>
            <w:tcBorders>
              <w:top w:val="nil"/>
              <w:left w:val="nil"/>
              <w:bottom w:val="nil"/>
              <w:right w:val="nil"/>
            </w:tcBorders>
            <w:shd w:val="clear" w:color="000000" w:fill="FFFF00"/>
            <w:noWrap/>
            <w:vAlign w:val="center"/>
            <w:hideMark/>
          </w:tcPr>
          <w:p w14:paraId="1C6D57A8"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1.8</w:t>
            </w:r>
          </w:p>
        </w:tc>
        <w:tc>
          <w:tcPr>
            <w:tcW w:w="451" w:type="pct"/>
            <w:tcBorders>
              <w:top w:val="nil"/>
              <w:left w:val="nil"/>
              <w:bottom w:val="nil"/>
              <w:right w:val="single" w:sz="8" w:space="0" w:color="auto"/>
            </w:tcBorders>
            <w:shd w:val="clear" w:color="000000" w:fill="FFFFFF"/>
            <w:noWrap/>
            <w:vAlign w:val="center"/>
            <w:hideMark/>
          </w:tcPr>
          <w:p w14:paraId="29C87B95"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0.3</w:t>
            </w:r>
          </w:p>
        </w:tc>
      </w:tr>
      <w:tr w:rsidR="00F01E64" w:rsidRPr="007D1983" w14:paraId="7305961E" w14:textId="77777777" w:rsidTr="00F01E64">
        <w:trPr>
          <w:trHeight w:val="315"/>
        </w:trPr>
        <w:tc>
          <w:tcPr>
            <w:tcW w:w="570" w:type="pct"/>
            <w:vMerge/>
            <w:tcBorders>
              <w:top w:val="nil"/>
              <w:left w:val="single" w:sz="8" w:space="0" w:color="auto"/>
              <w:bottom w:val="single" w:sz="8" w:space="0" w:color="000000"/>
              <w:right w:val="nil"/>
            </w:tcBorders>
            <w:vAlign w:val="center"/>
            <w:hideMark/>
          </w:tcPr>
          <w:p w14:paraId="45B0E9D6" w14:textId="77777777" w:rsidR="00F01E64" w:rsidRPr="00503D38" w:rsidRDefault="00F01E64" w:rsidP="002439C8">
            <w:pPr>
              <w:jc w:val="left"/>
              <w:rPr>
                <w:rFonts w:ascii="Calibri" w:eastAsia="Times New Roman" w:hAnsi="Calibri" w:cs="Calibri"/>
                <w:color w:val="000000"/>
                <w:sz w:val="20"/>
                <w:szCs w:val="20"/>
                <w:lang w:val="en-AU" w:eastAsia="en-AU" w:bidi="ar-SA"/>
              </w:rPr>
            </w:pPr>
          </w:p>
        </w:tc>
        <w:tc>
          <w:tcPr>
            <w:tcW w:w="561" w:type="pct"/>
            <w:tcBorders>
              <w:top w:val="nil"/>
              <w:left w:val="nil"/>
              <w:bottom w:val="single" w:sz="8" w:space="0" w:color="auto"/>
              <w:right w:val="nil"/>
            </w:tcBorders>
            <w:shd w:val="clear" w:color="auto" w:fill="auto"/>
            <w:vAlign w:val="center"/>
            <w:hideMark/>
          </w:tcPr>
          <w:p w14:paraId="2F078558"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Plane</w:t>
            </w:r>
          </w:p>
        </w:tc>
        <w:tc>
          <w:tcPr>
            <w:tcW w:w="527" w:type="pct"/>
            <w:tcBorders>
              <w:top w:val="nil"/>
              <w:left w:val="nil"/>
              <w:bottom w:val="single" w:sz="8" w:space="0" w:color="auto"/>
              <w:right w:val="nil"/>
            </w:tcBorders>
            <w:shd w:val="clear" w:color="auto" w:fill="auto"/>
            <w:noWrap/>
            <w:vAlign w:val="center"/>
            <w:hideMark/>
          </w:tcPr>
          <w:p w14:paraId="4E934933"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273,639</w:t>
            </w:r>
          </w:p>
        </w:tc>
        <w:tc>
          <w:tcPr>
            <w:tcW w:w="527" w:type="pct"/>
            <w:tcBorders>
              <w:top w:val="nil"/>
              <w:left w:val="nil"/>
              <w:bottom w:val="single" w:sz="8" w:space="0" w:color="auto"/>
              <w:right w:val="nil"/>
            </w:tcBorders>
            <w:shd w:val="clear" w:color="auto" w:fill="auto"/>
            <w:noWrap/>
            <w:vAlign w:val="center"/>
            <w:hideMark/>
          </w:tcPr>
          <w:p w14:paraId="036C0744"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1,052,831</w:t>
            </w:r>
          </w:p>
        </w:tc>
        <w:tc>
          <w:tcPr>
            <w:tcW w:w="564" w:type="pct"/>
            <w:tcBorders>
              <w:top w:val="nil"/>
              <w:left w:val="nil"/>
              <w:bottom w:val="single" w:sz="8" w:space="0" w:color="auto"/>
              <w:right w:val="nil"/>
            </w:tcBorders>
            <w:shd w:val="clear" w:color="000000" w:fill="FFFF00"/>
            <w:noWrap/>
            <w:vAlign w:val="center"/>
            <w:hideMark/>
          </w:tcPr>
          <w:p w14:paraId="625F7818"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1.9</w:t>
            </w:r>
          </w:p>
        </w:tc>
        <w:tc>
          <w:tcPr>
            <w:tcW w:w="450" w:type="pct"/>
            <w:tcBorders>
              <w:top w:val="nil"/>
              <w:left w:val="nil"/>
              <w:bottom w:val="single" w:sz="8" w:space="0" w:color="auto"/>
              <w:right w:val="nil"/>
            </w:tcBorders>
            <w:shd w:val="clear" w:color="000000" w:fill="FFFFFF"/>
            <w:noWrap/>
            <w:vAlign w:val="center"/>
            <w:hideMark/>
          </w:tcPr>
          <w:p w14:paraId="038F19FF"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0.7</w:t>
            </w:r>
          </w:p>
        </w:tc>
        <w:tc>
          <w:tcPr>
            <w:tcW w:w="450" w:type="pct"/>
            <w:tcBorders>
              <w:top w:val="nil"/>
              <w:left w:val="nil"/>
              <w:bottom w:val="single" w:sz="8" w:space="0" w:color="auto"/>
              <w:right w:val="nil"/>
            </w:tcBorders>
            <w:shd w:val="clear" w:color="000000" w:fill="FFFFFF"/>
            <w:noWrap/>
            <w:vAlign w:val="center"/>
            <w:hideMark/>
          </w:tcPr>
          <w:p w14:paraId="23E506FB"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0.2</w:t>
            </w:r>
          </w:p>
        </w:tc>
        <w:tc>
          <w:tcPr>
            <w:tcW w:w="450" w:type="pct"/>
            <w:tcBorders>
              <w:top w:val="nil"/>
              <w:left w:val="nil"/>
              <w:bottom w:val="single" w:sz="8" w:space="0" w:color="auto"/>
              <w:right w:val="nil"/>
            </w:tcBorders>
            <w:shd w:val="clear" w:color="000000" w:fill="FFFFFF"/>
            <w:noWrap/>
            <w:vAlign w:val="center"/>
            <w:hideMark/>
          </w:tcPr>
          <w:p w14:paraId="24499FA1"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0.8</w:t>
            </w:r>
          </w:p>
        </w:tc>
        <w:tc>
          <w:tcPr>
            <w:tcW w:w="450" w:type="pct"/>
            <w:tcBorders>
              <w:top w:val="nil"/>
              <w:left w:val="nil"/>
              <w:bottom w:val="single" w:sz="8" w:space="0" w:color="auto"/>
              <w:right w:val="nil"/>
            </w:tcBorders>
            <w:shd w:val="clear" w:color="000000" w:fill="FFC000"/>
            <w:noWrap/>
            <w:vAlign w:val="center"/>
            <w:hideMark/>
          </w:tcPr>
          <w:p w14:paraId="377DB22A"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2.5</w:t>
            </w:r>
          </w:p>
        </w:tc>
        <w:tc>
          <w:tcPr>
            <w:tcW w:w="451" w:type="pct"/>
            <w:tcBorders>
              <w:top w:val="nil"/>
              <w:left w:val="nil"/>
              <w:bottom w:val="single" w:sz="8" w:space="0" w:color="auto"/>
              <w:right w:val="single" w:sz="8" w:space="0" w:color="auto"/>
            </w:tcBorders>
            <w:shd w:val="clear" w:color="000000" w:fill="FFFFFF"/>
            <w:noWrap/>
            <w:vAlign w:val="center"/>
            <w:hideMark/>
          </w:tcPr>
          <w:p w14:paraId="6C28C474"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0.3</w:t>
            </w:r>
          </w:p>
        </w:tc>
      </w:tr>
      <w:tr w:rsidR="00F01E64" w:rsidRPr="007D1983" w14:paraId="51946EBF" w14:textId="77777777" w:rsidTr="00F01E64">
        <w:trPr>
          <w:trHeight w:val="315"/>
        </w:trPr>
        <w:tc>
          <w:tcPr>
            <w:tcW w:w="570" w:type="pct"/>
            <w:tcBorders>
              <w:top w:val="nil"/>
              <w:left w:val="single" w:sz="8" w:space="0" w:color="auto"/>
              <w:bottom w:val="single" w:sz="8" w:space="0" w:color="auto"/>
              <w:right w:val="nil"/>
            </w:tcBorders>
            <w:shd w:val="clear" w:color="auto" w:fill="auto"/>
            <w:vAlign w:val="center"/>
            <w:hideMark/>
          </w:tcPr>
          <w:p w14:paraId="385CE008"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Fitzroy</w:t>
            </w:r>
          </w:p>
        </w:tc>
        <w:tc>
          <w:tcPr>
            <w:tcW w:w="561" w:type="pct"/>
            <w:tcBorders>
              <w:top w:val="nil"/>
              <w:left w:val="nil"/>
              <w:bottom w:val="single" w:sz="8" w:space="0" w:color="auto"/>
              <w:right w:val="nil"/>
            </w:tcBorders>
            <w:shd w:val="clear" w:color="auto" w:fill="auto"/>
            <w:vAlign w:val="center"/>
            <w:hideMark/>
          </w:tcPr>
          <w:p w14:paraId="5E0B525E"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Fitzroy</w:t>
            </w:r>
          </w:p>
        </w:tc>
        <w:tc>
          <w:tcPr>
            <w:tcW w:w="527" w:type="pct"/>
            <w:tcBorders>
              <w:top w:val="nil"/>
              <w:left w:val="nil"/>
              <w:bottom w:val="single" w:sz="8" w:space="0" w:color="auto"/>
              <w:right w:val="nil"/>
            </w:tcBorders>
            <w:shd w:val="clear" w:color="auto" w:fill="auto"/>
            <w:noWrap/>
            <w:vAlign w:val="center"/>
            <w:hideMark/>
          </w:tcPr>
          <w:p w14:paraId="7363DA94"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954,533</w:t>
            </w:r>
          </w:p>
        </w:tc>
        <w:tc>
          <w:tcPr>
            <w:tcW w:w="527" w:type="pct"/>
            <w:tcBorders>
              <w:top w:val="nil"/>
              <w:left w:val="nil"/>
              <w:bottom w:val="single" w:sz="8" w:space="0" w:color="auto"/>
              <w:right w:val="nil"/>
            </w:tcBorders>
            <w:shd w:val="clear" w:color="auto" w:fill="auto"/>
            <w:noWrap/>
            <w:vAlign w:val="center"/>
            <w:hideMark/>
          </w:tcPr>
          <w:p w14:paraId="58C55853"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2,852,307</w:t>
            </w:r>
          </w:p>
        </w:tc>
        <w:tc>
          <w:tcPr>
            <w:tcW w:w="564" w:type="pct"/>
            <w:tcBorders>
              <w:top w:val="nil"/>
              <w:left w:val="nil"/>
              <w:bottom w:val="single" w:sz="8" w:space="0" w:color="auto"/>
              <w:right w:val="nil"/>
            </w:tcBorders>
            <w:shd w:val="clear" w:color="000000" w:fill="FFC000"/>
            <w:noWrap/>
            <w:vAlign w:val="center"/>
            <w:hideMark/>
          </w:tcPr>
          <w:p w14:paraId="25DA4C09"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3.0</w:t>
            </w:r>
          </w:p>
        </w:tc>
        <w:tc>
          <w:tcPr>
            <w:tcW w:w="450" w:type="pct"/>
            <w:tcBorders>
              <w:top w:val="nil"/>
              <w:left w:val="nil"/>
              <w:bottom w:val="single" w:sz="8" w:space="0" w:color="auto"/>
              <w:right w:val="nil"/>
            </w:tcBorders>
            <w:shd w:val="clear" w:color="000000" w:fill="FFFFFF"/>
            <w:noWrap/>
            <w:vAlign w:val="center"/>
            <w:hideMark/>
          </w:tcPr>
          <w:p w14:paraId="42A3AD9E"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0.6</w:t>
            </w:r>
          </w:p>
        </w:tc>
        <w:tc>
          <w:tcPr>
            <w:tcW w:w="450" w:type="pct"/>
            <w:tcBorders>
              <w:top w:val="nil"/>
              <w:left w:val="nil"/>
              <w:bottom w:val="single" w:sz="8" w:space="0" w:color="auto"/>
              <w:right w:val="nil"/>
            </w:tcBorders>
            <w:shd w:val="clear" w:color="000000" w:fill="FFFFFF"/>
            <w:noWrap/>
            <w:vAlign w:val="center"/>
            <w:hideMark/>
          </w:tcPr>
          <w:p w14:paraId="1C4850A8"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0.9</w:t>
            </w:r>
          </w:p>
        </w:tc>
        <w:tc>
          <w:tcPr>
            <w:tcW w:w="450" w:type="pct"/>
            <w:tcBorders>
              <w:top w:val="nil"/>
              <w:left w:val="nil"/>
              <w:bottom w:val="single" w:sz="8" w:space="0" w:color="auto"/>
              <w:right w:val="nil"/>
            </w:tcBorders>
            <w:shd w:val="clear" w:color="000000" w:fill="FFFFFF"/>
            <w:noWrap/>
            <w:vAlign w:val="center"/>
            <w:hideMark/>
          </w:tcPr>
          <w:p w14:paraId="1D4AF0BC"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1.3</w:t>
            </w:r>
          </w:p>
        </w:tc>
        <w:tc>
          <w:tcPr>
            <w:tcW w:w="450" w:type="pct"/>
            <w:tcBorders>
              <w:top w:val="nil"/>
              <w:left w:val="nil"/>
              <w:bottom w:val="single" w:sz="8" w:space="0" w:color="auto"/>
              <w:right w:val="nil"/>
            </w:tcBorders>
            <w:shd w:val="clear" w:color="000000" w:fill="FFC000"/>
            <w:noWrap/>
            <w:vAlign w:val="center"/>
            <w:hideMark/>
          </w:tcPr>
          <w:p w14:paraId="5F021C82"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2.2</w:t>
            </w:r>
          </w:p>
        </w:tc>
        <w:tc>
          <w:tcPr>
            <w:tcW w:w="451" w:type="pct"/>
            <w:tcBorders>
              <w:top w:val="nil"/>
              <w:left w:val="nil"/>
              <w:bottom w:val="single" w:sz="8" w:space="0" w:color="auto"/>
              <w:right w:val="single" w:sz="8" w:space="0" w:color="auto"/>
            </w:tcBorders>
            <w:shd w:val="clear" w:color="000000" w:fill="FFFFFF"/>
            <w:noWrap/>
            <w:vAlign w:val="center"/>
            <w:hideMark/>
          </w:tcPr>
          <w:p w14:paraId="6F0C9A9D" w14:textId="77777777" w:rsidR="00F01E64" w:rsidRPr="00503D38" w:rsidRDefault="00F01E64" w:rsidP="002439C8">
            <w:pPr>
              <w:jc w:val="left"/>
              <w:rPr>
                <w:rFonts w:ascii="Calibri" w:eastAsia="Times New Roman" w:hAnsi="Calibri" w:cs="Calibri"/>
                <w:color w:val="000000"/>
                <w:sz w:val="20"/>
                <w:szCs w:val="20"/>
                <w:lang w:val="en-AU" w:eastAsia="en-AU" w:bidi="ar-SA"/>
              </w:rPr>
            </w:pPr>
            <w:r w:rsidRPr="00503D38">
              <w:rPr>
                <w:rFonts w:ascii="Calibri" w:eastAsia="Times New Roman" w:hAnsi="Calibri" w:cs="Calibri"/>
                <w:color w:val="000000"/>
                <w:sz w:val="20"/>
                <w:szCs w:val="20"/>
                <w:lang w:val="en-AU" w:eastAsia="en-AU" w:bidi="ar-SA"/>
              </w:rPr>
              <w:t>0.3</w:t>
            </w:r>
          </w:p>
        </w:tc>
      </w:tr>
    </w:tbl>
    <w:p w14:paraId="46697D03" w14:textId="77777777" w:rsidR="00F01E64" w:rsidRDefault="00F01E64" w:rsidP="002439C8">
      <w:pPr>
        <w:jc w:val="left"/>
        <w:rPr>
          <w:sz w:val="14"/>
          <w:szCs w:val="14"/>
        </w:rPr>
      </w:pPr>
      <w:r w:rsidRPr="007758EB">
        <w:rPr>
          <w:rStyle w:val="IntenseReference"/>
          <w:rFonts w:eastAsiaTheme="majorEastAsia"/>
          <w:b w:val="0"/>
          <w:color w:val="auto"/>
          <w:sz w:val="14"/>
          <w:u w:val="none"/>
        </w:rPr>
        <w:t xml:space="preserve">Colours highlight years for which river flow exceeded the median annual flow as estimated from available long-term time series for each river: yellow = 1.5 to 2-times LT median, orange = 2 to 3-times LT median, red= &gt;3-times LT median. Discharge data were supplied by DNRM and corrected by </w:t>
      </w:r>
      <w:r>
        <w:rPr>
          <w:rStyle w:val="IntenseReference"/>
          <w:rFonts w:eastAsiaTheme="majorEastAsia"/>
          <w:b w:val="0"/>
          <w:color w:val="auto"/>
          <w:sz w:val="14"/>
          <w:u w:val="none"/>
        </w:rPr>
        <w:fldChar w:fldCharType="begin"/>
      </w:r>
      <w:r>
        <w:rPr>
          <w:rStyle w:val="IntenseReference"/>
          <w:rFonts w:eastAsiaTheme="majorEastAsia"/>
          <w:b w:val="0"/>
          <w:color w:val="auto"/>
          <w:sz w:val="14"/>
          <w:u w:val="none"/>
        </w:rPr>
        <w:instrText xml:space="preserve"> ADDIN EN.CITE &lt;EndNote&gt;&lt;Cite AuthorYear="1"&gt;&lt;Author&gt;Waterhouse&lt;/Author&gt;&lt;Year&gt;2018&lt;/Year&gt;&lt;RecNum&gt;25&lt;/RecNum&gt;&lt;DisplayText&gt;Waterhouse et al. (2018)&lt;/DisplayText&gt;&lt;record&gt;&lt;rec-number&gt;25&lt;/rec-number&gt;&lt;foreign-keys&gt;&lt;key app="EN" db-id="xtpvpwz0ufxa2me5tv6v2prn2ez5p9atsvtr" timestamp="1539144943"&gt;25&lt;/key&gt;&lt;/foreign-keys&gt;&lt;ref-type name="Statute"&gt;31&lt;/ref-type&gt;&lt;contributors&gt;&lt;authors&gt;&lt;author&gt;Waterhouse, J.&lt;/author&gt;&lt;author&gt;Lønborg, C&lt;/author&gt;&lt;author&gt;Logan, M&lt;/author&gt;&lt;author&gt;Petus, C&lt;/author&gt;&lt;author&gt;Tracey, D.&lt;/author&gt;&lt;author&gt;Lewis, S&lt;/author&gt;&lt;author&gt;Howley,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 Townsville, 393pp&lt;/title&gt;&lt;/titles&gt;&lt;dates&gt;&lt;year&gt;2018&lt;/year&gt;&lt;/dates&gt;&lt;urls&gt;&lt;/urls&gt;&lt;/record&gt;&lt;/Cite&gt;&lt;/EndNote&gt;</w:instrText>
      </w:r>
      <w:r>
        <w:rPr>
          <w:rStyle w:val="IntenseReference"/>
          <w:rFonts w:eastAsiaTheme="majorEastAsia"/>
          <w:b w:val="0"/>
          <w:color w:val="auto"/>
          <w:sz w:val="14"/>
          <w:u w:val="none"/>
        </w:rPr>
        <w:fldChar w:fldCharType="separate"/>
      </w:r>
      <w:r>
        <w:rPr>
          <w:rStyle w:val="IntenseReference"/>
          <w:rFonts w:eastAsiaTheme="majorEastAsia"/>
          <w:b w:val="0"/>
          <w:noProof/>
          <w:color w:val="auto"/>
          <w:sz w:val="14"/>
          <w:u w:val="none"/>
        </w:rPr>
        <w:t>Waterhouse et al. (2018)</w:t>
      </w:r>
      <w:r>
        <w:rPr>
          <w:rStyle w:val="IntenseReference"/>
          <w:rFonts w:eastAsiaTheme="majorEastAsia"/>
          <w:b w:val="0"/>
          <w:color w:val="auto"/>
          <w:sz w:val="14"/>
          <w:u w:val="none"/>
        </w:rPr>
        <w:fldChar w:fldCharType="end"/>
      </w:r>
      <w:r>
        <w:rPr>
          <w:rStyle w:val="IntenseReference"/>
          <w:rFonts w:eastAsiaTheme="majorEastAsia"/>
          <w:b w:val="0"/>
          <w:color w:val="auto"/>
          <w:sz w:val="14"/>
          <w:u w:val="none"/>
        </w:rPr>
        <w:t xml:space="preserve"> for </w:t>
      </w:r>
      <w:r w:rsidRPr="007758EB">
        <w:rPr>
          <w:rStyle w:val="IntenseReference"/>
          <w:rFonts w:eastAsiaTheme="majorEastAsia"/>
          <w:b w:val="0"/>
          <w:color w:val="auto"/>
          <w:sz w:val="14"/>
          <w:u w:val="none"/>
        </w:rPr>
        <w:t xml:space="preserve">different placements of gauges within each </w:t>
      </w:r>
      <w:r>
        <w:rPr>
          <w:rStyle w:val="IntenseReference"/>
          <w:rFonts w:eastAsiaTheme="majorEastAsia"/>
          <w:b w:val="0"/>
          <w:color w:val="auto"/>
          <w:sz w:val="14"/>
          <w:u w:val="none"/>
        </w:rPr>
        <w:t>basin</w:t>
      </w:r>
      <w:r w:rsidRPr="007758EB">
        <w:rPr>
          <w:rStyle w:val="IntenseReference"/>
          <w:rFonts w:eastAsiaTheme="majorEastAsia"/>
          <w:b w:val="0"/>
          <w:color w:val="auto"/>
          <w:sz w:val="14"/>
          <w:u w:val="none"/>
        </w:rPr>
        <w:t xml:space="preserve">. The full dataset from which these data were derived is given </w:t>
      </w:r>
      <w:r w:rsidRPr="00B8455B">
        <w:rPr>
          <w:rStyle w:val="IntenseReference"/>
          <w:rFonts w:eastAsiaTheme="majorEastAsia"/>
          <w:b w:val="0"/>
          <w:color w:val="auto"/>
          <w:sz w:val="14"/>
          <w:u w:val="none"/>
        </w:rPr>
        <w:t xml:space="preserve">in </w:t>
      </w:r>
      <w:r w:rsidRPr="005512F8">
        <w:rPr>
          <w:rStyle w:val="IntenseReference"/>
          <w:rFonts w:eastAsiaTheme="majorEastAsia"/>
          <w:color w:val="auto"/>
          <w:u w:val="none"/>
        </w:rPr>
        <w:fldChar w:fldCharType="begin"/>
      </w:r>
      <w:r w:rsidRPr="00B8455B">
        <w:rPr>
          <w:rStyle w:val="IntenseReference"/>
          <w:rFonts w:eastAsiaTheme="majorEastAsia"/>
          <w:color w:val="auto"/>
          <w:u w:val="none"/>
        </w:rPr>
        <w:instrText xml:space="preserve"> REF _Ref480727672 \n \h  \* MERGEFORMAT </w:instrText>
      </w:r>
      <w:r w:rsidRPr="005512F8">
        <w:rPr>
          <w:rStyle w:val="IntenseReference"/>
          <w:rFonts w:eastAsiaTheme="majorEastAsia"/>
          <w:color w:val="auto"/>
          <w:u w:val="none"/>
        </w:rPr>
      </w:r>
      <w:r w:rsidRPr="005512F8">
        <w:rPr>
          <w:rStyle w:val="IntenseReference"/>
          <w:rFonts w:eastAsiaTheme="majorEastAsia"/>
          <w:color w:val="auto"/>
          <w:u w:val="none"/>
        </w:rPr>
        <w:fldChar w:fldCharType="separate"/>
      </w:r>
      <w:r w:rsidR="00251B46" w:rsidRPr="00251B46">
        <w:rPr>
          <w:rStyle w:val="IntenseReference"/>
          <w:rFonts w:eastAsiaTheme="majorEastAsia"/>
          <w:b w:val="0"/>
          <w:color w:val="auto"/>
          <w:sz w:val="14"/>
          <w:u w:val="none"/>
        </w:rPr>
        <w:t>0</w:t>
      </w:r>
      <w:r w:rsidRPr="005512F8">
        <w:rPr>
          <w:sz w:val="14"/>
          <w:szCs w:val="14"/>
        </w:rPr>
        <w:fldChar w:fldCharType="end"/>
      </w:r>
    </w:p>
    <w:p w14:paraId="195E987B" w14:textId="77777777" w:rsidR="00FE6E97" w:rsidRDefault="00FE6E97" w:rsidP="002439C8">
      <w:pPr>
        <w:jc w:val="left"/>
      </w:pPr>
    </w:p>
    <w:p w14:paraId="3E086746" w14:textId="77777777" w:rsidR="00FE6E97" w:rsidRDefault="00FE6E97">
      <w:pPr>
        <w:ind w:firstLine="357"/>
        <w:jc w:val="left"/>
      </w:pPr>
      <w:r>
        <w:br w:type="page"/>
      </w:r>
    </w:p>
    <w:p w14:paraId="57EDBDF2" w14:textId="77777777" w:rsidR="007758EB" w:rsidRPr="00963BE7" w:rsidRDefault="007758EB" w:rsidP="002439C8">
      <w:pPr>
        <w:pStyle w:val="Heading3"/>
        <w:jc w:val="left"/>
      </w:pPr>
      <w:bookmarkStart w:id="411" w:name="_Ref501785760"/>
      <w:bookmarkStart w:id="412" w:name="_Toc14435699"/>
      <w:r w:rsidRPr="00963BE7">
        <w:lastRenderedPageBreak/>
        <w:t>End-of-</w:t>
      </w:r>
      <w:r w:rsidR="00BF37D6">
        <w:t>basin</w:t>
      </w:r>
      <w:r w:rsidRPr="00963BE7">
        <w:t xml:space="preserve"> pesticide </w:t>
      </w:r>
      <w:bookmarkEnd w:id="411"/>
      <w:r w:rsidR="00EE1B0D">
        <w:t>monitoring</w:t>
      </w:r>
      <w:bookmarkEnd w:id="412"/>
      <w:r w:rsidR="00EE1B0D" w:rsidRPr="00963BE7">
        <w:t xml:space="preserve"> </w:t>
      </w:r>
    </w:p>
    <w:p w14:paraId="569CCF4B" w14:textId="77777777" w:rsidR="00EC0F1D" w:rsidRDefault="00EC0F1D" w:rsidP="002439C8">
      <w:pPr>
        <w:spacing w:line="276" w:lineRule="auto"/>
        <w:jc w:val="left"/>
        <w:rPr>
          <w:lang w:val="en-AU"/>
        </w:rPr>
      </w:pPr>
      <w:r w:rsidRPr="0049156F">
        <w:rPr>
          <w:lang w:val="en-AU"/>
        </w:rPr>
        <w:t>Systematic monitoring</w:t>
      </w:r>
      <w:r>
        <w:rPr>
          <w:lang w:val="en-AU"/>
        </w:rPr>
        <w:t xml:space="preserve"> has identified that pesticide contamination in the rivers, streams and estuaries that drain into the Reef marine environment is widespread </w:t>
      </w:r>
      <w:r w:rsidRPr="0049156F">
        <w:rPr>
          <w:lang w:val="en-AU"/>
        </w:rPr>
        <w:fldChar w:fldCharType="begin">
          <w:fldData xml:space="preserve">PEVuZE5vdGU+PENpdGU+PEF1dGhvcj5Ccm9kaWU8L0F1dGhvcj48WWVhcj4yMDEyPC9ZZWFyPjxS
ZWNOdW0+MTI8L1JlY051bT48RGlzcGxheVRleHQ+KEJyb2RpZSBldCBhbC4sIDIwMTIpPC9EaXNw
bGF5VGV4dD48cmVjb3JkPjxyZWMtbnVtYmVyPjEyPC9yZWMtbnVtYmVyPjxmb3JlaWduLWtleXM+
PGtleSBhcHA9IkVOIiBkYi1pZD0ieHRwdnB3ejB1ZnhhMm1lNXR2NnYycHJuMmV6NXA5YXRzdnRy
IiB0aW1lc3RhbXA9IjE1MzkxNDQ5NDMiPjEyPC9rZXk+PC9mb3JlaWduLWtleXM+PHJlZi10eXBl
IG5hbWU9IkpvdXJuYWwgQXJ0aWNsZSI+MTc8L3JlZi10eXBlPjxjb250cmlidXRvcnM+PGF1dGhv
cnM+PGF1dGhvcj5Ccm9kaWUsIEouIEUuPC9hdXRob3I+PGF1dGhvcj5Lcm9vbiwgRi4gSi48L2F1
dGhvcj48YXV0aG9yPlNjaGFmZmVsa2UsIEIuPC9hdXRob3I+PGF1dGhvcj5Xb2xhbnNraSwgRS4g
Qy48L2F1dGhvcj48YXV0aG9yPkxld2lzLCBTLiBFLjwvYXV0aG9yPjxhdXRob3I+RGV2bGluLCBN
LiBKLjwvYXV0aG9yPjxhdXRob3I+Qm9obmV0LCBJLiBDLjwvYXV0aG9yPjxhdXRob3I+QmFpbmJy
aWRnZSwgWi4gVC48L2F1dGhvcj48YXV0aG9yPldhdGVyaG91c2UsIEouPC9hdXRob3I+PGF1dGhv
cj5EYXZpcywgQS4gTS48L2F1dGhvcj48L2F1dGhvcnM+PC9jb250cmlidXRvcnM+PGF1dGgtYWRk
cmVzcz5DYXRjaG1lbnQgdG8gUmVlZiBSZXNlYXJjaCBHcm91cCwgQXVzdHJhbGlhbiBDZW50cmUg
Zm9yIFRyb3BpY2FsIEZyZXNod2F0ZXIgUmVzZWFyY2gsIEphbWVzIENvb2sgVW5pdmVyc2l0eSwg
VG93bnN2aWxsZSwgUWxkIDQ4MTEsIEF1c3RyYWxpYS4gam9uLmJyb2RpZUBqY3UuZWR1LmF1PC9h
dXRoLWFkZHJlc3M+PHRpdGxlcz48dGl0bGU+VGVycmVzdHJpYWwgcG9sbHV0YW50IHJ1bm9mZiB0
byB0aGUgR3JlYXQgQmFycmllciBSZWVmOiBBbiB1cGRhdGUgb2YgaXNzdWVzLCBwcmlvcml0aWVz
IGFuZCBtYW5hZ2VtZW50IHJlc3BvbnNlczwvdGl0bGU+PHNlY29uZGFyeS10aXRsZT5NYXJpbmUg
cG9sbHV0aW9uIGJ1bGxldGluPC9zZWNvbmRhcnktdGl0bGU+PGFsdC10aXRsZT5NYXIgUG9sbHV0
IEJ1bGw8L2FsdC10aXRsZT48L3RpdGxlcz48cGVyaW9kaWNhbD48ZnVsbC10aXRsZT5NYXJpbmUg
cG9sbHV0aW9uIGJ1bGxldGluPC9mdWxsLXRpdGxlPjwvcGVyaW9kaWNhbD48cGFnZXM+ODEtMTAw
PC9wYWdlcz48dm9sdW1lPjY1PC92b2x1bWU+PG51bWJlcj40LTk8L251bWJlcj48ZWRpdGlvbj4y
MDEyLzAxLzIwPC9lZGl0aW9uPjxrZXl3b3Jkcz48a2V5d29yZD5BZ3JpY3VsdHVyZS9zdGF0aXN0
aWNzICZhbXA7IG51bWVyaWNhbCBkYXRhPC9rZXl3b3JkPjxrZXl3b3JkPkF1c3RyYWxpYTwva2V5
d29yZD48a2V5d29yZD5Db25zZXJ2YXRpb24gb2YgTmF0dXJhbCBSZXNvdXJjZXMvbGVnaXNsYXRp
b24gJmFtcDsganVyaXNwcnVkZW5jZS9tZXRob2RzPC9rZXl3b3JkPjxrZXl3b3JkPipDb3JhbCBS
ZWVmczwva2V5d29yZD48a2V5d29yZD5FbnZpcm9ubWVudGFsIE1vbml0b3Jpbmc8L2tleXdvcmQ+
PGtleXdvcmQ+RW52aXJvbm1lbnRhbCBQb2xpY3k8L2tleXdvcmQ+PGtleXdvcmQ+R2VvbG9naWMg
U2VkaW1lbnRzL2NoZW1pc3RyeTwva2V5d29yZD48a2V5d29yZD5TZWF3YXRlci9jaGVtaXN0cnk8
L2tleXdvcmQ+PGtleXdvcmQ+V2F0ZXIgUG9sbHV0YW50cy8qYW5hbHlzaXM8L2tleXdvcmQ+PGtl
eXdvcmQ+V2F0ZXIgUG9sbHV0aW9uL2xlZ2lzbGF0aW9uICZhbXA7IGp1cmlzcHJ1ZGVuY2UvcHJl
dmVudGlvbiAmYW1wOyBjb250cm9sLypzdGF0aXN0aWNzICZhbXA7PC9rZXl3b3JkPjxrZXl3b3Jk
Pm51bWVyaWNhbCBkYXRhPC9rZXl3b3JkPjwva2V5d29yZHM+PGRhdGVzPjx5ZWFyPjIwMTI8L3ll
YXI+PC9kYXRlcz48aXNibj4xODc5LTMzNjMgKEVsZWN0cm9uaWMpJiN4RDswMDI1LTMyNlggKExp
bmtpbmcpPC9pc2JuPjxhY2Nlc3Npb24tbnVtPjIyMjU3NTUzPC9hY2Nlc3Npb24tbnVtPjx3b3Jr
LXR5cGU+UmVzZWFyY2ggU3VwcG9ydCwgTm9uLVUuUy4gR292JmFwb3M7dCYjeEQ7UmV2aWV3PC93
b3JrLXR5cGU+PHVybHM+PHJlbGF0ZWQtdXJscz48dXJsPmh0dHA6Ly93d3cubmNiaS5ubG0ubmlo
Lmdvdi9wdWJtZWQvMjIyNTc1NTM8L3VybD48L3JlbGF0ZWQtdXJscz48L3VybHM+PGVsZWN0cm9u
aWMtcmVzb3VyY2UtbnVtPjEwLjEwMTYvai5tYXJwb2xidWwuMjAxMS4xMi4wMTI8L2VsZWN0cm9u
aWMtcmVzb3VyY2UtbnVtPjxsYW5ndWFnZT5lbmc8L2xhbmd1YWdlPjwvcmVjb3JkPjwvQ2l0ZT48
L0VuZE5vdGU+AG==
</w:fldData>
        </w:fldChar>
      </w:r>
      <w:r>
        <w:rPr>
          <w:lang w:val="en-AU"/>
        </w:rPr>
        <w:instrText xml:space="preserve"> ADDIN EN.CITE </w:instrText>
      </w:r>
      <w:r>
        <w:rPr>
          <w:lang w:val="en-AU"/>
        </w:rPr>
        <w:fldChar w:fldCharType="begin">
          <w:fldData xml:space="preserve">PEVuZE5vdGU+PENpdGU+PEF1dGhvcj5Ccm9kaWU8L0F1dGhvcj48WWVhcj4yMDEyPC9ZZWFyPjxS
ZWNOdW0+MTI8L1JlY051bT48RGlzcGxheVRleHQ+KEJyb2RpZSBldCBhbC4sIDIwMTIpPC9EaXNw
bGF5VGV4dD48cmVjb3JkPjxyZWMtbnVtYmVyPjEyPC9yZWMtbnVtYmVyPjxmb3JlaWduLWtleXM+
PGtleSBhcHA9IkVOIiBkYi1pZD0ieHRwdnB3ejB1ZnhhMm1lNXR2NnYycHJuMmV6NXA5YXRzdnRy
IiB0aW1lc3RhbXA9IjE1MzkxNDQ5NDMiPjEyPC9rZXk+PC9mb3JlaWduLWtleXM+PHJlZi10eXBl
IG5hbWU9IkpvdXJuYWwgQXJ0aWNsZSI+MTc8L3JlZi10eXBlPjxjb250cmlidXRvcnM+PGF1dGhv
cnM+PGF1dGhvcj5Ccm9kaWUsIEouIEUuPC9hdXRob3I+PGF1dGhvcj5Lcm9vbiwgRi4gSi48L2F1
dGhvcj48YXV0aG9yPlNjaGFmZmVsa2UsIEIuPC9hdXRob3I+PGF1dGhvcj5Xb2xhbnNraSwgRS4g
Qy48L2F1dGhvcj48YXV0aG9yPkxld2lzLCBTLiBFLjwvYXV0aG9yPjxhdXRob3I+RGV2bGluLCBN
LiBKLjwvYXV0aG9yPjxhdXRob3I+Qm9obmV0LCBJLiBDLjwvYXV0aG9yPjxhdXRob3I+QmFpbmJy
aWRnZSwgWi4gVC48L2F1dGhvcj48YXV0aG9yPldhdGVyaG91c2UsIEouPC9hdXRob3I+PGF1dGhv
cj5EYXZpcywgQS4gTS48L2F1dGhvcj48L2F1dGhvcnM+PC9jb250cmlidXRvcnM+PGF1dGgtYWRk
cmVzcz5DYXRjaG1lbnQgdG8gUmVlZiBSZXNlYXJjaCBHcm91cCwgQXVzdHJhbGlhbiBDZW50cmUg
Zm9yIFRyb3BpY2FsIEZyZXNod2F0ZXIgUmVzZWFyY2gsIEphbWVzIENvb2sgVW5pdmVyc2l0eSwg
VG93bnN2aWxsZSwgUWxkIDQ4MTEsIEF1c3RyYWxpYS4gam9uLmJyb2RpZUBqY3UuZWR1LmF1PC9h
dXRoLWFkZHJlc3M+PHRpdGxlcz48dGl0bGU+VGVycmVzdHJpYWwgcG9sbHV0YW50IHJ1bm9mZiB0
byB0aGUgR3JlYXQgQmFycmllciBSZWVmOiBBbiB1cGRhdGUgb2YgaXNzdWVzLCBwcmlvcml0aWVz
IGFuZCBtYW5hZ2VtZW50IHJlc3BvbnNlczwvdGl0bGU+PHNlY29uZGFyeS10aXRsZT5NYXJpbmUg
cG9sbHV0aW9uIGJ1bGxldGluPC9zZWNvbmRhcnktdGl0bGU+PGFsdC10aXRsZT5NYXIgUG9sbHV0
IEJ1bGw8L2FsdC10aXRsZT48L3RpdGxlcz48cGVyaW9kaWNhbD48ZnVsbC10aXRsZT5NYXJpbmUg
cG9sbHV0aW9uIGJ1bGxldGluPC9mdWxsLXRpdGxlPjwvcGVyaW9kaWNhbD48cGFnZXM+ODEtMTAw
PC9wYWdlcz48dm9sdW1lPjY1PC92b2x1bWU+PG51bWJlcj40LTk8L251bWJlcj48ZWRpdGlvbj4y
MDEyLzAxLzIwPC9lZGl0aW9uPjxrZXl3b3Jkcz48a2V5d29yZD5BZ3JpY3VsdHVyZS9zdGF0aXN0
aWNzICZhbXA7IG51bWVyaWNhbCBkYXRhPC9rZXl3b3JkPjxrZXl3b3JkPkF1c3RyYWxpYTwva2V5
d29yZD48a2V5d29yZD5Db25zZXJ2YXRpb24gb2YgTmF0dXJhbCBSZXNvdXJjZXMvbGVnaXNsYXRp
b24gJmFtcDsganVyaXNwcnVkZW5jZS9tZXRob2RzPC9rZXl3b3JkPjxrZXl3b3JkPipDb3JhbCBS
ZWVmczwva2V5d29yZD48a2V5d29yZD5FbnZpcm9ubWVudGFsIE1vbml0b3Jpbmc8L2tleXdvcmQ+
PGtleXdvcmQ+RW52aXJvbm1lbnRhbCBQb2xpY3k8L2tleXdvcmQ+PGtleXdvcmQ+R2VvbG9naWMg
U2VkaW1lbnRzL2NoZW1pc3RyeTwva2V5d29yZD48a2V5d29yZD5TZWF3YXRlci9jaGVtaXN0cnk8
L2tleXdvcmQ+PGtleXdvcmQ+V2F0ZXIgUG9sbHV0YW50cy8qYW5hbHlzaXM8L2tleXdvcmQ+PGtl
eXdvcmQ+V2F0ZXIgUG9sbHV0aW9uL2xlZ2lzbGF0aW9uICZhbXA7IGp1cmlzcHJ1ZGVuY2UvcHJl
dmVudGlvbiAmYW1wOyBjb250cm9sLypzdGF0aXN0aWNzICZhbXA7PC9rZXl3b3JkPjxrZXl3b3Jk
Pm51bWVyaWNhbCBkYXRhPC9rZXl3b3JkPjwva2V5d29yZHM+PGRhdGVzPjx5ZWFyPjIwMTI8L3ll
YXI+PC9kYXRlcz48aXNibj4xODc5LTMzNjMgKEVsZWN0cm9uaWMpJiN4RDswMDI1LTMyNlggKExp
bmtpbmcpPC9pc2JuPjxhY2Nlc3Npb24tbnVtPjIyMjU3NTUzPC9hY2Nlc3Npb24tbnVtPjx3b3Jr
LXR5cGU+UmVzZWFyY2ggU3VwcG9ydCwgTm9uLVUuUy4gR292JmFwb3M7dCYjeEQ7UmV2aWV3PC93
b3JrLXR5cGU+PHVybHM+PHJlbGF0ZWQtdXJscz48dXJsPmh0dHA6Ly93d3cubmNiaS5ubG0ubmlo
Lmdvdi9wdWJtZWQvMjIyNTc1NTM8L3VybD48L3JlbGF0ZWQtdXJscz48L3VybHM+PGVsZWN0cm9u
aWMtcmVzb3VyY2UtbnVtPjEwLjEwMTYvai5tYXJwb2xidWwuMjAxMS4xMi4wMTI8L2VsZWN0cm9u
aWMtcmVzb3VyY2UtbnVtPjxsYW5ndWFnZT5lbmc8L2xhbmd1YWdlPjwvcmVjb3JkPjwvQ2l0ZT48
L0VuZE5vdGU+AG==
</w:fldData>
        </w:fldChar>
      </w:r>
      <w:r>
        <w:rPr>
          <w:lang w:val="en-AU"/>
        </w:rPr>
        <w:instrText xml:space="preserve"> ADDIN EN.CITE.DATA </w:instrText>
      </w:r>
      <w:r>
        <w:rPr>
          <w:lang w:val="en-AU"/>
        </w:rPr>
      </w:r>
      <w:r>
        <w:rPr>
          <w:lang w:val="en-AU"/>
        </w:rPr>
        <w:fldChar w:fldCharType="end"/>
      </w:r>
      <w:r w:rsidRPr="0049156F">
        <w:rPr>
          <w:lang w:val="en-AU"/>
        </w:rPr>
      </w:r>
      <w:r w:rsidRPr="0049156F">
        <w:rPr>
          <w:lang w:val="en-AU"/>
        </w:rPr>
        <w:fldChar w:fldCharType="separate"/>
      </w:r>
      <w:r>
        <w:rPr>
          <w:noProof/>
          <w:lang w:val="en-AU"/>
        </w:rPr>
        <w:t>(Brodie et al., 2012)</w:t>
      </w:r>
      <w:r w:rsidRPr="0049156F">
        <w:rPr>
          <w:lang w:val="en-AU"/>
        </w:rPr>
        <w:fldChar w:fldCharType="end"/>
      </w:r>
      <w:r w:rsidRPr="0049156F">
        <w:rPr>
          <w:lang w:val="en-AU"/>
        </w:rPr>
        <w:t xml:space="preserve">, with the highest </w:t>
      </w:r>
      <w:r>
        <w:rPr>
          <w:lang w:val="en-AU"/>
        </w:rPr>
        <w:t>levels</w:t>
      </w:r>
      <w:r w:rsidRPr="0049156F">
        <w:rPr>
          <w:lang w:val="en-AU"/>
        </w:rPr>
        <w:t xml:space="preserve"> around Mackay</w:t>
      </w:r>
      <w:r>
        <w:rPr>
          <w:lang w:val="en-AU"/>
        </w:rPr>
        <w:t xml:space="preserve"> </w:t>
      </w:r>
      <w:r>
        <w:rPr>
          <w:lang w:val="en-AU"/>
        </w:rPr>
        <w:fldChar w:fldCharType="begin"/>
      </w:r>
      <w:r>
        <w:rPr>
          <w:lang w:val="en-AU"/>
        </w:rPr>
        <w:instrText xml:space="preserve"> ADDIN EN.CITE &lt;EndNote&gt;&lt;Cite&gt;&lt;Author&gt;Brodie&lt;/Author&gt;&lt;Year&gt;2013&lt;/Year&gt;&lt;RecNum&gt;9&lt;/RecNum&gt;&lt;DisplayText&gt;(Brodie et al., 2013)&lt;/DisplayText&gt;&lt;record&gt;&lt;rec-number&gt;9&lt;/rec-number&gt;&lt;foreign-keys&gt;&lt;key app="EN" db-id="xtpvpwz0ufxa2me5tv6v2prn2ez5p9atsvtr" timestamp="1539144943"&gt;9&lt;/key&gt;&lt;/foreign-keys&gt;&lt;ref-type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Secretariat&lt;/pub-location&gt;&lt;urls&gt;&lt;/urls&gt;&lt;/record&gt;&lt;/Cite&gt;&lt;/EndNote&gt;</w:instrText>
      </w:r>
      <w:r>
        <w:rPr>
          <w:lang w:val="en-AU"/>
        </w:rPr>
        <w:fldChar w:fldCharType="separate"/>
      </w:r>
      <w:r>
        <w:rPr>
          <w:noProof/>
          <w:lang w:val="en-AU"/>
        </w:rPr>
        <w:t>(Brodie et al., 2013)</w:t>
      </w:r>
      <w:r>
        <w:rPr>
          <w:lang w:val="en-AU"/>
        </w:rPr>
        <w:fldChar w:fldCharType="end"/>
      </w:r>
      <w:r>
        <w:rPr>
          <w:lang w:val="en-AU"/>
        </w:rPr>
        <w:t xml:space="preserve">. In some cases, pesticide concentrations have been </w:t>
      </w:r>
      <w:r w:rsidRPr="0049156F">
        <w:rPr>
          <w:lang w:val="en-AU"/>
        </w:rPr>
        <w:t>elevated above Australian and New Zealand</w:t>
      </w:r>
      <w:r>
        <w:rPr>
          <w:lang w:val="en-AU"/>
        </w:rPr>
        <w:t xml:space="preserve"> Water Quality Guideline</w:t>
      </w:r>
      <w:r w:rsidRPr="00AF7548">
        <w:rPr>
          <w:lang w:val="en-AU"/>
        </w:rPr>
        <w:t xml:space="preserve"> </w:t>
      </w:r>
      <w:r>
        <w:rPr>
          <w:lang w:val="en-AU"/>
        </w:rPr>
        <w:t xml:space="preserve">(2000) trigger values in </w:t>
      </w:r>
      <w:r w:rsidR="00BF37D6">
        <w:rPr>
          <w:lang w:val="en-AU"/>
        </w:rPr>
        <w:t>basin</w:t>
      </w:r>
      <w:r>
        <w:rPr>
          <w:lang w:val="en-AU"/>
        </w:rPr>
        <w:t xml:space="preserve">s adjacent to intensive agricultural activity </w:t>
      </w:r>
      <w:r>
        <w:rPr>
          <w:lang w:val="en-AU"/>
        </w:rPr>
        <w:fldChar w:fldCharType="begin">
          <w:fldData xml:space="preserve">PEVuZE5vdGU+PENpdGU+PEF1dGhvcj5P4oCZQnJpZW48L0F1dGhvcj48WWVhcj4yMDE2PC9ZZWFy
PjxSZWNOdW0+MTM8L1JlY051bT48RGlzcGxheVRleHQ+KERTSVRJLCAyMDE1OyBP4oCZQnJpZW4g
ZXQgYWwuLCAyMDE2OyBTbWl0aCBldCBhbC4sIDIwMTIpPC9EaXNwbGF5VGV4dD48cmVjb3JkPjxy
ZWMtbnVtYmVyPjEzPC9yZWMtbnVtYmVyPjxmb3JlaWduLWtleXM+PGtleSBhcHA9IkVOIiBkYi1p
ZD0ieHRwdnB3ejB1ZnhhMm1lNXR2NnYycHJuMmV6NXA5YXRzdnRyIiB0aW1lc3RhbXA9IjE1Mzkx
NDQ5NDMiPjEzPC9rZXk+PC9mb3JlaWduLWtleXM+PHJlZi10eXBlIG5hbWU9IkpvdXJuYWwgQXJ0
aWNsZSI+MTc8L3JlZi10eXBlPjxjb250cmlidXRvcnM+PGF1dGhvcnM+PGF1dGhvcj5P4oCZQnJp
ZW4sIERvbWluaXF1ZTwvYXV0aG9yPjxhdXRob3I+TGV3aXMsIFN0ZXBoZW48L2F1dGhvcj48YXV0
aG9yPkRhdmlzLCBBYXJvbjwvYXV0aG9yPjxhdXRob3I+R2FsbGVuLCBDaHJpc3RpZTwvYXV0aG9y
PjxhdXRob3I+U21pdGgsIFJhY2hhZWw8L2F1dGhvcj48YXV0aG9yPlR1cm5lciwgUnlhbjwvYXV0
aG9yPjxhdXRob3I+V2FybmUsIE1pY2hhZWw8L2F1dGhvcj48YXV0aG9yPlR1cm5lciwgU2NvdHQ8
L2F1dGhvcj48YXV0aG9yPkNhc3dlbGwsIFN0ZXdhcnQ8L2F1dGhvcj48YXV0aG9yPk11ZWxsZXIs
IEpvY2hlbiBGPC9hdXRob3I+PC9hdXRob3JzPjwvY29udHJpYnV0b3JzPjx0aXRsZXM+PHRpdGxl
PlNwYXRpYWwgYW5kIHRlbXBvcmFsIHZhcmlhYmlsaXR5IGluIHBlc3RpY2lkZSBleHBvc3VyZSBk
b3duc3RyZWFtIG9mIGEgaGVhdmlseSBpcnJpZ2F0ZWQgY3JvcHBpbmcgYXJlYTogYXBwbGljYXRp
b24gb2YgZGlmZmVyZW50IG1vbml0b3JpbmcgdGVjaG5pcXVlczwvdGl0bGU+PHNlY29uZGFyeS10
aXRsZT5Kb3VybmFsIG9mIGFncmljdWx0dXJhbCBhbmQgZm9vZCBjaGVtaXN0cnk8L3NlY29uZGFy
eS10aXRsZT48L3RpdGxlcz48cGVyaW9kaWNhbD48ZnVsbC10aXRsZT5Kb3VybmFsIG9mIGFncmlj
dWx0dXJhbCBhbmQgZm9vZCBjaGVtaXN0cnk8L2Z1bGwtdGl0bGU+PC9wZXJpb2RpY2FsPjxwYWdl
cz4zOTc1LTM5ODk8L3BhZ2VzPjx2b2x1bWU+NjQ8L3ZvbHVtZT48bnVtYmVyPjIwPC9udW1iZXI+
PGRhdGVzPjx5ZWFyPjIwMTY8L3llYXI+PC9kYXRlcz48aXNibj4wMDIxLTg1NjE8L2lzYm4+PHVy
bHM+PC91cmxzPjwvcmVjb3JkPjwvQ2l0ZT48Q2l0ZT48QXV0aG9yPkRTSVRJPC9BdXRob3I+PFll
YXI+MjAxNTwvWWVhcj48UmVjTnVtPjE0PC9SZWNOdW0+PHJlY29yZD48cmVjLW51bWJlcj4xNDwv
cmVjLW51bWJlcj48Zm9yZWlnbi1rZXlzPjxrZXkgYXBwPSJFTiIgZGItaWQ9Inh0cHZwd3owdWZ4
YTJtZTV0djZ2MnBybjJlejVwOWF0c3Z0ciIgdGltZXN0YW1wPSIxNTM5MTQ0OTQzIj4xNDwva2V5
PjwvZm9yZWlnbi1rZXlzPjxyZWYtdHlwZSBuYW1lPSJSZXBvcnQiPjI3PC9yZWYtdHlwZT48Y29u
dHJpYnV0b3JzPjxhdXRob3JzPjxhdXRob3I+RFNJVEk8L2F1dGhvcj48L2F1dGhvcnM+PC9jb250
cmlidXRvcnM+PHRpdGxlcz48dGl0bGU+Tm90aWZpY2F0aW9uIG9mIFJlcG9ydGVkIEV4Y2VlZGFu
Y2VzIG9mIFBlc3RpY2lkZSBXYXRlciBRdWFsaXR5IEd1aWRlbGluZXMgaW4gMjAxNeKAkzE2IE5v
Ljc8L3RpdGxlPjwvdGl0bGVzPjxkYXRlcz48eWVhcj4yMDE1PC95ZWFyPjwvZGF0ZXM+PHB1Yi1s
b2NhdGlvbj5EZXBhcm1lbnQgb2YgU2NpZW5jZSwgSW5mb3JtYXRpb24gVGVjaG5vbG9neSBhbmQg
SW5ub3ZhdGlvbiwgQnJpc2JhbmU8L3B1Yi1sb2NhdGlvbj48dXJscz48L3VybHM+PC9yZWNvcmQ+
PC9DaXRlPjxDaXRlPjxBdXRob3I+U21pdGg8L0F1dGhvcj48WWVhcj4yMDEyPC9ZZWFyPjxSZWNO
dW0+ODwvUmVjTnVtPjxyZWNvcmQ+PHJlYy1udW1iZXI+ODwvcmVjLW51bWJlcj48Zm9yZWlnbi1r
ZXlzPjxrZXkgYXBwPSJFTiIgZGItaWQ9Inh0cHZwd3owdWZ4YTJtZTV0djZ2MnBybjJlejVwOWF0
c3Z0ciIgdGltZXN0YW1wPSIxNTM5MTQ0OTQzIj44PC9rZXk+PC9mb3JlaWduLWtleXM+PHJlZi10
eXBlIG5hbWU9IkpvdXJuYWwgQXJ0aWNsZSI+MTc8L3JlZi10eXBlPjxjb250cmlidXRvcnM+PGF1
dGhvcnM+PGF1dGhvcj5TbWl0aCwgUmFjaGFlbDwvYXV0aG9yPjxhdXRob3I+TWlkZGxlYnJvb2ss
IFJhY2hhZWw8L2F1dGhvcj48YXV0aG9yPlR1cm5lciwgUnlhbjwvYXV0aG9yPjxhdXRob3I+SHVn
Z2lucywgUmFlPC9hdXRob3I+PGF1dGhvcj5WYXJkeSwgU3V6YW5uZTwvYXV0aG9yPjxhdXRob3I+
V2FybmUsIE1pY2hhZWw8L2F1dGhvcj48L2F1dGhvcnM+PC9jb250cmlidXRvcnM+PHRpdGxlcz48
dGl0bGU+TGFyZ2Utc2NhbGUgcGVzdGljaWRlIG1vbml0b3JpbmcgYWNyb3NzIEdyZWF0IEJhcnJp
ZXIgUmVlZiBjYXRjaG1lbnRz4oCTcGFkZG9jayB0byByZWVmIGludGVncmF0ZWQgbW9uaXRvcmlu
ZywgbW9kZWxsaW5nIGFuZCByZXBvcnRpbmcgcHJvZ3JhbTwvdGl0bGU+PHNlY29uZGFyeS10aXRs
ZT5NYXJpbmUgcG9sbHV0aW9uIGJ1bGxldGluPC9zZWNvbmRhcnktdGl0bGU+PC90aXRsZXM+PHBl
cmlvZGljYWw+PGZ1bGwtdGl0bGU+TWFyaW5lIHBvbGx1dGlvbiBidWxsZXRpbjwvZnVsbC10aXRs
ZT48L3BlcmlvZGljYWw+PHBhZ2VzPjExNy0xMjc8L3BhZ2VzPjx2b2x1bWU+NjU8L3ZvbHVtZT48
bnVtYmVyPjQ8L251bWJlcj48ZGF0ZXM+PHllYXI+MjAxMjwveWVhcj48L2RhdGVzPjxpc2JuPjAw
MjUtMzI2WDwvaXNibj48dXJscz48L3VybHM+PC9yZWNvcmQ+PC9DaXRlPjwvRW5kTm90ZT4A
</w:fldData>
        </w:fldChar>
      </w:r>
      <w:r w:rsidR="002D0872">
        <w:rPr>
          <w:lang w:val="en-AU"/>
        </w:rPr>
        <w:instrText xml:space="preserve"> ADDIN EN.CITE </w:instrText>
      </w:r>
      <w:r w:rsidR="002D0872">
        <w:rPr>
          <w:lang w:val="en-AU"/>
        </w:rPr>
        <w:fldChar w:fldCharType="begin">
          <w:fldData xml:space="preserve">PEVuZE5vdGU+PENpdGU+PEF1dGhvcj5P4oCZQnJpZW48L0F1dGhvcj48WWVhcj4yMDE2PC9ZZWFy
PjxSZWNOdW0+MTM8L1JlY051bT48RGlzcGxheVRleHQ+KERTSVRJLCAyMDE1OyBP4oCZQnJpZW4g
ZXQgYWwuLCAyMDE2OyBTbWl0aCBldCBhbC4sIDIwMTIpPC9EaXNwbGF5VGV4dD48cmVjb3JkPjxy
ZWMtbnVtYmVyPjEzPC9yZWMtbnVtYmVyPjxmb3JlaWduLWtleXM+PGtleSBhcHA9IkVOIiBkYi1p
ZD0ieHRwdnB3ejB1ZnhhMm1lNXR2NnYycHJuMmV6NXA5YXRzdnRyIiB0aW1lc3RhbXA9IjE1Mzkx
NDQ5NDMiPjEzPC9rZXk+PC9mb3JlaWduLWtleXM+PHJlZi10eXBlIG5hbWU9IkpvdXJuYWwgQXJ0
aWNsZSI+MTc8L3JlZi10eXBlPjxjb250cmlidXRvcnM+PGF1dGhvcnM+PGF1dGhvcj5P4oCZQnJp
ZW4sIERvbWluaXF1ZTwvYXV0aG9yPjxhdXRob3I+TGV3aXMsIFN0ZXBoZW48L2F1dGhvcj48YXV0
aG9yPkRhdmlzLCBBYXJvbjwvYXV0aG9yPjxhdXRob3I+R2FsbGVuLCBDaHJpc3RpZTwvYXV0aG9y
PjxhdXRob3I+U21pdGgsIFJhY2hhZWw8L2F1dGhvcj48YXV0aG9yPlR1cm5lciwgUnlhbjwvYXV0
aG9yPjxhdXRob3I+V2FybmUsIE1pY2hhZWw8L2F1dGhvcj48YXV0aG9yPlR1cm5lciwgU2NvdHQ8
L2F1dGhvcj48YXV0aG9yPkNhc3dlbGwsIFN0ZXdhcnQ8L2F1dGhvcj48YXV0aG9yPk11ZWxsZXIs
IEpvY2hlbiBGPC9hdXRob3I+PC9hdXRob3JzPjwvY29udHJpYnV0b3JzPjx0aXRsZXM+PHRpdGxl
PlNwYXRpYWwgYW5kIHRlbXBvcmFsIHZhcmlhYmlsaXR5IGluIHBlc3RpY2lkZSBleHBvc3VyZSBk
b3duc3RyZWFtIG9mIGEgaGVhdmlseSBpcnJpZ2F0ZWQgY3JvcHBpbmcgYXJlYTogYXBwbGljYXRp
b24gb2YgZGlmZmVyZW50IG1vbml0b3JpbmcgdGVjaG5pcXVlczwvdGl0bGU+PHNlY29uZGFyeS10
aXRsZT5Kb3VybmFsIG9mIGFncmljdWx0dXJhbCBhbmQgZm9vZCBjaGVtaXN0cnk8L3NlY29uZGFy
eS10aXRsZT48L3RpdGxlcz48cGVyaW9kaWNhbD48ZnVsbC10aXRsZT5Kb3VybmFsIG9mIGFncmlj
dWx0dXJhbCBhbmQgZm9vZCBjaGVtaXN0cnk8L2Z1bGwtdGl0bGU+PC9wZXJpb2RpY2FsPjxwYWdl
cz4zOTc1LTM5ODk8L3BhZ2VzPjx2b2x1bWU+NjQ8L3ZvbHVtZT48bnVtYmVyPjIwPC9udW1iZXI+
PGRhdGVzPjx5ZWFyPjIwMTY8L3llYXI+PC9kYXRlcz48aXNibj4wMDIxLTg1NjE8L2lzYm4+PHVy
bHM+PC91cmxzPjwvcmVjb3JkPjwvQ2l0ZT48Q2l0ZT48QXV0aG9yPkRTSVRJPC9BdXRob3I+PFll
YXI+MjAxNTwvWWVhcj48UmVjTnVtPjE0PC9SZWNOdW0+PHJlY29yZD48cmVjLW51bWJlcj4xNDwv
cmVjLW51bWJlcj48Zm9yZWlnbi1rZXlzPjxrZXkgYXBwPSJFTiIgZGItaWQ9Inh0cHZwd3owdWZ4
YTJtZTV0djZ2MnBybjJlejVwOWF0c3Z0ciIgdGltZXN0YW1wPSIxNTM5MTQ0OTQzIj4xNDwva2V5
PjwvZm9yZWlnbi1rZXlzPjxyZWYtdHlwZSBuYW1lPSJSZXBvcnQiPjI3PC9yZWYtdHlwZT48Y29u
dHJpYnV0b3JzPjxhdXRob3JzPjxhdXRob3I+RFNJVEk8L2F1dGhvcj48L2F1dGhvcnM+PC9jb250
cmlidXRvcnM+PHRpdGxlcz48dGl0bGU+Tm90aWZpY2F0aW9uIG9mIFJlcG9ydGVkIEV4Y2VlZGFu
Y2VzIG9mIFBlc3RpY2lkZSBXYXRlciBRdWFsaXR5IEd1aWRlbGluZXMgaW4gMjAxNeKAkzE2IE5v
Ljc8L3RpdGxlPjwvdGl0bGVzPjxkYXRlcz48eWVhcj4yMDE1PC95ZWFyPjwvZGF0ZXM+PHB1Yi1s
b2NhdGlvbj5EZXBhcm1lbnQgb2YgU2NpZW5jZSwgSW5mb3JtYXRpb24gVGVjaG5vbG9neSBhbmQg
SW5ub3ZhdGlvbiwgQnJpc2JhbmU8L3B1Yi1sb2NhdGlvbj48dXJscz48L3VybHM+PC9yZWNvcmQ+
PC9DaXRlPjxDaXRlPjxBdXRob3I+U21pdGg8L0F1dGhvcj48WWVhcj4yMDEyPC9ZZWFyPjxSZWNO
dW0+ODwvUmVjTnVtPjxyZWNvcmQ+PHJlYy1udW1iZXI+ODwvcmVjLW51bWJlcj48Zm9yZWlnbi1r
ZXlzPjxrZXkgYXBwPSJFTiIgZGItaWQ9Inh0cHZwd3owdWZ4YTJtZTV0djZ2MnBybjJlejVwOWF0
c3Z0ciIgdGltZXN0YW1wPSIxNTM5MTQ0OTQzIj44PC9rZXk+PC9mb3JlaWduLWtleXM+PHJlZi10
eXBlIG5hbWU9IkpvdXJuYWwgQXJ0aWNsZSI+MTc8L3JlZi10eXBlPjxjb250cmlidXRvcnM+PGF1
dGhvcnM+PGF1dGhvcj5TbWl0aCwgUmFjaGFlbDwvYXV0aG9yPjxhdXRob3I+TWlkZGxlYnJvb2ss
IFJhY2hhZWw8L2F1dGhvcj48YXV0aG9yPlR1cm5lciwgUnlhbjwvYXV0aG9yPjxhdXRob3I+SHVn
Z2lucywgUmFlPC9hdXRob3I+PGF1dGhvcj5WYXJkeSwgU3V6YW5uZTwvYXV0aG9yPjxhdXRob3I+
V2FybmUsIE1pY2hhZWw8L2F1dGhvcj48L2F1dGhvcnM+PC9jb250cmlidXRvcnM+PHRpdGxlcz48
dGl0bGU+TGFyZ2Utc2NhbGUgcGVzdGljaWRlIG1vbml0b3JpbmcgYWNyb3NzIEdyZWF0IEJhcnJp
ZXIgUmVlZiBjYXRjaG1lbnRz4oCTcGFkZG9jayB0byByZWVmIGludGVncmF0ZWQgbW9uaXRvcmlu
ZywgbW9kZWxsaW5nIGFuZCByZXBvcnRpbmcgcHJvZ3JhbTwvdGl0bGU+PHNlY29uZGFyeS10aXRs
ZT5NYXJpbmUgcG9sbHV0aW9uIGJ1bGxldGluPC9zZWNvbmRhcnktdGl0bGU+PC90aXRsZXM+PHBl
cmlvZGljYWw+PGZ1bGwtdGl0bGU+TWFyaW5lIHBvbGx1dGlvbiBidWxsZXRpbjwvZnVsbC10aXRs
ZT48L3BlcmlvZGljYWw+PHBhZ2VzPjExNy0xMjc8L3BhZ2VzPjx2b2x1bWU+NjU8L3ZvbHVtZT48
bnVtYmVyPjQ8L251bWJlcj48ZGF0ZXM+PHllYXI+MjAxMjwveWVhcj48L2RhdGVzPjxpc2JuPjAw
MjUtMzI2WDwvaXNibj48dXJscz48L3VybHM+PC9yZWNvcmQ+PC9DaXRlPjwvRW5kTm90ZT4A
</w:fldData>
        </w:fldChar>
      </w:r>
      <w:r w:rsidR="002D0872">
        <w:rPr>
          <w:lang w:val="en-AU"/>
        </w:rPr>
        <w:instrText xml:space="preserve"> ADDIN EN.CITE.DATA </w:instrText>
      </w:r>
      <w:r w:rsidR="002D0872">
        <w:rPr>
          <w:lang w:val="en-AU"/>
        </w:rPr>
      </w:r>
      <w:r w:rsidR="002D0872">
        <w:rPr>
          <w:lang w:val="en-AU"/>
        </w:rPr>
        <w:fldChar w:fldCharType="end"/>
      </w:r>
      <w:r>
        <w:rPr>
          <w:lang w:val="en-AU"/>
        </w:rPr>
      </w:r>
      <w:r>
        <w:rPr>
          <w:lang w:val="en-AU"/>
        </w:rPr>
        <w:fldChar w:fldCharType="separate"/>
      </w:r>
      <w:r w:rsidR="002D0872">
        <w:rPr>
          <w:noProof/>
          <w:lang w:val="en-AU"/>
        </w:rPr>
        <w:t>(DSITI, 2015; O’Brien et al., 2016; Smith et al., 2012)</w:t>
      </w:r>
      <w:r>
        <w:rPr>
          <w:lang w:val="en-AU"/>
        </w:rPr>
        <w:fldChar w:fldCharType="end"/>
      </w:r>
      <w:r>
        <w:rPr>
          <w:lang w:val="en-AU"/>
        </w:rPr>
        <w:t xml:space="preserve">. </w:t>
      </w:r>
    </w:p>
    <w:p w14:paraId="58C95D0A" w14:textId="77777777" w:rsidR="00EC0F1D" w:rsidRDefault="00EC0F1D" w:rsidP="002439C8">
      <w:pPr>
        <w:spacing w:line="276" w:lineRule="auto"/>
        <w:jc w:val="left"/>
        <w:rPr>
          <w:lang w:val="en-AU"/>
        </w:rPr>
      </w:pPr>
    </w:p>
    <w:p w14:paraId="40033EF2" w14:textId="77777777" w:rsidR="00E63C36" w:rsidRDefault="00963BE7" w:rsidP="002439C8">
      <w:pPr>
        <w:spacing w:line="276" w:lineRule="auto"/>
        <w:jc w:val="left"/>
      </w:pPr>
      <w:r>
        <w:t>Forty-three</w:t>
      </w:r>
      <w:r w:rsidR="007758EB" w:rsidRPr="00963BE7">
        <w:t xml:space="preserve"> </w:t>
      </w:r>
      <w:r w:rsidR="00A521C0" w:rsidRPr="00963BE7">
        <w:t>pesticide</w:t>
      </w:r>
      <w:r w:rsidR="00982CCE" w:rsidRPr="00963BE7">
        <w:t>s</w:t>
      </w:r>
      <w:r w:rsidR="00A521C0" w:rsidRPr="00963BE7">
        <w:t xml:space="preserve"> </w:t>
      </w:r>
      <w:r w:rsidR="007758EB" w:rsidRPr="00963BE7">
        <w:t xml:space="preserve">and metabolites were monitored in </w:t>
      </w:r>
      <w:r w:rsidR="00DA32C4">
        <w:t>34</w:t>
      </w:r>
      <w:r w:rsidR="007758EB" w:rsidRPr="00963BE7">
        <w:t xml:space="preserve"> </w:t>
      </w:r>
      <w:r w:rsidR="00BF37D6">
        <w:t>basin</w:t>
      </w:r>
      <w:r w:rsidR="007758EB" w:rsidRPr="00963BE7">
        <w:t xml:space="preserve">s (comprising </w:t>
      </w:r>
      <w:r w:rsidR="00DA32C4">
        <w:t>both</w:t>
      </w:r>
      <w:r w:rsidR="007758EB" w:rsidRPr="00963BE7">
        <w:t xml:space="preserve"> end-of-</w:t>
      </w:r>
      <w:r w:rsidR="00BF37D6">
        <w:t>basin</w:t>
      </w:r>
      <w:r w:rsidR="007758EB" w:rsidRPr="00963BE7">
        <w:t xml:space="preserve"> and sub-</w:t>
      </w:r>
      <w:r w:rsidR="00BF37D6">
        <w:t>basin</w:t>
      </w:r>
      <w:r w:rsidR="007758EB" w:rsidRPr="00963BE7">
        <w:t xml:space="preserve"> sites) under GBRCLMP (Huggins et al.,</w:t>
      </w:r>
      <w:r w:rsidR="007758EB" w:rsidRPr="00963BE7">
        <w:rPr>
          <w:i/>
        </w:rPr>
        <w:t xml:space="preserve"> in prep</w:t>
      </w:r>
      <w:r w:rsidR="007758EB" w:rsidRPr="00DA32C4">
        <w:t xml:space="preserve">). Samples were collected at regular intervals throughout the year (typically monthly) during low-flow (ambient) conditions and higher frequency sampling during high-flow (event) conditions. </w:t>
      </w:r>
    </w:p>
    <w:p w14:paraId="57929C7C" w14:textId="77777777" w:rsidR="00492EF4" w:rsidRDefault="00492EF4" w:rsidP="002439C8">
      <w:pPr>
        <w:spacing w:line="276" w:lineRule="auto"/>
        <w:jc w:val="left"/>
      </w:pPr>
    </w:p>
    <w:p w14:paraId="2E8A2155" w14:textId="78C7AF72" w:rsidR="00FE6E97" w:rsidRDefault="00FE6E97">
      <w:pPr>
        <w:ind w:firstLine="357"/>
        <w:jc w:val="left"/>
      </w:pPr>
      <w:r>
        <w:br w:type="page"/>
      </w:r>
    </w:p>
    <w:p w14:paraId="042D7D05" w14:textId="77777777" w:rsidR="0078068F" w:rsidRPr="00BE05C8" w:rsidRDefault="0078068F" w:rsidP="002439C8">
      <w:pPr>
        <w:pStyle w:val="Heading1"/>
        <w:jc w:val="left"/>
      </w:pPr>
      <w:bookmarkStart w:id="413" w:name="_Toc455069463"/>
      <w:bookmarkStart w:id="414" w:name="_Toc455070113"/>
      <w:bookmarkStart w:id="415" w:name="_Toc455070385"/>
      <w:bookmarkStart w:id="416" w:name="_Toc455151772"/>
      <w:bookmarkStart w:id="417" w:name="_Toc455069464"/>
      <w:bookmarkStart w:id="418" w:name="_Toc455070114"/>
      <w:bookmarkStart w:id="419" w:name="_Toc455070386"/>
      <w:bookmarkStart w:id="420" w:name="_Toc455151773"/>
      <w:bookmarkStart w:id="421" w:name="_Pesticides_detected_in"/>
      <w:bookmarkStart w:id="422" w:name="_Toc14435700"/>
      <w:bookmarkStart w:id="423" w:name="_Toc461457769"/>
      <w:bookmarkStart w:id="424" w:name="_Ref480727193"/>
      <w:bookmarkEnd w:id="413"/>
      <w:bookmarkEnd w:id="414"/>
      <w:bookmarkEnd w:id="415"/>
      <w:bookmarkEnd w:id="416"/>
      <w:bookmarkEnd w:id="417"/>
      <w:bookmarkEnd w:id="418"/>
      <w:bookmarkEnd w:id="419"/>
      <w:bookmarkEnd w:id="420"/>
      <w:bookmarkEnd w:id="421"/>
      <w:r w:rsidRPr="00BE05C8">
        <w:lastRenderedPageBreak/>
        <w:t>Pesticides detected in marine waters</w:t>
      </w:r>
      <w:bookmarkEnd w:id="422"/>
    </w:p>
    <w:p w14:paraId="6021D2B3" w14:textId="77777777" w:rsidR="0059608E" w:rsidRPr="00BF7C7F" w:rsidRDefault="0078068F" w:rsidP="002439C8">
      <w:pPr>
        <w:pStyle w:val="Heading2"/>
        <w:jc w:val="left"/>
      </w:pPr>
      <w:r w:rsidRPr="003313ED" w:rsidDel="00A7283E">
        <w:t xml:space="preserve"> </w:t>
      </w:r>
      <w:bookmarkStart w:id="425" w:name="_Toc14435701"/>
      <w:r w:rsidRPr="003313ED">
        <w:t>Frequency of pesticide detections</w:t>
      </w:r>
      <w:bookmarkEnd w:id="425"/>
      <w:r w:rsidRPr="003313ED" w:rsidDel="00A7283E">
        <w:t xml:space="preserve"> </w:t>
      </w:r>
      <w:bookmarkEnd w:id="423"/>
      <w:bookmarkEnd w:id="424"/>
    </w:p>
    <w:p w14:paraId="0C9D0B7A" w14:textId="77777777" w:rsidR="00171219" w:rsidRDefault="00B72FA7" w:rsidP="002439C8">
      <w:pPr>
        <w:spacing w:line="276" w:lineRule="auto"/>
        <w:jc w:val="left"/>
        <w:rPr>
          <w:lang w:val="en-AU"/>
        </w:rPr>
      </w:pPr>
      <w:bookmarkStart w:id="426" w:name="_Toc535848705"/>
      <w:bookmarkStart w:id="427" w:name="_Toc535848707"/>
      <w:bookmarkStart w:id="428" w:name="_Toc535848708"/>
      <w:bookmarkStart w:id="429" w:name="_Toc535848709"/>
      <w:bookmarkStart w:id="430" w:name="_Toc535848710"/>
      <w:bookmarkEnd w:id="426"/>
      <w:bookmarkEnd w:id="427"/>
      <w:bookmarkEnd w:id="428"/>
      <w:bookmarkEnd w:id="429"/>
      <w:bookmarkEnd w:id="430"/>
      <w:r>
        <w:rPr>
          <w:lang w:val="en-AU"/>
        </w:rPr>
        <w:t>Thirteen</w:t>
      </w:r>
      <w:r w:rsidRPr="00C77635">
        <w:rPr>
          <w:lang w:val="en-AU"/>
        </w:rPr>
        <w:t xml:space="preserve"> </w:t>
      </w:r>
      <w:r w:rsidR="0023161A" w:rsidRPr="00C77635">
        <w:rPr>
          <w:lang w:val="en-AU"/>
        </w:rPr>
        <w:t xml:space="preserve">PSII herbicides </w:t>
      </w:r>
      <w:r>
        <w:rPr>
          <w:lang w:val="en-AU"/>
        </w:rPr>
        <w:t>(including terbuthylazine</w:t>
      </w:r>
      <w:r w:rsidR="00B83361">
        <w:rPr>
          <w:lang w:val="en-AU"/>
        </w:rPr>
        <w:t xml:space="preserve"> </w:t>
      </w:r>
      <w:r w:rsidR="00A77509">
        <w:rPr>
          <w:lang w:val="en-AU"/>
        </w:rPr>
        <w:t xml:space="preserve">for the first time </w:t>
      </w:r>
      <w:r w:rsidR="00B83361">
        <w:rPr>
          <w:lang w:val="en-AU"/>
        </w:rPr>
        <w:t>this monitoring year</w:t>
      </w:r>
      <w:r>
        <w:rPr>
          <w:lang w:val="en-AU"/>
        </w:rPr>
        <w:t xml:space="preserve">) </w:t>
      </w:r>
      <w:r w:rsidR="00884204" w:rsidRPr="00C77635">
        <w:rPr>
          <w:lang w:val="en-AU"/>
        </w:rPr>
        <w:t xml:space="preserve">and two metabolites of atrazine (DE atrazine and DI atrazine) </w:t>
      </w:r>
      <w:r w:rsidR="0023161A" w:rsidRPr="00C77635">
        <w:rPr>
          <w:lang w:val="en-AU"/>
        </w:rPr>
        <w:t>were included in the sample analys</w:t>
      </w:r>
      <w:r w:rsidR="00884204" w:rsidRPr="00C77635">
        <w:rPr>
          <w:lang w:val="en-AU"/>
        </w:rPr>
        <w:t>i</w:t>
      </w:r>
      <w:r w:rsidR="0023161A" w:rsidRPr="00C77635">
        <w:rPr>
          <w:lang w:val="en-AU"/>
        </w:rPr>
        <w:t xml:space="preserve">s </w:t>
      </w:r>
      <w:r w:rsidR="00884204" w:rsidRPr="00C77635">
        <w:rPr>
          <w:lang w:val="en-AU"/>
        </w:rPr>
        <w:t xml:space="preserve">suite of the </w:t>
      </w:r>
      <w:r>
        <w:rPr>
          <w:lang w:val="en-AU"/>
        </w:rPr>
        <w:t xml:space="preserve">polar </w:t>
      </w:r>
      <w:r w:rsidR="00884204" w:rsidRPr="00C77635">
        <w:rPr>
          <w:lang w:val="en-AU"/>
        </w:rPr>
        <w:t>passive sampler extracts</w:t>
      </w:r>
      <w:r w:rsidR="0023161A" w:rsidRPr="00C77635">
        <w:rPr>
          <w:lang w:val="en-AU"/>
        </w:rPr>
        <w:t>. Of these</w:t>
      </w:r>
      <w:r w:rsidR="003B1A6E">
        <w:rPr>
          <w:lang w:val="en-AU"/>
        </w:rPr>
        <w:t xml:space="preserve"> </w:t>
      </w:r>
      <w:r>
        <w:rPr>
          <w:lang w:val="en-AU"/>
        </w:rPr>
        <w:t xml:space="preserve">fifteen </w:t>
      </w:r>
      <w:r w:rsidR="003B1A6E">
        <w:rPr>
          <w:lang w:val="en-AU"/>
        </w:rPr>
        <w:t>compounds</w:t>
      </w:r>
      <w:r w:rsidR="0023161A" w:rsidRPr="00C77635">
        <w:rPr>
          <w:lang w:val="en-AU"/>
        </w:rPr>
        <w:t xml:space="preserve">, </w:t>
      </w:r>
      <w:r w:rsidR="00B83361">
        <w:rPr>
          <w:lang w:val="en-AU"/>
        </w:rPr>
        <w:t>thirteen</w:t>
      </w:r>
      <w:r w:rsidR="00B83361" w:rsidRPr="00C77635">
        <w:rPr>
          <w:lang w:val="en-AU"/>
        </w:rPr>
        <w:t xml:space="preserve"> </w:t>
      </w:r>
      <w:r w:rsidR="0023161A" w:rsidRPr="00C77635">
        <w:rPr>
          <w:lang w:val="en-AU"/>
        </w:rPr>
        <w:t xml:space="preserve">were detected </w:t>
      </w:r>
      <w:r w:rsidR="00DB25BD" w:rsidRPr="00C77635">
        <w:rPr>
          <w:lang w:val="en-AU"/>
        </w:rPr>
        <w:t xml:space="preserve">at one or more of the marine monitoring sites </w:t>
      </w:r>
      <w:r w:rsidR="0023161A" w:rsidRPr="00C77635">
        <w:rPr>
          <w:lang w:val="en-AU"/>
        </w:rPr>
        <w:t>(</w:t>
      </w:r>
      <w:r w:rsidR="002A77E1" w:rsidRPr="00C77635">
        <w:fldChar w:fldCharType="begin"/>
      </w:r>
      <w:r w:rsidR="002A77E1" w:rsidRPr="00C77635">
        <w:instrText xml:space="preserve"> REF _Ref480561224 \h  \* MERGEFORMAT </w:instrText>
      </w:r>
      <w:r w:rsidR="002A77E1" w:rsidRPr="00C77635">
        <w:fldChar w:fldCharType="separate"/>
      </w:r>
      <w:r w:rsidR="00251B46" w:rsidRPr="00251B46">
        <w:rPr>
          <w:lang w:val="en-AU"/>
        </w:rPr>
        <w:t>Figure 8</w:t>
      </w:r>
      <w:r w:rsidR="002A77E1" w:rsidRPr="00C77635">
        <w:fldChar w:fldCharType="end"/>
      </w:r>
      <w:r w:rsidR="0023161A" w:rsidRPr="00C77635">
        <w:rPr>
          <w:lang w:val="en-AU"/>
        </w:rPr>
        <w:t xml:space="preserve">). </w:t>
      </w:r>
    </w:p>
    <w:p w14:paraId="7FCDF0C1" w14:textId="77777777" w:rsidR="00171219" w:rsidRDefault="00171219" w:rsidP="002439C8">
      <w:pPr>
        <w:spacing w:line="276" w:lineRule="auto"/>
        <w:jc w:val="left"/>
        <w:rPr>
          <w:lang w:val="en-AU"/>
        </w:rPr>
      </w:pPr>
    </w:p>
    <w:p w14:paraId="1A9A071D" w14:textId="5720FF7B" w:rsidR="00D751FB" w:rsidRDefault="00C77635" w:rsidP="002439C8">
      <w:pPr>
        <w:spacing w:line="276" w:lineRule="auto"/>
        <w:jc w:val="left"/>
        <w:rPr>
          <w:lang w:val="en-AU"/>
        </w:rPr>
      </w:pPr>
      <w:r w:rsidRPr="00C77635">
        <w:rPr>
          <w:lang w:val="en-AU"/>
        </w:rPr>
        <w:t>Consistent with previous years, t</w:t>
      </w:r>
      <w:r w:rsidR="0023161A" w:rsidRPr="00C77635">
        <w:rPr>
          <w:lang w:val="en-AU"/>
        </w:rPr>
        <w:t xml:space="preserve">he most commonly detected PSII herbicides </w:t>
      </w:r>
      <w:r w:rsidR="006559F9">
        <w:rPr>
          <w:lang w:val="en-AU"/>
        </w:rPr>
        <w:t xml:space="preserve">(indicated in blue) </w:t>
      </w:r>
      <w:r w:rsidR="0023161A" w:rsidRPr="00C77635">
        <w:rPr>
          <w:lang w:val="en-AU"/>
        </w:rPr>
        <w:t xml:space="preserve">were </w:t>
      </w:r>
      <w:r w:rsidR="00171219" w:rsidRPr="00C77635">
        <w:rPr>
          <w:lang w:val="en-AU"/>
        </w:rPr>
        <w:t>diuron</w:t>
      </w:r>
      <w:r w:rsidR="00171219">
        <w:rPr>
          <w:lang w:val="en-AU"/>
        </w:rPr>
        <w:t>,</w:t>
      </w:r>
      <w:r w:rsidR="00171219" w:rsidRPr="00C77635">
        <w:rPr>
          <w:lang w:val="en-AU"/>
        </w:rPr>
        <w:t xml:space="preserve"> </w:t>
      </w:r>
      <w:r w:rsidR="0023161A" w:rsidRPr="00C77635">
        <w:rPr>
          <w:lang w:val="en-AU"/>
        </w:rPr>
        <w:t>atrazine, and hexazinone</w:t>
      </w:r>
      <w:r w:rsidR="00091130">
        <w:rPr>
          <w:lang w:val="en-AU"/>
        </w:rPr>
        <w:t xml:space="preserve"> (each detected in 88% of samplers)</w:t>
      </w:r>
      <w:r w:rsidR="0023161A" w:rsidRPr="00C77635">
        <w:rPr>
          <w:lang w:val="en-AU"/>
        </w:rPr>
        <w:t xml:space="preserve">. </w:t>
      </w:r>
      <w:r w:rsidR="00BA0434">
        <w:rPr>
          <w:lang w:val="en-AU"/>
        </w:rPr>
        <w:t>Conversely, p</w:t>
      </w:r>
      <w:r w:rsidR="00091130">
        <w:rPr>
          <w:lang w:val="en-AU"/>
        </w:rPr>
        <w:t>rometryn</w:t>
      </w:r>
      <w:r w:rsidR="00091130" w:rsidRPr="00C77635">
        <w:rPr>
          <w:lang w:val="en-AU"/>
        </w:rPr>
        <w:t xml:space="preserve"> </w:t>
      </w:r>
      <w:r w:rsidR="0023161A" w:rsidRPr="00C77635">
        <w:rPr>
          <w:lang w:val="en-AU"/>
        </w:rPr>
        <w:t>and terbutryn were not detected at any site</w:t>
      </w:r>
      <w:r w:rsidR="006559F9">
        <w:rPr>
          <w:lang w:val="en-AU"/>
        </w:rPr>
        <w:t xml:space="preserve"> (LOD = 0.54 and 0.55</w:t>
      </w:r>
      <w:r w:rsidR="005C25EE" w:rsidRPr="004728B1">
        <w:t> </w:t>
      </w:r>
      <w:r w:rsidR="006559F9" w:rsidRPr="006559F9">
        <w:rPr>
          <w:rFonts w:ascii="Symbol" w:hAnsi="Symbol"/>
          <w:lang w:val="en-AU"/>
        </w:rPr>
        <w:t></w:t>
      </w:r>
      <w:r w:rsidR="00FE6E97">
        <w:rPr>
          <w:lang w:val="en-AU"/>
        </w:rPr>
        <w:t>g L</w:t>
      </w:r>
      <w:r w:rsidR="005C25EE" w:rsidRPr="00A209AA">
        <w:rPr>
          <w:vertAlign w:val="superscript"/>
          <w:lang w:val="en-GB" w:eastAsia="en-AU"/>
        </w:rPr>
        <w:noBreakHyphen/>
        <w:t>1</w:t>
      </w:r>
      <w:r w:rsidR="000432EB">
        <w:rPr>
          <w:lang w:val="en-AU"/>
        </w:rPr>
        <w:t>, respectively</w:t>
      </w:r>
      <w:r w:rsidR="006559F9">
        <w:rPr>
          <w:lang w:val="en-AU"/>
        </w:rPr>
        <w:t>)</w:t>
      </w:r>
      <w:r w:rsidR="00091130">
        <w:rPr>
          <w:lang w:val="en-AU"/>
        </w:rPr>
        <w:t>.</w:t>
      </w:r>
      <w:r w:rsidR="0023161A" w:rsidRPr="00C77635">
        <w:rPr>
          <w:lang w:val="en-AU"/>
        </w:rPr>
        <w:t xml:space="preserve"> </w:t>
      </w:r>
    </w:p>
    <w:p w14:paraId="220FA5B3" w14:textId="77777777" w:rsidR="00D751FB" w:rsidRDefault="00D751FB" w:rsidP="002439C8">
      <w:pPr>
        <w:spacing w:line="276" w:lineRule="auto"/>
        <w:jc w:val="left"/>
        <w:rPr>
          <w:lang w:val="en-AU"/>
        </w:rPr>
      </w:pPr>
    </w:p>
    <w:p w14:paraId="4D54866A" w14:textId="77777777" w:rsidR="00D751FB" w:rsidRDefault="0023161A" w:rsidP="002439C8">
      <w:pPr>
        <w:spacing w:line="276" w:lineRule="auto"/>
        <w:jc w:val="left"/>
        <w:rPr>
          <w:lang w:val="en-AU"/>
        </w:rPr>
      </w:pPr>
      <w:r w:rsidRPr="00C77635">
        <w:rPr>
          <w:lang w:val="en-AU"/>
        </w:rPr>
        <w:t xml:space="preserve">Of </w:t>
      </w:r>
      <w:r w:rsidR="00884204" w:rsidRPr="00C77635">
        <w:rPr>
          <w:lang w:val="en-AU"/>
        </w:rPr>
        <w:t>the</w:t>
      </w:r>
      <w:r w:rsidRPr="00C77635">
        <w:rPr>
          <w:lang w:val="en-AU"/>
        </w:rPr>
        <w:t xml:space="preserve"> </w:t>
      </w:r>
      <w:r w:rsidR="00D751FB">
        <w:rPr>
          <w:lang w:val="en-AU"/>
        </w:rPr>
        <w:t>eleven</w:t>
      </w:r>
      <w:r w:rsidR="00D751FB" w:rsidRPr="00C77635">
        <w:rPr>
          <w:lang w:val="en-AU"/>
        </w:rPr>
        <w:t xml:space="preserve"> </w:t>
      </w:r>
      <w:r w:rsidR="00A521C0" w:rsidRPr="00C77635">
        <w:rPr>
          <w:lang w:val="en-AU"/>
        </w:rPr>
        <w:t>other pesticides</w:t>
      </w:r>
      <w:r w:rsidR="00D751FB">
        <w:rPr>
          <w:lang w:val="en-AU"/>
        </w:rPr>
        <w:t xml:space="preserve"> (non-PSII)</w:t>
      </w:r>
      <w:r w:rsidRPr="00C77635">
        <w:rPr>
          <w:lang w:val="en-AU"/>
        </w:rPr>
        <w:t xml:space="preserve"> </w:t>
      </w:r>
      <w:r w:rsidR="00794873" w:rsidRPr="00C77635">
        <w:rPr>
          <w:lang w:val="en-AU"/>
        </w:rPr>
        <w:t xml:space="preserve">in the </w:t>
      </w:r>
      <w:r w:rsidR="0020663E">
        <w:rPr>
          <w:lang w:val="en-AU"/>
        </w:rPr>
        <w:t xml:space="preserve">ED </w:t>
      </w:r>
      <w:r w:rsidR="00794873" w:rsidRPr="00C77635">
        <w:rPr>
          <w:lang w:val="en-AU"/>
        </w:rPr>
        <w:t>analysis suite</w:t>
      </w:r>
      <w:r w:rsidR="0020663E">
        <w:rPr>
          <w:lang w:val="en-AU"/>
        </w:rPr>
        <w:t xml:space="preserve"> (</w:t>
      </w:r>
      <w:r w:rsidR="001D61D4">
        <w:rPr>
          <w:lang w:val="en-AU"/>
        </w:rPr>
        <w:t xml:space="preserve">indicated in </w:t>
      </w:r>
      <w:r w:rsidR="0020663E">
        <w:rPr>
          <w:lang w:val="en-AU"/>
        </w:rPr>
        <w:t>green</w:t>
      </w:r>
      <w:r w:rsidR="00D751FB">
        <w:rPr>
          <w:lang w:val="en-AU"/>
        </w:rPr>
        <w:t xml:space="preserve"> in Figure 8</w:t>
      </w:r>
      <w:r w:rsidR="0020663E">
        <w:rPr>
          <w:lang w:val="en-AU"/>
        </w:rPr>
        <w:t>)</w:t>
      </w:r>
      <w:r w:rsidRPr="00C77635">
        <w:rPr>
          <w:lang w:val="en-AU"/>
        </w:rPr>
        <w:t xml:space="preserve">, </w:t>
      </w:r>
      <w:r w:rsidR="00091130">
        <w:rPr>
          <w:lang w:val="en-AU"/>
        </w:rPr>
        <w:t xml:space="preserve">all </w:t>
      </w:r>
      <w:r w:rsidRPr="00C77635">
        <w:rPr>
          <w:lang w:val="en-AU"/>
        </w:rPr>
        <w:t>were detected at measurable levels</w:t>
      </w:r>
      <w:r w:rsidR="001D61D4">
        <w:rPr>
          <w:lang w:val="en-AU"/>
        </w:rPr>
        <w:t xml:space="preserve">, with detection frequencies ranging </w:t>
      </w:r>
      <w:r w:rsidR="00091130">
        <w:rPr>
          <w:lang w:val="en-AU"/>
        </w:rPr>
        <w:t xml:space="preserve">between 3% </w:t>
      </w:r>
      <w:r w:rsidR="001D61D4">
        <w:rPr>
          <w:lang w:val="en-AU"/>
        </w:rPr>
        <w:t xml:space="preserve">(fluroxypyr) </w:t>
      </w:r>
      <w:r w:rsidR="00091130">
        <w:rPr>
          <w:lang w:val="en-AU"/>
        </w:rPr>
        <w:t xml:space="preserve">and 88% </w:t>
      </w:r>
      <w:r w:rsidR="001D61D4">
        <w:rPr>
          <w:lang w:val="en-AU"/>
        </w:rPr>
        <w:t xml:space="preserve">(metoloachlor) </w:t>
      </w:r>
      <w:r w:rsidR="00091130">
        <w:rPr>
          <w:lang w:val="en-AU"/>
        </w:rPr>
        <w:t>of samplers</w:t>
      </w:r>
      <w:r w:rsidR="0020663E">
        <w:rPr>
          <w:lang w:val="en-AU"/>
        </w:rPr>
        <w:t xml:space="preserve">. </w:t>
      </w:r>
    </w:p>
    <w:p w14:paraId="3EB567CD" w14:textId="77777777" w:rsidR="00D751FB" w:rsidRDefault="00D751FB" w:rsidP="002439C8">
      <w:pPr>
        <w:spacing w:line="276" w:lineRule="auto"/>
        <w:jc w:val="left"/>
        <w:rPr>
          <w:lang w:val="en-AU"/>
        </w:rPr>
      </w:pPr>
    </w:p>
    <w:p w14:paraId="505BEE66" w14:textId="77777777" w:rsidR="0023161A" w:rsidRDefault="0020663E" w:rsidP="002439C8">
      <w:pPr>
        <w:spacing w:line="276" w:lineRule="auto"/>
        <w:jc w:val="left"/>
        <w:rPr>
          <w:lang w:val="en-AU"/>
        </w:rPr>
      </w:pPr>
      <w:r>
        <w:rPr>
          <w:lang w:val="en-AU"/>
        </w:rPr>
        <w:t>A</w:t>
      </w:r>
      <w:r w:rsidR="0023161A" w:rsidRPr="00C77635">
        <w:rPr>
          <w:lang w:val="en-AU"/>
        </w:rPr>
        <w:t xml:space="preserve">ll </w:t>
      </w:r>
      <w:r w:rsidR="00091130">
        <w:rPr>
          <w:lang w:val="en-AU"/>
        </w:rPr>
        <w:t>five</w:t>
      </w:r>
      <w:r w:rsidR="00091130" w:rsidRPr="00C77635">
        <w:rPr>
          <w:lang w:val="en-AU"/>
        </w:rPr>
        <w:t xml:space="preserve"> </w:t>
      </w:r>
      <w:r w:rsidR="0023161A" w:rsidRPr="00C77635">
        <w:rPr>
          <w:lang w:val="en-AU"/>
        </w:rPr>
        <w:t>non-polar pesticides</w:t>
      </w:r>
      <w:r>
        <w:rPr>
          <w:lang w:val="en-AU"/>
        </w:rPr>
        <w:t xml:space="preserve"> (</w:t>
      </w:r>
      <w:r w:rsidR="001D61D4">
        <w:rPr>
          <w:lang w:val="en-AU"/>
        </w:rPr>
        <w:t xml:space="preserve">indicated in </w:t>
      </w:r>
      <w:r>
        <w:rPr>
          <w:lang w:val="en-AU"/>
        </w:rPr>
        <w:t>yellow)</w:t>
      </w:r>
      <w:r w:rsidR="0023161A" w:rsidRPr="00C77635">
        <w:rPr>
          <w:lang w:val="en-AU"/>
        </w:rPr>
        <w:t xml:space="preserve"> were detected in the PDMS samplers</w:t>
      </w:r>
      <w:r w:rsidR="001D61D4">
        <w:rPr>
          <w:lang w:val="en-AU"/>
        </w:rPr>
        <w:t>, with detection frequencies ranging between</w:t>
      </w:r>
      <w:r w:rsidR="00091130">
        <w:rPr>
          <w:lang w:val="en-AU"/>
        </w:rPr>
        <w:t xml:space="preserve"> 33% </w:t>
      </w:r>
      <w:r w:rsidR="001D61D4">
        <w:rPr>
          <w:lang w:val="en-AU"/>
        </w:rPr>
        <w:t xml:space="preserve">(trifluralin) </w:t>
      </w:r>
      <w:r w:rsidR="00091130">
        <w:rPr>
          <w:lang w:val="en-AU"/>
        </w:rPr>
        <w:t>and 100%</w:t>
      </w:r>
      <w:r w:rsidR="001D61D4">
        <w:rPr>
          <w:lang w:val="en-AU"/>
        </w:rPr>
        <w:t xml:space="preserve"> (propazine) of samplers</w:t>
      </w:r>
      <w:r w:rsidR="00091130">
        <w:rPr>
          <w:lang w:val="en-AU"/>
        </w:rPr>
        <w:t xml:space="preserve"> </w:t>
      </w:r>
      <w:r w:rsidR="001D61D4">
        <w:rPr>
          <w:lang w:val="en-AU"/>
        </w:rPr>
        <w:t>(</w:t>
      </w:r>
      <w:r w:rsidR="00A521C0" w:rsidRPr="00C77635">
        <w:rPr>
          <w:lang w:val="en-AU"/>
        </w:rPr>
        <w:fldChar w:fldCharType="begin"/>
      </w:r>
      <w:r w:rsidR="00A521C0" w:rsidRPr="00C77635">
        <w:rPr>
          <w:lang w:val="en-AU"/>
        </w:rPr>
        <w:instrText xml:space="preserve"> REF _Ref480561224 \h  \* MERGEFORMAT </w:instrText>
      </w:r>
      <w:r w:rsidR="00A521C0" w:rsidRPr="00C77635">
        <w:rPr>
          <w:lang w:val="en-AU"/>
        </w:rPr>
      </w:r>
      <w:r w:rsidR="00A521C0" w:rsidRPr="00C77635">
        <w:rPr>
          <w:lang w:val="en-AU"/>
        </w:rPr>
        <w:fldChar w:fldCharType="separate"/>
      </w:r>
      <w:r w:rsidR="00251B46" w:rsidRPr="00637770">
        <w:t xml:space="preserve">Figure </w:t>
      </w:r>
      <w:r w:rsidR="00251B46" w:rsidRPr="00251B46">
        <w:rPr>
          <w:noProof/>
        </w:rPr>
        <w:t>8</w:t>
      </w:r>
      <w:r w:rsidR="00A521C0" w:rsidRPr="00C77635">
        <w:rPr>
          <w:lang w:val="en-AU"/>
        </w:rPr>
        <w:fldChar w:fldCharType="end"/>
      </w:r>
      <w:r w:rsidR="00884204" w:rsidRPr="00C77635">
        <w:rPr>
          <w:lang w:val="en-AU"/>
        </w:rPr>
        <w:t>)</w:t>
      </w:r>
      <w:r w:rsidR="0023161A" w:rsidRPr="00C77635">
        <w:rPr>
          <w:lang w:val="en-AU"/>
        </w:rPr>
        <w:t xml:space="preserve">. </w:t>
      </w:r>
    </w:p>
    <w:p w14:paraId="71D5B178" w14:textId="77777777" w:rsidR="004B665E" w:rsidRDefault="004B665E" w:rsidP="002439C8">
      <w:pPr>
        <w:spacing w:line="276" w:lineRule="auto"/>
        <w:jc w:val="left"/>
        <w:rPr>
          <w:lang w:val="en-AU"/>
        </w:rPr>
      </w:pPr>
    </w:p>
    <w:p w14:paraId="2E063072" w14:textId="0B24FEBB" w:rsidR="004B665E" w:rsidRDefault="004B665E" w:rsidP="002439C8">
      <w:pPr>
        <w:spacing w:line="276" w:lineRule="auto"/>
        <w:jc w:val="left"/>
        <w:rPr>
          <w:lang w:val="en-AU"/>
        </w:rPr>
      </w:pPr>
      <w:r>
        <w:rPr>
          <w:lang w:val="en-AU"/>
        </w:rPr>
        <w:t>It is noted that the detection frequency information should be considered together with the return rate of the passive samplers. In t</w:t>
      </w:r>
      <w:r w:rsidR="005C25EE">
        <w:rPr>
          <w:lang w:val="en-GB" w:eastAsia="en-AU"/>
        </w:rPr>
        <w:t>his monitoring year, 75%</w:t>
      </w:r>
      <w:r>
        <w:rPr>
          <w:lang w:val="en-GB" w:eastAsia="en-AU"/>
        </w:rPr>
        <w:t xml:space="preserve"> of fixed site passive </w:t>
      </w:r>
      <w:r w:rsidRPr="00D9460D">
        <w:rPr>
          <w:lang w:val="en-GB" w:eastAsia="en-AU"/>
        </w:rPr>
        <w:t>sampler sets sent to volunteers were successfully deployed, returned (undamaged) and analysed (</w:t>
      </w:r>
      <w:r>
        <w:t>Appendix F, Table F-1</w:t>
      </w:r>
      <w:r w:rsidRPr="00D9460D">
        <w:rPr>
          <w:lang w:val="en-GB" w:eastAsia="en-AU"/>
        </w:rPr>
        <w:t>)</w:t>
      </w:r>
      <w:r>
        <w:rPr>
          <w:lang w:val="en-GB" w:eastAsia="en-AU"/>
        </w:rPr>
        <w:t>.</w:t>
      </w:r>
    </w:p>
    <w:p w14:paraId="6957A252" w14:textId="77777777" w:rsidR="00A93AB7" w:rsidRPr="00C77635" w:rsidRDefault="00A93AB7" w:rsidP="002439C8">
      <w:pPr>
        <w:spacing w:line="276" w:lineRule="auto"/>
        <w:jc w:val="left"/>
        <w:rPr>
          <w:lang w:val="en-AU"/>
        </w:rPr>
      </w:pPr>
    </w:p>
    <w:p w14:paraId="61FB0977" w14:textId="77777777" w:rsidR="0023161A" w:rsidRDefault="009745E0" w:rsidP="002439C8">
      <w:pPr>
        <w:spacing w:line="276" w:lineRule="auto"/>
        <w:jc w:val="left"/>
        <w:rPr>
          <w:lang w:val="en-AU"/>
        </w:rPr>
      </w:pPr>
      <w:r w:rsidRPr="009745E0">
        <w:rPr>
          <w:noProof/>
          <w:lang w:val="en-AU" w:eastAsia="en-AU" w:bidi="ar-SA"/>
        </w:rPr>
        <w:lastRenderedPageBreak/>
        <w:drawing>
          <wp:inline distT="0" distB="0" distL="0" distR="0" wp14:anchorId="2823BF7B" wp14:editId="7CDC142B">
            <wp:extent cx="5667375" cy="2857323"/>
            <wp:effectExtent l="0" t="0" r="0" b="0"/>
            <wp:docPr id="3" name="Picture 3" descr="Percentage of ED and PDMS samplers that had measurable pesticide levels (i.e. above the limit of detection, LOD) for each pesticide included in this study, out of a total of 68 ED samplers and 9 PDMS samplers returned in 2017-18 (Table F-1, Appendix F). Blue: PSII herbicides; Green: Other pesticides; Yellow: non-polar pesticides" title="Fig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77036" cy="2862194"/>
                    </a:xfrm>
                    <a:prstGeom prst="rect">
                      <a:avLst/>
                    </a:prstGeom>
                    <a:noFill/>
                    <a:ln>
                      <a:noFill/>
                    </a:ln>
                  </pic:spPr>
                </pic:pic>
              </a:graphicData>
            </a:graphic>
          </wp:inline>
        </w:drawing>
      </w:r>
    </w:p>
    <w:p w14:paraId="6A71F22A" w14:textId="77777777" w:rsidR="00C57149" w:rsidRPr="00CB093C" w:rsidRDefault="0023161A" w:rsidP="00C57149">
      <w:pPr>
        <w:pStyle w:val="Caption"/>
        <w:rPr>
          <w:rFonts w:cs="Arial"/>
          <w:i/>
          <w:vanish/>
          <w:color w:val="000000"/>
          <w:specVanish/>
        </w:rPr>
      </w:pPr>
      <w:bookmarkStart w:id="431" w:name="_Ref480561224"/>
      <w:bookmarkStart w:id="432" w:name="_Toc15042900"/>
      <w:bookmarkStart w:id="433" w:name="_Toc527468582"/>
      <w:r w:rsidRPr="00637770">
        <w:rPr>
          <w:b w:val="0"/>
        </w:rPr>
        <w:t xml:space="preserve">Figure </w:t>
      </w:r>
      <w:r w:rsidR="00C91BF5" w:rsidRPr="00637770">
        <w:rPr>
          <w:b w:val="0"/>
        </w:rPr>
        <w:fldChar w:fldCharType="begin"/>
      </w:r>
      <w:r w:rsidRPr="00637770">
        <w:rPr>
          <w:b w:val="0"/>
        </w:rPr>
        <w:instrText xml:space="preserve"> SEQ Figure \* ARABIC </w:instrText>
      </w:r>
      <w:r w:rsidR="00C91BF5" w:rsidRPr="00637770">
        <w:rPr>
          <w:b w:val="0"/>
        </w:rPr>
        <w:fldChar w:fldCharType="separate"/>
      </w:r>
      <w:r w:rsidR="00251B46">
        <w:rPr>
          <w:b w:val="0"/>
          <w:noProof/>
        </w:rPr>
        <w:t>8</w:t>
      </w:r>
      <w:r w:rsidR="00C91BF5" w:rsidRPr="00637770">
        <w:rPr>
          <w:b w:val="0"/>
        </w:rPr>
        <w:fldChar w:fldCharType="end"/>
      </w:r>
      <w:bookmarkEnd w:id="431"/>
      <w:r>
        <w:rPr>
          <w:b w:val="0"/>
        </w:rPr>
        <w:t xml:space="preserve">: </w:t>
      </w:r>
      <w:r w:rsidR="00091130">
        <w:rPr>
          <w:b w:val="0"/>
        </w:rPr>
        <w:t xml:space="preserve">Percentage </w:t>
      </w:r>
      <w:r>
        <w:rPr>
          <w:b w:val="0"/>
        </w:rPr>
        <w:t>of ED and PDMS samplers that had measurable pesticide levels</w:t>
      </w:r>
      <w:bookmarkEnd w:id="432"/>
    </w:p>
    <w:p w14:paraId="76A706B9" w14:textId="77777777" w:rsidR="0023161A" w:rsidRDefault="0023161A" w:rsidP="002439C8">
      <w:pPr>
        <w:pStyle w:val="Caption"/>
        <w:keepNext/>
        <w:spacing w:after="120" w:line="276" w:lineRule="auto"/>
        <w:rPr>
          <w:b w:val="0"/>
        </w:rPr>
      </w:pPr>
      <w:r>
        <w:rPr>
          <w:b w:val="0"/>
        </w:rPr>
        <w:t xml:space="preserve"> (i.e. above the limit of detection, LOD) for each pesticide included in this study, out of a total of </w:t>
      </w:r>
      <w:r w:rsidR="00091130">
        <w:rPr>
          <w:b w:val="0"/>
        </w:rPr>
        <w:t xml:space="preserve">68 </w:t>
      </w:r>
      <w:r>
        <w:rPr>
          <w:b w:val="0"/>
        </w:rPr>
        <w:t xml:space="preserve">ED samplers and </w:t>
      </w:r>
      <w:r w:rsidR="00091130">
        <w:rPr>
          <w:b w:val="0"/>
        </w:rPr>
        <w:t xml:space="preserve">9 </w:t>
      </w:r>
      <w:r>
        <w:rPr>
          <w:b w:val="0"/>
        </w:rPr>
        <w:t xml:space="preserve">PDMS samplers returned in </w:t>
      </w:r>
      <w:r w:rsidR="00091130">
        <w:rPr>
          <w:b w:val="0"/>
        </w:rPr>
        <w:t>2017</w:t>
      </w:r>
      <w:r>
        <w:rPr>
          <w:b w:val="0"/>
        </w:rPr>
        <w:t>-</w:t>
      </w:r>
      <w:r w:rsidR="00091130">
        <w:rPr>
          <w:b w:val="0"/>
        </w:rPr>
        <w:t xml:space="preserve">18 </w:t>
      </w:r>
      <w:r w:rsidR="00A521C0">
        <w:rPr>
          <w:b w:val="0"/>
        </w:rPr>
        <w:t>(Table F-1, Appendix F</w:t>
      </w:r>
      <w:r>
        <w:rPr>
          <w:b w:val="0"/>
        </w:rPr>
        <w:t>).</w:t>
      </w:r>
      <w:bookmarkEnd w:id="433"/>
      <w:r w:rsidR="009745E0">
        <w:rPr>
          <w:b w:val="0"/>
        </w:rPr>
        <w:t xml:space="preserve"> Blue: PSII herbicides; Green: Other pesticides; Yellow: non-polar pesticides</w:t>
      </w:r>
    </w:p>
    <w:p w14:paraId="00B9E803" w14:textId="77777777" w:rsidR="00162DE9" w:rsidRPr="00162DE9" w:rsidRDefault="00162DE9" w:rsidP="002439C8">
      <w:pPr>
        <w:jc w:val="left"/>
      </w:pPr>
    </w:p>
    <w:p w14:paraId="770677DB" w14:textId="77777777" w:rsidR="00162DE9" w:rsidRDefault="00162DE9" w:rsidP="002439C8">
      <w:pPr>
        <w:pStyle w:val="Heading2"/>
        <w:jc w:val="left"/>
      </w:pPr>
      <w:bookmarkStart w:id="434" w:name="_Toc14435702"/>
      <w:r w:rsidRPr="00FB2B7F">
        <w:t>Summary of pesticide concentrations in 201</w:t>
      </w:r>
      <w:r>
        <w:t>7</w:t>
      </w:r>
      <w:r w:rsidR="007B7C6D">
        <w:t>–</w:t>
      </w:r>
      <w:r w:rsidRPr="00FB2B7F">
        <w:t>1</w:t>
      </w:r>
      <w:r>
        <w:t>8</w:t>
      </w:r>
      <w:bookmarkEnd w:id="434"/>
    </w:p>
    <w:p w14:paraId="4E30F250" w14:textId="77777777" w:rsidR="000432EB" w:rsidRDefault="0059608E" w:rsidP="002439C8">
      <w:pPr>
        <w:jc w:val="left"/>
        <w:rPr>
          <w:lang w:val="en-AU"/>
        </w:rPr>
      </w:pPr>
      <w:r w:rsidRPr="00FB2B7F">
        <w:rPr>
          <w:lang w:val="en-AU" w:eastAsia="en-AU"/>
        </w:rPr>
        <w:t>T</w:t>
      </w:r>
      <w:r w:rsidRPr="00FB2B7F">
        <w:rPr>
          <w:lang w:val="en-AU"/>
        </w:rPr>
        <w:t xml:space="preserve">he </w:t>
      </w:r>
      <w:r w:rsidR="008B74AD" w:rsidRPr="00FB2B7F">
        <w:rPr>
          <w:lang w:val="en-AU"/>
        </w:rPr>
        <w:t xml:space="preserve">PSII </w:t>
      </w:r>
      <w:r w:rsidRPr="00FB2B7F">
        <w:rPr>
          <w:lang w:val="en-AU"/>
        </w:rPr>
        <w:t xml:space="preserve">herbicides </w:t>
      </w:r>
      <w:r w:rsidR="001E5909" w:rsidRPr="00FB2B7F">
        <w:rPr>
          <w:lang w:val="en-AU"/>
        </w:rPr>
        <w:t xml:space="preserve">detected at the highest concentrations </w:t>
      </w:r>
      <w:r w:rsidRPr="00FB2B7F">
        <w:rPr>
          <w:lang w:val="en-AU"/>
        </w:rPr>
        <w:t xml:space="preserve">in </w:t>
      </w:r>
      <w:r w:rsidR="00DE7FD9" w:rsidRPr="00FB2B7F">
        <w:rPr>
          <w:lang w:val="en-AU"/>
        </w:rPr>
        <w:t>201</w:t>
      </w:r>
      <w:r w:rsidR="00DE7FD9">
        <w:rPr>
          <w:lang w:val="en-AU"/>
        </w:rPr>
        <w:t>7</w:t>
      </w:r>
      <w:r w:rsidR="007B7C6D">
        <w:rPr>
          <w:lang w:val="en-AU"/>
        </w:rPr>
        <w:t>–</w:t>
      </w:r>
      <w:r w:rsidR="00DE7FD9" w:rsidRPr="00FB2B7F">
        <w:rPr>
          <w:lang w:val="en-AU"/>
        </w:rPr>
        <w:t>1</w:t>
      </w:r>
      <w:r w:rsidR="00DE7FD9">
        <w:rPr>
          <w:lang w:val="en-AU"/>
        </w:rPr>
        <w:t xml:space="preserve">8 </w:t>
      </w:r>
      <w:r w:rsidR="00CE7770" w:rsidRPr="00FB2B7F">
        <w:rPr>
          <w:lang w:val="en-AU"/>
        </w:rPr>
        <w:t>were also the</w:t>
      </w:r>
      <w:r w:rsidRPr="00FB2B7F">
        <w:rPr>
          <w:lang w:val="en-AU"/>
        </w:rPr>
        <w:t xml:space="preserve"> </w:t>
      </w:r>
      <w:r w:rsidR="00CE7770" w:rsidRPr="00FB2B7F">
        <w:rPr>
          <w:lang w:val="en-AU"/>
        </w:rPr>
        <w:t xml:space="preserve">most frequently detected, </w:t>
      </w:r>
      <w:r w:rsidR="00DE7FD9">
        <w:rPr>
          <w:lang w:val="en-AU"/>
        </w:rPr>
        <w:t>with maximum concentrations (C</w:t>
      </w:r>
      <w:r w:rsidR="00DE7FD9">
        <w:rPr>
          <w:vertAlign w:val="subscript"/>
          <w:lang w:val="en-AU"/>
        </w:rPr>
        <w:t>max</w:t>
      </w:r>
      <w:r w:rsidR="00DE7FD9">
        <w:rPr>
          <w:lang w:val="en-AU"/>
        </w:rPr>
        <w:t>) of</w:t>
      </w:r>
      <w:r w:rsidR="000432EB">
        <w:rPr>
          <w:lang w:val="en-AU"/>
        </w:rPr>
        <w:t>:</w:t>
      </w:r>
      <w:r w:rsidR="00CC61C2">
        <w:rPr>
          <w:lang w:val="en-AU"/>
        </w:rPr>
        <w:t xml:space="preserve"> </w:t>
      </w:r>
    </w:p>
    <w:p w14:paraId="46CCBFB4" w14:textId="0BFB2420" w:rsidR="000432EB" w:rsidRPr="000432EB" w:rsidRDefault="0059608E" w:rsidP="002439C8">
      <w:pPr>
        <w:pStyle w:val="ListParagraph"/>
        <w:numPr>
          <w:ilvl w:val="0"/>
          <w:numId w:val="17"/>
        </w:numPr>
        <w:jc w:val="left"/>
        <w:rPr>
          <w:lang w:val="en-AU"/>
        </w:rPr>
      </w:pPr>
      <w:r w:rsidRPr="000432EB">
        <w:rPr>
          <w:lang w:val="en-AU"/>
        </w:rPr>
        <w:t xml:space="preserve">diuron </w:t>
      </w:r>
      <w:r w:rsidR="004F49B5" w:rsidRPr="000432EB">
        <w:rPr>
          <w:lang w:val="en-AU"/>
        </w:rPr>
        <w:t>778</w:t>
      </w:r>
      <w:r w:rsidR="00961C35">
        <w:rPr>
          <w:lang w:val="en-AU"/>
        </w:rPr>
        <w:t> ng L</w:t>
      </w:r>
      <w:r w:rsidR="00A209AA" w:rsidRPr="00A209AA">
        <w:rPr>
          <w:vertAlign w:val="superscript"/>
          <w:lang w:val="en-AU"/>
        </w:rPr>
        <w:noBreakHyphen/>
        <w:t>1</w:t>
      </w:r>
    </w:p>
    <w:p w14:paraId="37E331A9" w14:textId="35D86BD4" w:rsidR="000432EB" w:rsidRPr="00C575E4" w:rsidRDefault="0059608E" w:rsidP="002439C8">
      <w:pPr>
        <w:pStyle w:val="ListParagraph"/>
        <w:numPr>
          <w:ilvl w:val="0"/>
          <w:numId w:val="17"/>
        </w:numPr>
        <w:jc w:val="left"/>
        <w:rPr>
          <w:lang w:val="en-AU"/>
        </w:rPr>
      </w:pPr>
      <w:r w:rsidRPr="00C575E4">
        <w:rPr>
          <w:lang w:val="en-AU"/>
        </w:rPr>
        <w:t>atr</w:t>
      </w:r>
      <w:r w:rsidR="00C7494D" w:rsidRPr="00C575E4">
        <w:rPr>
          <w:lang w:val="en-AU"/>
        </w:rPr>
        <w:t xml:space="preserve">azine </w:t>
      </w:r>
      <w:r w:rsidR="004F49B5" w:rsidRPr="00C575E4">
        <w:rPr>
          <w:lang w:val="en-AU"/>
        </w:rPr>
        <w:t>405</w:t>
      </w:r>
      <w:r w:rsidR="00961C35">
        <w:rPr>
          <w:lang w:val="en-AU"/>
        </w:rPr>
        <w:t> ng L</w:t>
      </w:r>
      <w:r w:rsidR="00A209AA" w:rsidRPr="00A209AA">
        <w:rPr>
          <w:vertAlign w:val="superscript"/>
          <w:lang w:val="en-AU"/>
        </w:rPr>
        <w:noBreakHyphen/>
        <w:t>1</w:t>
      </w:r>
      <w:r w:rsidRPr="00C575E4">
        <w:rPr>
          <w:lang w:val="en-AU"/>
        </w:rPr>
        <w:t xml:space="preserve"> </w:t>
      </w:r>
    </w:p>
    <w:p w14:paraId="21F4EEFF" w14:textId="792A359D" w:rsidR="000432EB" w:rsidRPr="000D55EA" w:rsidRDefault="0059608E" w:rsidP="002439C8">
      <w:pPr>
        <w:pStyle w:val="ListParagraph"/>
        <w:numPr>
          <w:ilvl w:val="0"/>
          <w:numId w:val="17"/>
        </w:numPr>
        <w:jc w:val="left"/>
        <w:rPr>
          <w:lang w:val="en-AU"/>
        </w:rPr>
      </w:pPr>
      <w:r w:rsidRPr="000C20BF">
        <w:rPr>
          <w:lang w:val="en-AU"/>
        </w:rPr>
        <w:t xml:space="preserve">hexazinone </w:t>
      </w:r>
      <w:r w:rsidR="004F49B5" w:rsidRPr="000C20BF">
        <w:rPr>
          <w:lang w:val="en-AU"/>
        </w:rPr>
        <w:t>134</w:t>
      </w:r>
      <w:r w:rsidR="00961C35">
        <w:rPr>
          <w:lang w:val="en-AU"/>
        </w:rPr>
        <w:t> ng L</w:t>
      </w:r>
      <w:r w:rsidR="00A209AA" w:rsidRPr="00A209AA">
        <w:rPr>
          <w:vertAlign w:val="superscript"/>
          <w:lang w:val="en-AU"/>
        </w:rPr>
        <w:noBreakHyphen/>
        <w:t>1</w:t>
      </w:r>
      <w:r w:rsidR="00171219" w:rsidRPr="00111044">
        <w:rPr>
          <w:lang w:val="en-AU"/>
        </w:rPr>
        <w:t>.</w:t>
      </w:r>
      <w:r w:rsidRPr="00111044">
        <w:rPr>
          <w:lang w:val="en-AU"/>
        </w:rPr>
        <w:t xml:space="preserve"> </w:t>
      </w:r>
    </w:p>
    <w:p w14:paraId="4C8174DE" w14:textId="376E216B" w:rsidR="007B32E8" w:rsidRPr="003C5CCD" w:rsidRDefault="00171219" w:rsidP="002439C8">
      <w:pPr>
        <w:jc w:val="left"/>
      </w:pPr>
      <w:r>
        <w:rPr>
          <w:lang w:val="en-AU"/>
        </w:rPr>
        <w:t>All of these were</w:t>
      </w:r>
      <w:r w:rsidR="0059608E" w:rsidRPr="00FB2B7F">
        <w:rPr>
          <w:lang w:val="en-AU"/>
        </w:rPr>
        <w:t xml:space="preserve"> detected at </w:t>
      </w:r>
      <w:r w:rsidR="005A19C8" w:rsidRPr="00FB2B7F">
        <w:rPr>
          <w:lang w:val="en-AU"/>
        </w:rPr>
        <w:t>Round Top Island</w:t>
      </w:r>
      <w:r w:rsidR="00B16BCE">
        <w:rPr>
          <w:lang w:val="en-AU"/>
        </w:rPr>
        <w:t xml:space="preserve"> </w:t>
      </w:r>
      <w:r w:rsidR="00B16BCE" w:rsidRPr="00FB2B7F">
        <w:rPr>
          <w:lang w:val="en-AU"/>
        </w:rPr>
        <w:t>(</w:t>
      </w:r>
      <w:r w:rsidR="006A4532">
        <w:fldChar w:fldCharType="begin"/>
      </w:r>
      <w:r w:rsidR="006A4532">
        <w:rPr>
          <w:lang w:val="en-AU"/>
        </w:rPr>
        <w:instrText xml:space="preserve"> REF _Ref535500572 \h </w:instrText>
      </w:r>
      <w:r w:rsidR="002439C8">
        <w:instrText xml:space="preserve"> \* MERGEFORMAT </w:instrText>
      </w:r>
      <w:r w:rsidR="006A4532">
        <w:fldChar w:fldCharType="separate"/>
      </w:r>
      <w:r w:rsidR="00251B46" w:rsidRPr="00210B7C">
        <w:t xml:space="preserve">Table </w:t>
      </w:r>
      <w:r w:rsidR="00251B46" w:rsidRPr="00251B46">
        <w:rPr>
          <w:noProof/>
        </w:rPr>
        <w:t>5</w:t>
      </w:r>
      <w:r w:rsidR="006A4532">
        <w:fldChar w:fldCharType="end"/>
      </w:r>
      <w:r w:rsidR="00B16BCE" w:rsidRPr="00FB2B7F">
        <w:rPr>
          <w:lang w:val="en-AU"/>
        </w:rPr>
        <w:t>)</w:t>
      </w:r>
      <w:r>
        <w:rPr>
          <w:lang w:val="en-AU"/>
        </w:rPr>
        <w:t>,</w:t>
      </w:r>
      <w:r w:rsidR="00A93AB7">
        <w:rPr>
          <w:lang w:val="en-AU"/>
        </w:rPr>
        <w:t xml:space="preserve"> </w:t>
      </w:r>
      <w:r w:rsidR="0054696C">
        <w:rPr>
          <w:lang w:val="en-AU"/>
        </w:rPr>
        <w:t xml:space="preserve">approximately </w:t>
      </w:r>
      <w:r w:rsidRPr="000432EB">
        <w:rPr>
          <w:lang w:val="en-AU"/>
        </w:rPr>
        <w:t>five</w:t>
      </w:r>
      <w:r w:rsidR="0054696C" w:rsidRPr="000432EB">
        <w:rPr>
          <w:lang w:val="en-AU"/>
        </w:rPr>
        <w:t xml:space="preserve"> </w:t>
      </w:r>
      <w:r w:rsidRPr="000432EB">
        <w:rPr>
          <w:lang w:val="en-AU"/>
        </w:rPr>
        <w:t>and nine</w:t>
      </w:r>
      <w:r w:rsidR="0054696C">
        <w:rPr>
          <w:lang w:val="en-AU"/>
        </w:rPr>
        <w:t xml:space="preserve"> km from </w:t>
      </w:r>
      <w:r>
        <w:rPr>
          <w:lang w:val="en-AU"/>
        </w:rPr>
        <w:t>t</w:t>
      </w:r>
      <w:r w:rsidR="0054696C">
        <w:rPr>
          <w:lang w:val="en-AU"/>
        </w:rPr>
        <w:t>he Pioneer River and Sandy Creek mouths</w:t>
      </w:r>
      <w:r>
        <w:rPr>
          <w:lang w:val="en-AU"/>
        </w:rPr>
        <w:t xml:space="preserve"> respectively,</w:t>
      </w:r>
      <w:r w:rsidR="0054696C">
        <w:rPr>
          <w:lang w:val="en-AU"/>
        </w:rPr>
        <w:t xml:space="preserve"> </w:t>
      </w:r>
      <w:r w:rsidR="009356A6" w:rsidRPr="00FB2B7F">
        <w:rPr>
          <w:lang w:val="en-AU"/>
        </w:rPr>
        <w:t>in the Mackay Whitsunday region</w:t>
      </w:r>
      <w:r w:rsidR="00F87C1F" w:rsidRPr="00FB2B7F">
        <w:rPr>
          <w:lang w:val="en-AU"/>
        </w:rPr>
        <w:t>.</w:t>
      </w:r>
      <w:r w:rsidR="0059608E" w:rsidRPr="00FB2B7F">
        <w:rPr>
          <w:lang w:val="en-AU"/>
        </w:rPr>
        <w:t xml:space="preserve"> </w:t>
      </w:r>
      <w:r w:rsidR="004F49B5">
        <w:rPr>
          <w:lang w:val="en-AU"/>
        </w:rPr>
        <w:t xml:space="preserve">This site also experienced the highest concentrations of these same PSII herbicides in the previous monitoring year </w:t>
      </w:r>
      <w:r w:rsidR="004F49B5">
        <w:rPr>
          <w:lang w:val="en-AU"/>
        </w:rPr>
        <w:fldChar w:fldCharType="begin"/>
      </w:r>
      <w:r w:rsidR="00E06B2D">
        <w:rPr>
          <w:lang w:val="en-AU"/>
        </w:rPr>
        <w:instrText xml:space="preserve"> ADDIN EN.CITE &lt;EndNote&gt;&lt;Cite&gt;&lt;Author&gt;Grant&lt;/Author&gt;&lt;Year&gt;2018&lt;/Year&gt;&lt;RecNum&gt;107&lt;/RecNum&gt;&lt;DisplayText&gt;(Grant et al., 2018)&lt;/DisplayText&gt;&lt;record&gt;&lt;rec-number&gt;107&lt;/rec-number&gt;&lt;foreign-keys&gt;&lt;key app="EN" db-id="xtpvpwz0ufxa2me5tv6v2prn2ez5p9atsvtr" timestamp="1539173736"&gt;107&lt;/key&gt;&lt;/foreign-keys&gt;&lt;ref-type name="Report"&gt;27&lt;/ref-type&gt;&lt;contributors&gt;&lt;authors&gt;&lt;author&gt;Grant, S.&lt;/author&gt;&lt;author&gt;Thompson, K.&lt;/author&gt;&lt;author&gt;Paxman, C&lt;/author&gt;&lt;author&gt;Elisei, G.&lt;/author&gt;&lt;author&gt;Gallen, C&lt;/author&gt;&lt;author&gt;Tracey, D.&lt;/author&gt;&lt;author&gt;Kaserzon, S.&lt;/author&gt;&lt;author&gt;Jiang, H.&lt;/author&gt;&lt;author&gt;Samanipour, S.&lt;/author&gt;&lt;author&gt;Mueller, J&lt;/author&gt;&lt;/authors&gt;&lt;tertiary-authors&gt;&lt;author&gt;Great Barrier Reef Marine Park Authority Townsville&lt;/author&gt;&lt;/tertiary-authors&gt;&lt;/contributors&gt;&lt;titles&gt;&lt;title&gt;Marine Monitoring Program: Annual report for inshore pesticide monitoring 2016-2017&lt;/title&gt;&lt;/titles&gt;&lt;dates&gt;&lt;year&gt;2018&lt;/year&gt;&lt;/dates&gt;&lt;urls&gt;&lt;related-urls&gt;&lt;url&gt;&lt;style face="underline" font="default" size="100%"&gt;http://elibrary.gbrmpa.gov.au/jspui/handle/11017/3399&lt;/style&gt;&lt;/url&gt;&lt;/related-urls&gt;&lt;/urls&gt;&lt;/record&gt;&lt;/Cite&gt;&lt;/EndNote&gt;</w:instrText>
      </w:r>
      <w:r w:rsidR="004F49B5">
        <w:rPr>
          <w:lang w:val="en-AU"/>
        </w:rPr>
        <w:fldChar w:fldCharType="separate"/>
      </w:r>
      <w:r w:rsidR="00E06B2D">
        <w:rPr>
          <w:noProof/>
          <w:lang w:val="en-AU"/>
        </w:rPr>
        <w:t>(Grant et al., 2018)</w:t>
      </w:r>
      <w:r w:rsidR="004F49B5">
        <w:rPr>
          <w:lang w:val="en-AU"/>
        </w:rPr>
        <w:fldChar w:fldCharType="end"/>
      </w:r>
      <w:r w:rsidR="004F49B5">
        <w:rPr>
          <w:lang w:val="en-AU"/>
        </w:rPr>
        <w:t xml:space="preserve">. </w:t>
      </w:r>
    </w:p>
    <w:p w14:paraId="1D6D4663" w14:textId="77777777" w:rsidR="007B32E8" w:rsidRDefault="007B32E8" w:rsidP="002439C8">
      <w:pPr>
        <w:spacing w:line="276" w:lineRule="auto"/>
        <w:jc w:val="left"/>
        <w:rPr>
          <w:lang w:val="en-AU"/>
        </w:rPr>
      </w:pPr>
    </w:p>
    <w:p w14:paraId="0432005C" w14:textId="18FE97C0" w:rsidR="007B32E8" w:rsidRDefault="004F49B5" w:rsidP="002439C8">
      <w:pPr>
        <w:spacing w:line="276" w:lineRule="auto"/>
        <w:jc w:val="left"/>
        <w:rPr>
          <w:lang w:val="en-AU"/>
        </w:rPr>
      </w:pPr>
      <w:r>
        <w:rPr>
          <w:lang w:val="en-AU"/>
        </w:rPr>
        <w:lastRenderedPageBreak/>
        <w:t>Other PSII herbicides</w:t>
      </w:r>
      <w:r w:rsidR="003D55B6">
        <w:rPr>
          <w:lang w:val="en-AU"/>
        </w:rPr>
        <w:t>, including</w:t>
      </w:r>
      <w:r>
        <w:rPr>
          <w:lang w:val="en-AU"/>
        </w:rPr>
        <w:t xml:space="preserve"> DE atrazine, t</w:t>
      </w:r>
      <w:r w:rsidR="00B72DBE">
        <w:rPr>
          <w:lang w:val="en-AU"/>
        </w:rPr>
        <w:t>ebuthiuron</w:t>
      </w:r>
      <w:r>
        <w:rPr>
          <w:lang w:val="en-AU"/>
        </w:rPr>
        <w:t xml:space="preserve"> and simazine were </w:t>
      </w:r>
      <w:r w:rsidR="00B72DBE">
        <w:rPr>
          <w:lang w:val="en-AU"/>
        </w:rPr>
        <w:t xml:space="preserve">also </w:t>
      </w:r>
      <w:r>
        <w:rPr>
          <w:lang w:val="en-AU"/>
        </w:rPr>
        <w:t xml:space="preserve">frequently </w:t>
      </w:r>
      <w:r w:rsidR="00B72DBE">
        <w:rPr>
          <w:lang w:val="en-AU"/>
        </w:rPr>
        <w:t xml:space="preserve">detected </w:t>
      </w:r>
      <w:r>
        <w:rPr>
          <w:lang w:val="en-AU"/>
        </w:rPr>
        <w:t>(&gt;70% of samplers)</w:t>
      </w:r>
      <w:r w:rsidR="00B72DBE">
        <w:rPr>
          <w:lang w:val="en-AU"/>
        </w:rPr>
        <w:t xml:space="preserve">, although </w:t>
      </w:r>
      <w:r w:rsidR="007B32E8">
        <w:rPr>
          <w:lang w:val="en-AU"/>
        </w:rPr>
        <w:t xml:space="preserve">most often </w:t>
      </w:r>
      <w:r w:rsidR="00B72DBE">
        <w:rPr>
          <w:lang w:val="en-AU"/>
        </w:rPr>
        <w:t xml:space="preserve">at </w:t>
      </w:r>
      <w:r w:rsidR="007B32E8">
        <w:rPr>
          <w:lang w:val="en-AU"/>
        </w:rPr>
        <w:t xml:space="preserve">much </w:t>
      </w:r>
      <w:r w:rsidR="00B72DBE">
        <w:rPr>
          <w:lang w:val="en-AU"/>
        </w:rPr>
        <w:t>low</w:t>
      </w:r>
      <w:r>
        <w:rPr>
          <w:lang w:val="en-AU"/>
        </w:rPr>
        <w:t>er</w:t>
      </w:r>
      <w:r w:rsidR="00B72DBE">
        <w:rPr>
          <w:lang w:val="en-AU"/>
        </w:rPr>
        <w:t xml:space="preserve"> concentrations (</w:t>
      </w:r>
      <w:r>
        <w:rPr>
          <w:lang w:val="en-AU"/>
        </w:rPr>
        <w:t xml:space="preserve">typically </w:t>
      </w:r>
      <w:r w:rsidR="00B72DBE">
        <w:rPr>
          <w:lang w:val="en-AU"/>
        </w:rPr>
        <w:t>&lt;</w:t>
      </w:r>
      <w:r>
        <w:rPr>
          <w:lang w:val="en-AU"/>
        </w:rPr>
        <w:t>5</w:t>
      </w:r>
      <w:r w:rsidR="00961C35">
        <w:rPr>
          <w:lang w:val="en-AU"/>
        </w:rPr>
        <w:t> ng L</w:t>
      </w:r>
      <w:r w:rsidR="00A209AA" w:rsidRPr="00A209AA">
        <w:rPr>
          <w:vertAlign w:val="superscript"/>
          <w:lang w:val="en-AU"/>
        </w:rPr>
        <w:noBreakHyphen/>
        <w:t>1</w:t>
      </w:r>
      <w:r w:rsidR="00B72DBE">
        <w:rPr>
          <w:lang w:val="en-AU"/>
        </w:rPr>
        <w:t xml:space="preserve">), with the highest concentration being </w:t>
      </w:r>
      <w:r>
        <w:rPr>
          <w:lang w:val="en-AU"/>
        </w:rPr>
        <w:t>32</w:t>
      </w:r>
      <w:r w:rsidR="00961C35">
        <w:rPr>
          <w:lang w:val="en-AU"/>
        </w:rPr>
        <w:t> ng L</w:t>
      </w:r>
      <w:r w:rsidR="00A209AA" w:rsidRPr="00A209AA">
        <w:rPr>
          <w:vertAlign w:val="superscript"/>
          <w:lang w:val="en-AU"/>
        </w:rPr>
        <w:noBreakHyphen/>
        <w:t>1</w:t>
      </w:r>
      <w:r>
        <w:rPr>
          <w:lang w:val="en-AU"/>
        </w:rPr>
        <w:t xml:space="preserve"> of DE atrazine</w:t>
      </w:r>
      <w:r w:rsidR="007B32E8">
        <w:rPr>
          <w:lang w:val="en-AU"/>
        </w:rPr>
        <w:t xml:space="preserve"> (</w:t>
      </w:r>
      <w:r>
        <w:rPr>
          <w:lang w:val="en-AU"/>
        </w:rPr>
        <w:t xml:space="preserve">also </w:t>
      </w:r>
      <w:r w:rsidR="00B72DBE">
        <w:rPr>
          <w:lang w:val="en-AU"/>
        </w:rPr>
        <w:t xml:space="preserve">at </w:t>
      </w:r>
      <w:r>
        <w:rPr>
          <w:lang w:val="en-AU"/>
        </w:rPr>
        <w:t>Round Top Island</w:t>
      </w:r>
      <w:r w:rsidR="007B32E8">
        <w:rPr>
          <w:lang w:val="en-AU"/>
        </w:rPr>
        <w:t>)</w:t>
      </w:r>
      <w:r w:rsidR="00B72DBE">
        <w:rPr>
          <w:lang w:val="en-AU"/>
        </w:rPr>
        <w:t xml:space="preserve">. </w:t>
      </w:r>
    </w:p>
    <w:p w14:paraId="0D448C56" w14:textId="77777777" w:rsidR="007B32E8" w:rsidRDefault="007B32E8" w:rsidP="002439C8">
      <w:pPr>
        <w:spacing w:line="276" w:lineRule="auto"/>
        <w:jc w:val="left"/>
        <w:rPr>
          <w:lang w:val="en-AU"/>
        </w:rPr>
      </w:pPr>
    </w:p>
    <w:p w14:paraId="19C87A97" w14:textId="481A6EEC" w:rsidR="0034120D" w:rsidRDefault="004F49B5" w:rsidP="002439C8">
      <w:pPr>
        <w:jc w:val="left"/>
        <w:rPr>
          <w:lang w:val="en-AU"/>
        </w:rPr>
      </w:pPr>
      <w:r>
        <w:rPr>
          <w:lang w:val="en-AU"/>
        </w:rPr>
        <w:t>Similar to the previous monitoring year, the non-PSII</w:t>
      </w:r>
      <w:r w:rsidR="001445C6" w:rsidRPr="00FB2B7F">
        <w:rPr>
          <w:lang w:val="en-AU"/>
        </w:rPr>
        <w:t xml:space="preserve"> </w:t>
      </w:r>
      <w:r w:rsidR="004B3180" w:rsidRPr="00FB2B7F">
        <w:rPr>
          <w:lang w:val="en-AU"/>
        </w:rPr>
        <w:t>pesticides</w:t>
      </w:r>
      <w:r w:rsidR="001445C6" w:rsidRPr="00FB2B7F">
        <w:rPr>
          <w:lang w:val="en-AU"/>
        </w:rPr>
        <w:t xml:space="preserve"> </w:t>
      </w:r>
      <w:r w:rsidR="00FE6E97">
        <w:rPr>
          <w:lang w:val="en-AU"/>
        </w:rPr>
        <w:t>2,4</w:t>
      </w:r>
      <w:r w:rsidR="00FE6E97">
        <w:rPr>
          <w:lang w:val="en-AU"/>
        </w:rPr>
        <w:noBreakHyphen/>
        <w:t>D</w:t>
      </w:r>
      <w:r w:rsidR="0059608E" w:rsidRPr="00FB2B7F">
        <w:rPr>
          <w:lang w:val="en-AU"/>
        </w:rPr>
        <w:t>, imidacloprid</w:t>
      </w:r>
      <w:r w:rsidR="00B72DBE">
        <w:rPr>
          <w:lang w:val="en-AU"/>
        </w:rPr>
        <w:t xml:space="preserve"> </w:t>
      </w:r>
      <w:r w:rsidR="0059608E" w:rsidRPr="00FB2B7F">
        <w:rPr>
          <w:lang w:val="en-AU"/>
        </w:rPr>
        <w:t xml:space="preserve">and metolachlor were </w:t>
      </w:r>
      <w:r w:rsidR="00B72DBE">
        <w:rPr>
          <w:lang w:val="en-AU"/>
        </w:rPr>
        <w:t>consistently</w:t>
      </w:r>
      <w:r w:rsidR="00F87C1F" w:rsidRPr="00FB2B7F">
        <w:rPr>
          <w:lang w:val="en-AU"/>
        </w:rPr>
        <w:t xml:space="preserve"> </w:t>
      </w:r>
      <w:r w:rsidR="0059608E" w:rsidRPr="00FB2B7F">
        <w:rPr>
          <w:lang w:val="en-AU"/>
        </w:rPr>
        <w:t xml:space="preserve">detected </w:t>
      </w:r>
      <w:r w:rsidR="00B72DBE">
        <w:rPr>
          <w:lang w:val="en-AU"/>
        </w:rPr>
        <w:t>across the sampling sites</w:t>
      </w:r>
      <w:r>
        <w:rPr>
          <w:lang w:val="en-AU"/>
        </w:rPr>
        <w:t xml:space="preserve"> (&gt;60% of samplers), </w:t>
      </w:r>
      <w:r w:rsidR="008473E5">
        <w:rPr>
          <w:lang w:val="en-AU"/>
        </w:rPr>
        <w:t xml:space="preserve">although </w:t>
      </w:r>
      <w:r w:rsidR="00FA63C0">
        <w:rPr>
          <w:lang w:val="en-AU"/>
        </w:rPr>
        <w:t>at low</w:t>
      </w:r>
      <w:r w:rsidR="00CC61C2">
        <w:rPr>
          <w:lang w:val="en-AU"/>
        </w:rPr>
        <w:t>er</w:t>
      </w:r>
      <w:r w:rsidR="00FA63C0">
        <w:rPr>
          <w:lang w:val="en-AU"/>
        </w:rPr>
        <w:t xml:space="preserve"> concentrations </w:t>
      </w:r>
      <w:r w:rsidR="003D55B6">
        <w:rPr>
          <w:lang w:val="en-AU"/>
        </w:rPr>
        <w:t xml:space="preserve">compared to </w:t>
      </w:r>
      <w:r w:rsidR="00FA63C0">
        <w:rPr>
          <w:lang w:val="en-AU"/>
        </w:rPr>
        <w:t>the PSII herbicides</w:t>
      </w:r>
      <w:r w:rsidR="0034120D">
        <w:rPr>
          <w:lang w:val="en-AU"/>
        </w:rPr>
        <w:t xml:space="preserve"> with the</w:t>
      </w:r>
      <w:r w:rsidR="0034120D" w:rsidRPr="0034120D">
        <w:rPr>
          <w:lang w:val="en-AU"/>
        </w:rPr>
        <w:t xml:space="preserve"> </w:t>
      </w:r>
      <w:r w:rsidR="0034120D">
        <w:rPr>
          <w:lang w:val="en-AU"/>
        </w:rPr>
        <w:t>maximum concentrations (C</w:t>
      </w:r>
      <w:r w:rsidR="0034120D">
        <w:rPr>
          <w:vertAlign w:val="subscript"/>
          <w:lang w:val="en-AU"/>
        </w:rPr>
        <w:t>max</w:t>
      </w:r>
      <w:r w:rsidR="0034120D">
        <w:rPr>
          <w:lang w:val="en-AU"/>
        </w:rPr>
        <w:t xml:space="preserve">) of: </w:t>
      </w:r>
    </w:p>
    <w:p w14:paraId="3B13A0F0" w14:textId="3115DE3D" w:rsidR="0034120D" w:rsidRPr="000432EB" w:rsidRDefault="00FE6E97" w:rsidP="002439C8">
      <w:pPr>
        <w:pStyle w:val="ListParagraph"/>
        <w:numPr>
          <w:ilvl w:val="0"/>
          <w:numId w:val="17"/>
        </w:numPr>
        <w:jc w:val="left"/>
        <w:rPr>
          <w:lang w:val="en-AU"/>
        </w:rPr>
      </w:pPr>
      <w:r>
        <w:rPr>
          <w:lang w:val="en-AU"/>
        </w:rPr>
        <w:t>2,4</w:t>
      </w:r>
      <w:r>
        <w:rPr>
          <w:lang w:val="en-AU"/>
        </w:rPr>
        <w:noBreakHyphen/>
        <w:t>D</w:t>
      </w:r>
      <w:r w:rsidR="0034120D" w:rsidRPr="000432EB">
        <w:rPr>
          <w:lang w:val="en-AU"/>
        </w:rPr>
        <w:t xml:space="preserve"> 8</w:t>
      </w:r>
      <w:r w:rsidR="0034120D">
        <w:rPr>
          <w:lang w:val="en-AU"/>
        </w:rPr>
        <w:t>.1</w:t>
      </w:r>
      <w:r w:rsidR="00961C35">
        <w:rPr>
          <w:lang w:val="en-AU"/>
        </w:rPr>
        <w:t> ng L</w:t>
      </w:r>
      <w:r w:rsidR="00A209AA" w:rsidRPr="00A209AA">
        <w:rPr>
          <w:vertAlign w:val="superscript"/>
          <w:lang w:val="en-AU"/>
        </w:rPr>
        <w:noBreakHyphen/>
        <w:t>1</w:t>
      </w:r>
    </w:p>
    <w:p w14:paraId="7B11E5DC" w14:textId="3495E9FD" w:rsidR="004D5313" w:rsidRDefault="0034120D" w:rsidP="002439C8">
      <w:pPr>
        <w:pStyle w:val="ListParagraph"/>
        <w:numPr>
          <w:ilvl w:val="0"/>
          <w:numId w:val="17"/>
        </w:numPr>
        <w:spacing w:line="276" w:lineRule="auto"/>
        <w:jc w:val="left"/>
        <w:rPr>
          <w:lang w:val="en-AU"/>
        </w:rPr>
      </w:pPr>
      <w:r w:rsidRPr="00F23FE6">
        <w:rPr>
          <w:lang w:val="en-AU"/>
        </w:rPr>
        <w:t>imidacloprid 42</w:t>
      </w:r>
      <w:r w:rsidR="00961C35">
        <w:rPr>
          <w:lang w:val="en-AU"/>
        </w:rPr>
        <w:t> ng L</w:t>
      </w:r>
      <w:r w:rsidR="00A209AA" w:rsidRPr="00A209AA">
        <w:rPr>
          <w:vertAlign w:val="superscript"/>
          <w:lang w:val="en-AU"/>
        </w:rPr>
        <w:noBreakHyphen/>
        <w:t>1</w:t>
      </w:r>
      <w:r w:rsidRPr="00F23FE6">
        <w:rPr>
          <w:lang w:val="en-AU"/>
        </w:rPr>
        <w:t xml:space="preserve"> </w:t>
      </w:r>
    </w:p>
    <w:p w14:paraId="78AC1E7B" w14:textId="4F9689D7" w:rsidR="00F872CD" w:rsidRPr="00F23FE6" w:rsidRDefault="004D5313" w:rsidP="002439C8">
      <w:pPr>
        <w:pStyle w:val="ListParagraph"/>
        <w:numPr>
          <w:ilvl w:val="0"/>
          <w:numId w:val="17"/>
        </w:numPr>
        <w:spacing w:line="276" w:lineRule="auto"/>
        <w:jc w:val="left"/>
        <w:rPr>
          <w:lang w:val="en-AU"/>
        </w:rPr>
      </w:pPr>
      <w:r>
        <w:rPr>
          <w:lang w:val="en-AU"/>
        </w:rPr>
        <w:t>metolachlor</w:t>
      </w:r>
      <w:r w:rsidR="0034120D" w:rsidRPr="00F23FE6">
        <w:rPr>
          <w:lang w:val="en-AU"/>
        </w:rPr>
        <w:t xml:space="preserve"> </w:t>
      </w:r>
      <w:r>
        <w:rPr>
          <w:lang w:val="en-AU"/>
        </w:rPr>
        <w:t>28</w:t>
      </w:r>
      <w:r w:rsidR="00961C35">
        <w:rPr>
          <w:lang w:val="en-AU"/>
        </w:rPr>
        <w:t> ng L</w:t>
      </w:r>
      <w:r w:rsidR="00A209AA" w:rsidRPr="00A209AA">
        <w:rPr>
          <w:vertAlign w:val="superscript"/>
          <w:lang w:val="en-AU"/>
        </w:rPr>
        <w:noBreakHyphen/>
        <w:t>1</w:t>
      </w:r>
      <w:r w:rsidR="0034120D" w:rsidRPr="00F23FE6">
        <w:rPr>
          <w:lang w:val="en-AU"/>
        </w:rPr>
        <w:t>.</w:t>
      </w:r>
    </w:p>
    <w:p w14:paraId="7E1A54BC" w14:textId="77777777" w:rsidR="00AF2877" w:rsidRDefault="00AF2877" w:rsidP="002439C8">
      <w:pPr>
        <w:spacing w:line="276" w:lineRule="auto"/>
        <w:jc w:val="left"/>
        <w:rPr>
          <w:lang w:val="en-AU" w:eastAsia="en-AU"/>
        </w:rPr>
      </w:pPr>
    </w:p>
    <w:p w14:paraId="53319A78" w14:textId="77777777" w:rsidR="007B2E59" w:rsidRDefault="007B2E59" w:rsidP="002439C8">
      <w:pPr>
        <w:spacing w:line="276" w:lineRule="auto"/>
        <w:jc w:val="left"/>
        <w:rPr>
          <w:lang w:val="en-AU" w:eastAsia="en-AU"/>
        </w:rPr>
      </w:pPr>
      <w:r w:rsidRPr="007D68A5">
        <w:t xml:space="preserve">When pesticide </w:t>
      </w:r>
      <w:r>
        <w:t xml:space="preserve">mixture </w:t>
      </w:r>
      <w:r w:rsidRPr="007D68A5">
        <w:t>concentrations are assessed with the risk metric</w:t>
      </w:r>
      <w:r w:rsidRPr="007D68A5">
        <w:rPr>
          <w:lang w:eastAsia="en-AU"/>
        </w:rPr>
        <w:t xml:space="preserve"> results are </w:t>
      </w:r>
      <w:r>
        <w:rPr>
          <w:lang w:eastAsia="en-AU"/>
        </w:rPr>
        <w:t>variable</w:t>
      </w:r>
      <w:r w:rsidRPr="007D68A5">
        <w:rPr>
          <w:lang w:eastAsia="en-AU"/>
        </w:rPr>
        <w:t>.</w:t>
      </w:r>
      <w:r w:rsidRPr="007D68A5">
        <w:t xml:space="preserve"> All sites in the Wet Tropics and at North Keppel Island met the </w:t>
      </w:r>
      <w:r w:rsidRPr="007D68A5">
        <w:rPr>
          <w:lang w:eastAsia="en-AU"/>
        </w:rPr>
        <w:t xml:space="preserve">desired </w:t>
      </w:r>
      <w:r>
        <w:t>very low risk</w:t>
      </w:r>
      <w:r w:rsidRPr="007D68A5">
        <w:t xml:space="preserve"> category 5: protective of 99% of species (i.e. less than 1% of species are affected). Remaining sites, other than Round Top Island (i.e. Barratta Creek, Repulse Bay, Sandy Creek, and Sarina Inlet) had a mix of </w:t>
      </w:r>
      <w:r>
        <w:t>very low risk</w:t>
      </w:r>
      <w:r w:rsidRPr="007D68A5">
        <w:t xml:space="preserve">: protective of 99% of species (i.e. less than 1% of species are affected) and </w:t>
      </w:r>
      <w:r>
        <w:rPr>
          <w:lang w:eastAsia="en-AU"/>
        </w:rPr>
        <w:t>low risk</w:t>
      </w:r>
      <w:r w:rsidRPr="007D68A5">
        <w:rPr>
          <w:lang w:eastAsia="en-AU"/>
        </w:rPr>
        <w:t xml:space="preserve">: protective of &gt;95% but &lt;99% of species (or 1 to &lt;5% of species affected). </w:t>
      </w:r>
      <w:r w:rsidRPr="007D68A5">
        <w:t>At Repulse Bay (2016–17) and Sandy Creek (2017–18) only one and zero wet season samples were obtained, respectively due to sampler losses and deployment issues.</w:t>
      </w:r>
      <w:r w:rsidRPr="007D68A5">
        <w:rPr>
          <w:b/>
        </w:rPr>
        <w:t xml:space="preserve"> </w:t>
      </w:r>
      <w:r w:rsidRPr="00692F59">
        <w:t>No data is available for Normanby Island for 2016–17.</w:t>
      </w:r>
    </w:p>
    <w:p w14:paraId="30FFD645" w14:textId="0946138E" w:rsidR="00AF2877" w:rsidRPr="00992EF8" w:rsidRDefault="00AF2877" w:rsidP="002439C8">
      <w:pPr>
        <w:spacing w:line="276" w:lineRule="auto"/>
        <w:jc w:val="left"/>
        <w:rPr>
          <w:lang w:eastAsia="en-AU"/>
        </w:rPr>
      </w:pPr>
      <w:r w:rsidRPr="00992EF8">
        <w:rPr>
          <w:lang w:eastAsia="en-AU"/>
        </w:rPr>
        <w:t>Round Top Island had samples returned across all categories</w:t>
      </w:r>
      <w:r w:rsidR="00497DFA">
        <w:rPr>
          <w:lang w:eastAsia="en-AU"/>
        </w:rPr>
        <w:t xml:space="preserve"> (Appendix F)</w:t>
      </w:r>
      <w:r w:rsidRPr="00992EF8">
        <w:rPr>
          <w:lang w:eastAsia="en-AU"/>
        </w:rPr>
        <w:t>:</w:t>
      </w:r>
    </w:p>
    <w:p w14:paraId="61CBE563" w14:textId="77777777" w:rsidR="00AF2877" w:rsidRPr="00992EF8" w:rsidRDefault="00AF2877" w:rsidP="002439C8">
      <w:pPr>
        <w:pStyle w:val="ListParagraph"/>
        <w:numPr>
          <w:ilvl w:val="0"/>
          <w:numId w:val="33"/>
        </w:numPr>
        <w:spacing w:line="276" w:lineRule="auto"/>
        <w:jc w:val="left"/>
        <w:rPr>
          <w:lang w:eastAsia="en-AU"/>
        </w:rPr>
      </w:pPr>
      <w:r w:rsidRPr="00992EF8">
        <w:t xml:space="preserve">Very low risk: protective of 99% of species (i.e. less than 1% of species are affected) - four </w:t>
      </w:r>
    </w:p>
    <w:p w14:paraId="662BFC60" w14:textId="115324C7" w:rsidR="00AF2877" w:rsidRPr="00992EF8" w:rsidRDefault="00AF2877" w:rsidP="002439C8">
      <w:pPr>
        <w:pStyle w:val="ListParagraph"/>
        <w:numPr>
          <w:ilvl w:val="0"/>
          <w:numId w:val="33"/>
        </w:numPr>
        <w:spacing w:line="276" w:lineRule="auto"/>
        <w:jc w:val="left"/>
      </w:pPr>
      <w:r w:rsidRPr="00992EF8">
        <w:t xml:space="preserve">Low risk: protective of &gt;95% but &lt;99% of species (or 1 to &lt;5% of species affected) </w:t>
      </w:r>
      <w:r w:rsidR="00497DFA">
        <w:t>–</w:t>
      </w:r>
      <w:r w:rsidRPr="00992EF8">
        <w:t xml:space="preserve"> one</w:t>
      </w:r>
      <w:r w:rsidR="00497DFA">
        <w:t xml:space="preserve"> deployment from 6/12/2017 to 22/1/2018</w:t>
      </w:r>
    </w:p>
    <w:p w14:paraId="407DE0EB" w14:textId="0967C5D0" w:rsidR="00AF2877" w:rsidRPr="00992EF8" w:rsidRDefault="00AF2877" w:rsidP="002439C8">
      <w:pPr>
        <w:pStyle w:val="ListParagraph"/>
        <w:numPr>
          <w:ilvl w:val="0"/>
          <w:numId w:val="33"/>
        </w:numPr>
        <w:spacing w:line="276" w:lineRule="auto"/>
        <w:jc w:val="left"/>
      </w:pPr>
      <w:r w:rsidRPr="00992EF8">
        <w:lastRenderedPageBreak/>
        <w:t xml:space="preserve">Moderate risk: protective of &gt;90% but &lt;95% of species (or 5 to &lt;10% of species affected) </w:t>
      </w:r>
      <w:r w:rsidR="00497DFA">
        <w:t>–</w:t>
      </w:r>
      <w:r w:rsidRPr="00992EF8">
        <w:t xml:space="preserve"> two</w:t>
      </w:r>
      <w:r w:rsidR="00497DFA">
        <w:t xml:space="preserve"> deployment from 15/2/2018 to 15/3/2018 and 15/3/2018 to 12/4/2018</w:t>
      </w:r>
    </w:p>
    <w:p w14:paraId="382A5C61" w14:textId="5E990AE0" w:rsidR="00AF2877" w:rsidRPr="00992EF8" w:rsidRDefault="00AF2877" w:rsidP="002439C8">
      <w:pPr>
        <w:pStyle w:val="ListParagraph"/>
        <w:numPr>
          <w:ilvl w:val="0"/>
          <w:numId w:val="33"/>
        </w:numPr>
        <w:spacing w:line="276" w:lineRule="auto"/>
        <w:jc w:val="left"/>
      </w:pPr>
      <w:r w:rsidRPr="00992EF8">
        <w:t xml:space="preserve">High risk: protective of &gt;80% but &lt;90% of species (or 10 to &lt;20% of species affected) – </w:t>
      </w:r>
      <w:r w:rsidR="00497DFA">
        <w:t xml:space="preserve">one deployment from 22/1/2018 to 15/2/2018 </w:t>
      </w:r>
    </w:p>
    <w:p w14:paraId="4C26DA3E" w14:textId="30C5DDFD" w:rsidR="00AF2877" w:rsidRPr="00992EF8" w:rsidRDefault="00AF2877" w:rsidP="002439C8">
      <w:pPr>
        <w:pStyle w:val="ListParagraph"/>
        <w:numPr>
          <w:ilvl w:val="0"/>
          <w:numId w:val="33"/>
        </w:numPr>
        <w:spacing w:after="120" w:line="276" w:lineRule="auto"/>
        <w:jc w:val="left"/>
        <w:rPr>
          <w:lang w:eastAsia="en-AU"/>
        </w:rPr>
      </w:pPr>
      <w:r w:rsidRPr="00992EF8">
        <w:t xml:space="preserve">Very high risk: protective of ≤80% of species (or ≥20% of species potentially affected) </w:t>
      </w:r>
      <w:r w:rsidR="00497DFA">
        <w:t>–</w:t>
      </w:r>
      <w:r w:rsidRPr="00992EF8">
        <w:t xml:space="preserve"> one</w:t>
      </w:r>
      <w:r w:rsidR="00497DFA">
        <w:t xml:space="preserve"> deployment from 7/11/2017 to 6/12/2017</w:t>
      </w:r>
    </w:p>
    <w:p w14:paraId="098F50AC" w14:textId="77777777" w:rsidR="00D830C2" w:rsidRPr="00AF2877" w:rsidRDefault="00D830C2" w:rsidP="002439C8">
      <w:pPr>
        <w:spacing w:line="276" w:lineRule="auto"/>
        <w:jc w:val="left"/>
        <w:rPr>
          <w:lang w:val="en-AU" w:eastAsia="en-AU"/>
        </w:rPr>
      </w:pPr>
    </w:p>
    <w:p w14:paraId="5A168949" w14:textId="1D304898" w:rsidR="004922F4" w:rsidRPr="00414551" w:rsidRDefault="00A072A2" w:rsidP="002439C8">
      <w:pPr>
        <w:spacing w:line="276" w:lineRule="auto"/>
        <w:jc w:val="left"/>
        <w:rPr>
          <w:lang w:val="en-AU" w:eastAsia="en-AU"/>
        </w:rPr>
      </w:pPr>
      <w:r w:rsidRPr="00414551">
        <w:rPr>
          <w:lang w:val="en-AU" w:eastAsia="en-AU"/>
        </w:rPr>
        <w:t>The</w:t>
      </w:r>
      <w:r w:rsidR="00FA63C0" w:rsidRPr="00414551">
        <w:rPr>
          <w:lang w:val="en-AU" w:eastAsia="en-AU"/>
        </w:rPr>
        <w:t xml:space="preserve"> </w:t>
      </w:r>
      <w:r w:rsidR="005E2B71">
        <w:rPr>
          <w:lang w:val="en-AU" w:eastAsia="en-AU"/>
        </w:rPr>
        <w:t>PSII</w:t>
      </w:r>
      <w:r w:rsidR="005E2B71">
        <w:rPr>
          <w:lang w:val="en-AU" w:eastAsia="en-AU"/>
        </w:rPr>
        <w:noBreakHyphen/>
        <w:t>HEq</w:t>
      </w:r>
      <w:r w:rsidR="00BA5C64" w:rsidRPr="00414551">
        <w:rPr>
          <w:lang w:val="en-AU" w:eastAsia="en-AU"/>
        </w:rPr>
        <w:t xml:space="preserve"> Max </w:t>
      </w:r>
      <w:r w:rsidR="00FA63C0" w:rsidRPr="00414551">
        <w:rPr>
          <w:lang w:val="en-AU" w:eastAsia="en-AU"/>
        </w:rPr>
        <w:t xml:space="preserve">was also calculated </w:t>
      </w:r>
      <w:r w:rsidR="001D1B49" w:rsidRPr="00414551">
        <w:rPr>
          <w:lang w:val="en-AU" w:eastAsia="en-AU"/>
        </w:rPr>
        <w:t xml:space="preserve">for </w:t>
      </w:r>
      <w:r w:rsidR="00BA5C64" w:rsidRPr="00414551">
        <w:rPr>
          <w:lang w:val="en-AU" w:eastAsia="en-AU"/>
        </w:rPr>
        <w:t>all sites</w:t>
      </w:r>
      <w:r w:rsidR="001D1B49" w:rsidRPr="00414551">
        <w:rPr>
          <w:lang w:val="en-AU" w:eastAsia="en-AU"/>
        </w:rPr>
        <w:t xml:space="preserve"> </w:t>
      </w:r>
      <w:r w:rsidRPr="00414551">
        <w:rPr>
          <w:lang w:val="en-AU" w:eastAsia="en-AU"/>
        </w:rPr>
        <w:t xml:space="preserve">(ranging from </w:t>
      </w:r>
      <w:r w:rsidR="00940FA3" w:rsidRPr="00414551">
        <w:rPr>
          <w:lang w:val="en-AU" w:eastAsia="en-AU"/>
        </w:rPr>
        <w:t>6.4</w:t>
      </w:r>
      <w:r w:rsidR="00BA5C64" w:rsidRPr="00414551">
        <w:rPr>
          <w:lang w:val="en-AU" w:eastAsia="en-AU"/>
        </w:rPr>
        <w:t xml:space="preserve"> – </w:t>
      </w:r>
      <w:r w:rsidR="00940FA3" w:rsidRPr="00414551">
        <w:rPr>
          <w:lang w:val="en-AU" w:eastAsia="en-AU"/>
        </w:rPr>
        <w:t>901</w:t>
      </w:r>
      <w:r w:rsidR="00961C35">
        <w:rPr>
          <w:lang w:val="en-AU" w:eastAsia="en-AU"/>
        </w:rPr>
        <w:t> ng L</w:t>
      </w:r>
      <w:r w:rsidR="00A209AA" w:rsidRPr="00A209AA">
        <w:rPr>
          <w:vertAlign w:val="superscript"/>
          <w:lang w:val="en-AU" w:eastAsia="en-AU"/>
        </w:rPr>
        <w:noBreakHyphen/>
        <w:t>1</w:t>
      </w:r>
      <w:r w:rsidRPr="00414551">
        <w:rPr>
          <w:lang w:val="en-AU" w:eastAsia="en-AU"/>
        </w:rPr>
        <w:t>)</w:t>
      </w:r>
      <w:r w:rsidR="00FA63C0" w:rsidRPr="00414551">
        <w:rPr>
          <w:lang w:val="en-AU" w:eastAsia="en-AU"/>
        </w:rPr>
        <w:t xml:space="preserve"> </w:t>
      </w:r>
      <w:r w:rsidR="00975312" w:rsidRPr="00414551">
        <w:rPr>
          <w:lang w:val="en-AU" w:eastAsia="en-AU"/>
        </w:rPr>
        <w:t xml:space="preserve">of which the highest concentration </w:t>
      </w:r>
      <w:r w:rsidR="00063D6E" w:rsidRPr="00414551">
        <w:rPr>
          <w:lang w:val="en-AU" w:eastAsia="en-AU"/>
        </w:rPr>
        <w:t>also</w:t>
      </w:r>
      <w:r w:rsidR="00FA63C0" w:rsidRPr="00414551">
        <w:rPr>
          <w:lang w:val="en-AU" w:eastAsia="en-AU"/>
        </w:rPr>
        <w:t xml:space="preserve"> correspond</w:t>
      </w:r>
      <w:r w:rsidR="00975312" w:rsidRPr="00414551">
        <w:rPr>
          <w:lang w:val="en-AU" w:eastAsia="en-AU"/>
        </w:rPr>
        <w:t>ed</w:t>
      </w:r>
      <w:r w:rsidR="00FA63C0" w:rsidRPr="00414551">
        <w:rPr>
          <w:lang w:val="en-AU" w:eastAsia="en-AU"/>
        </w:rPr>
        <w:t xml:space="preserve"> to </w:t>
      </w:r>
      <w:r w:rsidR="00063D6E" w:rsidRPr="00414551">
        <w:rPr>
          <w:lang w:val="en-AU" w:eastAsia="en-AU"/>
        </w:rPr>
        <w:t xml:space="preserve">the highest risk </w:t>
      </w:r>
      <w:r w:rsidR="00FA63C0" w:rsidRPr="00414551">
        <w:rPr>
          <w:lang w:val="en-AU" w:eastAsia="en-AU"/>
        </w:rPr>
        <w:t xml:space="preserve">Category </w:t>
      </w:r>
      <w:r w:rsidR="00940FA3" w:rsidRPr="00414551">
        <w:rPr>
          <w:lang w:val="en-AU" w:eastAsia="en-AU"/>
        </w:rPr>
        <w:t>1</w:t>
      </w:r>
      <w:r w:rsidR="00FA63C0" w:rsidRPr="00414551">
        <w:rPr>
          <w:lang w:val="en-AU" w:eastAsia="en-AU"/>
        </w:rPr>
        <w:t xml:space="preserve"> on the Index</w:t>
      </w:r>
      <w:r w:rsidR="004922F4" w:rsidRPr="00414551">
        <w:rPr>
          <w:lang w:val="en-AU" w:eastAsia="en-AU"/>
        </w:rPr>
        <w:t>:</w:t>
      </w:r>
    </w:p>
    <w:p w14:paraId="2D9D9534" w14:textId="77777777" w:rsidR="002A01CA" w:rsidRPr="00414551" w:rsidRDefault="002A01CA" w:rsidP="002439C8">
      <w:pPr>
        <w:pStyle w:val="ListParagraph"/>
        <w:numPr>
          <w:ilvl w:val="0"/>
          <w:numId w:val="15"/>
        </w:numPr>
        <w:spacing w:line="276" w:lineRule="auto"/>
        <w:jc w:val="left"/>
        <w:rPr>
          <w:lang w:val="en-AU" w:eastAsia="en-AU"/>
        </w:rPr>
      </w:pPr>
      <w:r w:rsidRPr="00414551">
        <w:rPr>
          <w:lang w:val="en-AU" w:eastAsia="en-AU"/>
        </w:rPr>
        <w:t xml:space="preserve">Category </w:t>
      </w:r>
      <w:r w:rsidR="00FC28E2" w:rsidRPr="00414551">
        <w:rPr>
          <w:lang w:val="en-AU" w:eastAsia="en-AU"/>
        </w:rPr>
        <w:t>1 (published demonstrated effects on the growth and death of aquatic plants and animals exposed</w:t>
      </w:r>
      <w:r w:rsidR="00E22027" w:rsidRPr="00414551">
        <w:rPr>
          <w:lang w:val="en-AU" w:eastAsia="en-AU"/>
        </w:rPr>
        <w:t>)</w:t>
      </w:r>
      <w:r w:rsidR="00FC28E2" w:rsidRPr="00414551">
        <w:rPr>
          <w:lang w:val="en-AU" w:eastAsia="en-AU"/>
        </w:rPr>
        <w:t>: one site</w:t>
      </w:r>
    </w:p>
    <w:p w14:paraId="1171C402" w14:textId="76286ACE" w:rsidR="00D830C2" w:rsidRPr="00414551" w:rsidRDefault="00D830C2" w:rsidP="002439C8">
      <w:pPr>
        <w:pStyle w:val="ListParagraph"/>
        <w:numPr>
          <w:ilvl w:val="0"/>
          <w:numId w:val="15"/>
        </w:numPr>
        <w:spacing w:line="276" w:lineRule="auto"/>
        <w:jc w:val="left"/>
        <w:rPr>
          <w:lang w:val="en-AU" w:eastAsia="en-AU"/>
        </w:rPr>
      </w:pPr>
      <w:r w:rsidRPr="00414551">
        <w:rPr>
          <w:lang w:val="en-AU" w:eastAsia="en-AU"/>
        </w:rPr>
        <w:t>Category 2</w:t>
      </w:r>
      <w:r w:rsidR="00FE0B3C" w:rsidRPr="00414551">
        <w:rPr>
          <w:lang w:val="en-AU" w:eastAsia="en-AU"/>
        </w:rPr>
        <w:t xml:space="preserve"> (published scientific observations of reduced photosynthesis for three coral species): no</w:t>
      </w:r>
      <w:r w:rsidR="001C37D6">
        <w:rPr>
          <w:lang w:val="en-AU" w:eastAsia="en-AU"/>
        </w:rPr>
        <w:t xml:space="preserve"> sites</w:t>
      </w:r>
    </w:p>
    <w:p w14:paraId="54794B94" w14:textId="77777777" w:rsidR="00FE0B3C" w:rsidRPr="00414551" w:rsidRDefault="00FE0B3C" w:rsidP="002439C8">
      <w:pPr>
        <w:pStyle w:val="ListParagraph"/>
        <w:numPr>
          <w:ilvl w:val="0"/>
          <w:numId w:val="15"/>
        </w:numPr>
        <w:spacing w:line="276" w:lineRule="auto"/>
        <w:jc w:val="left"/>
        <w:rPr>
          <w:lang w:val="en-AU" w:eastAsia="en-AU"/>
        </w:rPr>
      </w:pPr>
      <w:r w:rsidRPr="00414551">
        <w:rPr>
          <w:lang w:val="en-AU" w:eastAsia="en-AU"/>
        </w:rPr>
        <w:t>Category 3 (published scientific observations of reduced photosynthesis for two seagrass species and three diatoms): two sites</w:t>
      </w:r>
    </w:p>
    <w:p w14:paraId="4C555836" w14:textId="77777777" w:rsidR="00FE0B3C" w:rsidRPr="00414551" w:rsidRDefault="00FE0B3C" w:rsidP="002439C8">
      <w:pPr>
        <w:pStyle w:val="ListParagraph"/>
        <w:numPr>
          <w:ilvl w:val="0"/>
          <w:numId w:val="15"/>
        </w:numPr>
        <w:spacing w:line="276" w:lineRule="auto"/>
        <w:jc w:val="left"/>
        <w:rPr>
          <w:lang w:val="en-AU" w:eastAsia="en-AU"/>
        </w:rPr>
      </w:pPr>
      <w:r w:rsidRPr="00414551">
        <w:rPr>
          <w:lang w:val="en-AU" w:eastAsia="en-AU"/>
        </w:rPr>
        <w:t>Category 4 (published scientific observations of reduced photosynthesis for two diatoms): four sites</w:t>
      </w:r>
    </w:p>
    <w:p w14:paraId="0125FB98" w14:textId="77777777" w:rsidR="002A01CA" w:rsidRPr="00414551" w:rsidRDefault="002A01CA" w:rsidP="002439C8">
      <w:pPr>
        <w:pStyle w:val="ListParagraph"/>
        <w:numPr>
          <w:ilvl w:val="0"/>
          <w:numId w:val="14"/>
        </w:numPr>
        <w:spacing w:line="276" w:lineRule="auto"/>
        <w:jc w:val="left"/>
        <w:rPr>
          <w:lang w:val="en-AU" w:eastAsia="en-AU"/>
        </w:rPr>
      </w:pPr>
      <w:r w:rsidRPr="00414551">
        <w:rPr>
          <w:lang w:val="en-AU" w:eastAsia="en-AU"/>
        </w:rPr>
        <w:t xml:space="preserve">Category 5 (no </w:t>
      </w:r>
      <w:r w:rsidR="00FC28E2" w:rsidRPr="00414551">
        <w:rPr>
          <w:lang w:val="en-AU" w:eastAsia="en-AU"/>
        </w:rPr>
        <w:t>published demonstrated</w:t>
      </w:r>
      <w:r w:rsidRPr="00414551">
        <w:rPr>
          <w:lang w:val="en-AU" w:eastAsia="en-AU"/>
        </w:rPr>
        <w:t xml:space="preserve"> ecosystem effects): </w:t>
      </w:r>
      <w:r w:rsidR="00FE0B3C" w:rsidRPr="00414551">
        <w:rPr>
          <w:lang w:val="en-AU" w:eastAsia="en-AU"/>
        </w:rPr>
        <w:t>four</w:t>
      </w:r>
      <w:r w:rsidR="00A072A2" w:rsidRPr="00414551">
        <w:rPr>
          <w:lang w:val="en-AU" w:eastAsia="en-AU"/>
        </w:rPr>
        <w:t xml:space="preserve"> sites. </w:t>
      </w:r>
    </w:p>
    <w:p w14:paraId="29319FE1" w14:textId="77777777" w:rsidR="002A01CA" w:rsidRPr="00414551" w:rsidRDefault="002A01CA" w:rsidP="002439C8">
      <w:pPr>
        <w:spacing w:line="276" w:lineRule="auto"/>
        <w:jc w:val="left"/>
        <w:rPr>
          <w:lang w:val="en-AU" w:eastAsia="en-AU"/>
        </w:rPr>
      </w:pPr>
    </w:p>
    <w:p w14:paraId="6FCF5447" w14:textId="77777777" w:rsidR="001E4775" w:rsidRPr="00BE05C8" w:rsidRDefault="001D1B49" w:rsidP="002439C8">
      <w:pPr>
        <w:spacing w:line="276" w:lineRule="auto"/>
        <w:jc w:val="left"/>
      </w:pPr>
      <w:r w:rsidRPr="00414551">
        <w:rPr>
          <w:lang w:val="en-AU" w:eastAsia="en-AU"/>
        </w:rPr>
        <w:t>B</w:t>
      </w:r>
      <w:r w:rsidR="00FA63C0" w:rsidRPr="00414551">
        <w:rPr>
          <w:lang w:val="en-AU" w:eastAsia="en-AU"/>
        </w:rPr>
        <w:t>oth risk metrics</w:t>
      </w:r>
      <w:r w:rsidR="00BA5C64" w:rsidRPr="00414551">
        <w:rPr>
          <w:lang w:val="en-AU" w:eastAsia="en-AU"/>
        </w:rPr>
        <w:t xml:space="preserve"> </w:t>
      </w:r>
      <w:r w:rsidR="00FA63C0" w:rsidRPr="00414551">
        <w:rPr>
          <w:lang w:val="en-AU" w:eastAsia="en-AU"/>
        </w:rPr>
        <w:t xml:space="preserve">indicate that </w:t>
      </w:r>
      <w:r w:rsidR="00414551" w:rsidRPr="00414551">
        <w:rPr>
          <w:lang w:val="en-AU" w:eastAsia="en-AU"/>
        </w:rPr>
        <w:t>the Round Top island site</w:t>
      </w:r>
      <w:r w:rsidR="00FA63C0" w:rsidRPr="00414551">
        <w:rPr>
          <w:lang w:val="en-AU" w:eastAsia="en-AU"/>
        </w:rPr>
        <w:t xml:space="preserve"> located in the Mackay Whitsunday region </w:t>
      </w:r>
      <w:r w:rsidR="00414551" w:rsidRPr="00414551">
        <w:rPr>
          <w:lang w:val="en-AU" w:eastAsia="en-AU"/>
        </w:rPr>
        <w:t>is</w:t>
      </w:r>
      <w:r w:rsidR="00FA63C0" w:rsidRPr="00414551">
        <w:rPr>
          <w:lang w:val="en-AU" w:eastAsia="en-AU"/>
        </w:rPr>
        <w:t xml:space="preserve"> exposed to elevated risk of pesticide exposure</w:t>
      </w:r>
      <w:r w:rsidR="00992EF8" w:rsidRPr="00414551">
        <w:rPr>
          <w:lang w:val="en-AU" w:eastAsia="en-AU"/>
        </w:rPr>
        <w:t xml:space="preserve">, compared to other </w:t>
      </w:r>
      <w:r w:rsidR="00414551" w:rsidRPr="00414551">
        <w:rPr>
          <w:lang w:val="en-AU" w:eastAsia="en-AU"/>
        </w:rPr>
        <w:t>sites</w:t>
      </w:r>
      <w:r w:rsidR="00DB1879" w:rsidRPr="00414551">
        <w:rPr>
          <w:lang w:val="en-AU" w:eastAsia="en-AU"/>
        </w:rPr>
        <w:t>.</w:t>
      </w:r>
    </w:p>
    <w:p w14:paraId="7FE10F74" w14:textId="77777777" w:rsidR="001E4775" w:rsidRDefault="001E4775" w:rsidP="002439C8">
      <w:pPr>
        <w:pStyle w:val="Heading2"/>
        <w:jc w:val="left"/>
      </w:pPr>
      <w:bookmarkStart w:id="435" w:name="_Toc14435703"/>
      <w:r w:rsidRPr="007E3D8C">
        <w:t>Comparison to guideline values</w:t>
      </w:r>
      <w:bookmarkEnd w:id="435"/>
    </w:p>
    <w:p w14:paraId="781ACDB2" w14:textId="17C0DBDE" w:rsidR="00985A9B" w:rsidRPr="007E3D8C" w:rsidRDefault="00B07A2A" w:rsidP="002439C8">
      <w:pPr>
        <w:spacing w:line="276" w:lineRule="auto"/>
        <w:jc w:val="left"/>
        <w:rPr>
          <w:lang w:val="en-AU"/>
        </w:rPr>
      </w:pPr>
      <w:r w:rsidRPr="001B6DA9">
        <w:rPr>
          <w:rFonts w:cs="Arial"/>
        </w:rPr>
        <w:t xml:space="preserve">No individual exceedances of the </w:t>
      </w:r>
      <w:r w:rsidRPr="001B6DA9">
        <w:t xml:space="preserve">current </w:t>
      </w:r>
      <w:r>
        <w:t xml:space="preserve">marine trigger values (i.e. water quality guideline values) </w:t>
      </w:r>
      <w:r w:rsidRPr="001B6DA9">
        <w:rPr>
          <w:rFonts w:cs="Arial"/>
        </w:rPr>
        <w:t xml:space="preserve">were detected </w:t>
      </w:r>
      <w:r w:rsidR="00344CCA">
        <w:rPr>
          <w:rFonts w:cs="Arial"/>
        </w:rPr>
        <w:t>but</w:t>
      </w:r>
      <w:r>
        <w:rPr>
          <w:rFonts w:cs="Arial"/>
        </w:rPr>
        <w:t xml:space="preserve"> </w:t>
      </w:r>
      <w:r w:rsidR="00FC1BB5">
        <w:rPr>
          <w:rFonts w:cs="Arial"/>
        </w:rPr>
        <w:t xml:space="preserve">it is noted </w:t>
      </w:r>
      <w:r>
        <w:rPr>
          <w:rFonts w:cs="Arial"/>
        </w:rPr>
        <w:t xml:space="preserve">these values are undergoing a review. </w:t>
      </w:r>
      <w:r>
        <w:rPr>
          <w:lang w:val="en-AU"/>
        </w:rPr>
        <w:t xml:space="preserve">The current </w:t>
      </w:r>
      <w:r w:rsidRPr="007E3D8C">
        <w:rPr>
          <w:lang w:val="en-AU"/>
        </w:rPr>
        <w:t>ANZECC and ARMCAN</w:t>
      </w:r>
      <w:r w:rsidR="005C25EE">
        <w:rPr>
          <w:lang w:val="en-AU"/>
        </w:rPr>
        <w:t>Z trigger value for diuron is 1</w:t>
      </w:r>
      <w:r w:rsidRPr="007E3D8C">
        <w:rPr>
          <w:lang w:val="en-AU"/>
        </w:rPr>
        <w:t>800</w:t>
      </w:r>
      <w:r w:rsidR="00961C35">
        <w:rPr>
          <w:lang w:val="en-AU"/>
        </w:rPr>
        <w:t> ng L</w:t>
      </w:r>
      <w:r w:rsidR="00A209AA" w:rsidRPr="00A209AA">
        <w:rPr>
          <w:vertAlign w:val="superscript"/>
          <w:lang w:val="en-AU"/>
        </w:rPr>
        <w:noBreakHyphen/>
        <w:t>1</w:t>
      </w:r>
      <w:r w:rsidRPr="007E3D8C">
        <w:rPr>
          <w:lang w:val="en-AU"/>
        </w:rPr>
        <w:t xml:space="preserve"> (a low reliability interim working </w:t>
      </w:r>
      <w:r w:rsidRPr="007E3D8C">
        <w:rPr>
          <w:lang w:val="en-AU"/>
        </w:rPr>
        <w:lastRenderedPageBreak/>
        <w:t xml:space="preserve">value) </w:t>
      </w:r>
      <w:r w:rsidRPr="0089263F">
        <w:rPr>
          <w:lang w:val="en-AU"/>
        </w:rPr>
        <w:t>and the Authority</w:t>
      </w:r>
      <w:r w:rsidR="007E53CD" w:rsidRPr="0089263F">
        <w:rPr>
          <w:lang w:val="en-AU"/>
        </w:rPr>
        <w:t>’s</w:t>
      </w:r>
      <w:r w:rsidRPr="0089263F">
        <w:rPr>
          <w:lang w:val="en-AU"/>
        </w:rPr>
        <w:t xml:space="preserve"> PC99</w:t>
      </w:r>
      <w:r w:rsidRPr="007E3D8C">
        <w:rPr>
          <w:lang w:val="en-AU"/>
        </w:rPr>
        <w:t xml:space="preserve"> </w:t>
      </w:r>
      <w:r w:rsidR="00540722">
        <w:rPr>
          <w:lang w:val="en-AU"/>
        </w:rPr>
        <w:t>(</w:t>
      </w:r>
      <w:r w:rsidR="00540722" w:rsidRPr="00540722">
        <w:rPr>
          <w:lang w:val="en-AU"/>
        </w:rPr>
        <w:t xml:space="preserve">protective concentration values </w:t>
      </w:r>
      <w:r w:rsidR="00540722">
        <w:rPr>
          <w:lang w:val="en-AU"/>
        </w:rPr>
        <w:t xml:space="preserve">that will protect 99% of the species) </w:t>
      </w:r>
      <w:r w:rsidRPr="007E3D8C">
        <w:rPr>
          <w:lang w:val="en-AU"/>
        </w:rPr>
        <w:t>is 900</w:t>
      </w:r>
      <w:r w:rsidR="00961C35">
        <w:rPr>
          <w:lang w:val="en-AU"/>
        </w:rPr>
        <w:t> ng L</w:t>
      </w:r>
      <w:r w:rsidR="00A209AA" w:rsidRPr="00A209AA">
        <w:rPr>
          <w:vertAlign w:val="superscript"/>
          <w:lang w:val="en-AU"/>
        </w:rPr>
        <w:noBreakHyphen/>
        <w:t>1</w:t>
      </w:r>
      <w:r w:rsidRPr="007E3D8C">
        <w:rPr>
          <w:vertAlign w:val="superscript"/>
          <w:lang w:val="en-AU"/>
        </w:rPr>
        <w:t xml:space="preserve"> </w:t>
      </w:r>
      <w:r w:rsidRPr="007E3D8C">
        <w:rPr>
          <w:lang w:val="en-AU"/>
        </w:rPr>
        <w:t>(</w:t>
      </w:r>
      <w:r w:rsidRPr="007E3D8C">
        <w:rPr>
          <w:lang w:val="en-AU"/>
        </w:rPr>
        <w:fldChar w:fldCharType="begin"/>
      </w:r>
      <w:r w:rsidRPr="007E3D8C">
        <w:rPr>
          <w:lang w:val="en-AU"/>
        </w:rPr>
        <w:instrText xml:space="preserve"> REF _Ref480726648 \h </w:instrText>
      </w:r>
      <w:r w:rsidR="002439C8">
        <w:rPr>
          <w:lang w:val="en-AU"/>
        </w:rPr>
        <w:instrText xml:space="preserve"> \* MERGEFORMAT </w:instrText>
      </w:r>
      <w:r w:rsidRPr="007E3D8C">
        <w:rPr>
          <w:lang w:val="en-AU"/>
        </w:rPr>
      </w:r>
      <w:r w:rsidRPr="007E3D8C">
        <w:rPr>
          <w:lang w:val="en-AU"/>
        </w:rPr>
        <w:fldChar w:fldCharType="separate"/>
      </w:r>
      <w:r w:rsidR="00251B46">
        <w:t xml:space="preserve">Table </w:t>
      </w:r>
      <w:r w:rsidR="00251B46">
        <w:rPr>
          <w:noProof/>
        </w:rPr>
        <w:t>B</w:t>
      </w:r>
      <w:r w:rsidR="00251B46">
        <w:rPr>
          <w:noProof/>
        </w:rPr>
        <w:noBreakHyphen/>
        <w:t>1</w:t>
      </w:r>
      <w:r w:rsidRPr="007E3D8C">
        <w:rPr>
          <w:lang w:val="en-AU"/>
        </w:rPr>
        <w:fldChar w:fldCharType="end"/>
      </w:r>
      <w:r w:rsidRPr="007E3D8C">
        <w:rPr>
          <w:lang w:val="en-AU"/>
        </w:rPr>
        <w:t>)</w:t>
      </w:r>
      <w:r>
        <w:rPr>
          <w:lang w:val="en-AU"/>
        </w:rPr>
        <w:t>. U</w:t>
      </w:r>
      <w:r w:rsidRPr="007E3D8C">
        <w:rPr>
          <w:lang w:val="en-AU"/>
        </w:rPr>
        <w:t>nder both these guidelines, the Round Top Island diuron value</w:t>
      </w:r>
      <w:r>
        <w:rPr>
          <w:lang w:val="en-AU"/>
        </w:rPr>
        <w:t>s</w:t>
      </w:r>
      <w:r w:rsidRPr="007E3D8C">
        <w:rPr>
          <w:lang w:val="en-AU"/>
        </w:rPr>
        <w:t xml:space="preserve"> </w:t>
      </w:r>
      <w:r>
        <w:rPr>
          <w:lang w:val="en-AU"/>
        </w:rPr>
        <w:t xml:space="preserve">are </w:t>
      </w:r>
      <w:r w:rsidRPr="007E3D8C">
        <w:rPr>
          <w:lang w:val="en-AU"/>
        </w:rPr>
        <w:t xml:space="preserve">not an exceedance. </w:t>
      </w:r>
      <w:r w:rsidR="00985A9B">
        <w:rPr>
          <w:lang w:val="en-AU"/>
        </w:rPr>
        <w:t>Note that t</w:t>
      </w:r>
      <w:r w:rsidR="00985A9B" w:rsidRPr="007E3D8C">
        <w:rPr>
          <w:lang w:val="en-AU"/>
        </w:rPr>
        <w:t>here are no existing PC99 or trigger values for imidacloprid</w:t>
      </w:r>
      <w:r w:rsidR="00985A9B">
        <w:rPr>
          <w:lang w:val="en-AU"/>
        </w:rPr>
        <w:t>.</w:t>
      </w:r>
      <w:r w:rsidR="00985A9B" w:rsidRPr="007E3D8C" w:rsidDel="00207C06">
        <w:rPr>
          <w:lang w:val="en-AU"/>
        </w:rPr>
        <w:t xml:space="preserve"> </w:t>
      </w:r>
    </w:p>
    <w:p w14:paraId="37522FE8" w14:textId="77777777" w:rsidR="00985A9B" w:rsidRDefault="00985A9B" w:rsidP="002439C8">
      <w:pPr>
        <w:spacing w:line="276" w:lineRule="auto"/>
        <w:jc w:val="left"/>
        <w:rPr>
          <w:rFonts w:cs="Arial"/>
        </w:rPr>
      </w:pPr>
    </w:p>
    <w:p w14:paraId="6704B610" w14:textId="6D8AD856" w:rsidR="001E4775" w:rsidRPr="00162DE9" w:rsidRDefault="00B07A2A" w:rsidP="002439C8">
      <w:pPr>
        <w:spacing w:line="276" w:lineRule="auto"/>
        <w:jc w:val="left"/>
      </w:pPr>
      <w:r>
        <w:rPr>
          <w:rFonts w:cs="Arial"/>
        </w:rPr>
        <w:t>Applying the proposed</w:t>
      </w:r>
      <w:r w:rsidR="00540722">
        <w:rPr>
          <w:rFonts w:cs="Arial"/>
        </w:rPr>
        <w:t xml:space="preserve"> </w:t>
      </w:r>
      <w:r>
        <w:t>values under review</w:t>
      </w:r>
      <w:r w:rsidR="00540722">
        <w:t xml:space="preserve"> </w:t>
      </w:r>
      <w:r w:rsidR="00540722" w:rsidRPr="001B6DA9">
        <w:t xml:space="preserve">(levels </w:t>
      </w:r>
      <w:r w:rsidR="00540722">
        <w:t>determined to</w:t>
      </w:r>
      <w:r w:rsidR="00540722" w:rsidRPr="001B6DA9">
        <w:t xml:space="preserve"> protect 99</w:t>
      </w:r>
      <w:r w:rsidR="00540722">
        <w:t>%</w:t>
      </w:r>
      <w:r w:rsidR="00540722" w:rsidRPr="001B6DA9">
        <w:t xml:space="preserve"> of marine species)</w:t>
      </w:r>
      <w:r>
        <w:t xml:space="preserve">, there would be </w:t>
      </w:r>
      <w:r w:rsidR="00350FE6">
        <w:t>two</w:t>
      </w:r>
      <w:r>
        <w:t xml:space="preserve"> instances of exceedance, </w:t>
      </w:r>
      <w:r w:rsidR="00350FE6">
        <w:t>both</w:t>
      </w:r>
      <w:r w:rsidRPr="00302628">
        <w:t xml:space="preserve"> </w:t>
      </w:r>
      <w:r>
        <w:t>from passive samplers located at Round Top Island, in the Mackay Whitsunday region</w:t>
      </w:r>
      <w:r w:rsidR="00350FE6">
        <w:t xml:space="preserve"> and both for diuron</w:t>
      </w:r>
      <w:r>
        <w:t>:</w:t>
      </w:r>
      <w:r w:rsidR="00DC521C">
        <w:t xml:space="preserve"> </w:t>
      </w:r>
      <w:r>
        <w:t xml:space="preserve">778 and 531 </w:t>
      </w:r>
      <w:r w:rsidRPr="00DC521C">
        <w:rPr>
          <w:lang w:val="en-AU"/>
        </w:rPr>
        <w:t>compared to 430</w:t>
      </w:r>
      <w:r w:rsidR="00961C35">
        <w:rPr>
          <w:lang w:val="en-AU"/>
        </w:rPr>
        <w:t> ng L</w:t>
      </w:r>
      <w:r w:rsidR="00A209AA" w:rsidRPr="00A209AA">
        <w:rPr>
          <w:vertAlign w:val="superscript"/>
          <w:lang w:val="en-AU"/>
        </w:rPr>
        <w:noBreakHyphen/>
        <w:t>1</w:t>
      </w:r>
      <w:r w:rsidR="00020E94">
        <w:rPr>
          <w:lang w:val="en-AU"/>
        </w:rPr>
        <w:t>.</w:t>
      </w:r>
      <w:r w:rsidR="00020E94">
        <w:rPr>
          <w:lang w:val="en-AU"/>
        </w:rPr>
        <w:fldChar w:fldCharType="begin"/>
      </w:r>
      <w:r w:rsidR="00020E94">
        <w:rPr>
          <w:lang w:val="en-AU"/>
        </w:rPr>
        <w:instrText xml:space="preserve"> ADDIN EN.CITE &lt;EndNote&gt;&lt;Cite&gt;&lt;Author&gt;King&lt;/Author&gt;&lt;Year&gt;2017&lt;/Year&gt;&lt;RecNum&gt;47&lt;/RecNum&gt;&lt;DisplayText&gt;(King et al., 2017a)&lt;/DisplayText&gt;&lt;record&gt;&lt;rec-number&gt;47&lt;/rec-number&gt;&lt;foreign-keys&gt;&lt;key app="EN" db-id="xtpvpwz0ufxa2me5tv6v2prn2ez5p9atsvtr" timestamp="1539144944"&gt;47&lt;/key&gt;&lt;/foreign-keys&gt;&lt;ref-type name="Report"&gt;27&lt;/ref-type&gt;&lt;contributors&gt;&lt;authors&gt;&lt;author&gt;King, O.C.&lt;/author&gt;&lt;author&gt;Smith, R.A.&lt;/author&gt;&lt;author&gt;Warne M. St J.&lt;/author&gt;&lt;/authors&gt;&lt;/contributors&gt;&lt;titles&gt;&lt;title&gt;Proposed Default Guideline Values for Toxicants: Diuron – Marine&lt;/title&gt;&lt;/titles&gt;&lt;pages&gt;pp 37 &lt;/pages&gt;&lt;dates&gt;&lt;year&gt;2017&lt;/year&gt;&lt;/dates&gt;&lt;pub-location&gt;Brisbane, Australia&lt;/pub-location&gt;&lt;publisher&gt;Department of Science, Information Technology and Innovation&lt;/publisher&gt;&lt;urls&gt;&lt;/urls&gt;&lt;/record&gt;&lt;/Cite&gt;&lt;/EndNote&gt;</w:instrText>
      </w:r>
      <w:r w:rsidR="00020E94">
        <w:rPr>
          <w:lang w:val="en-AU"/>
        </w:rPr>
        <w:fldChar w:fldCharType="separate"/>
      </w:r>
      <w:r w:rsidR="00020E94">
        <w:rPr>
          <w:noProof/>
          <w:lang w:val="en-AU"/>
        </w:rPr>
        <w:t>(King et al., 2017a)</w:t>
      </w:r>
      <w:r w:rsidR="00020E94">
        <w:rPr>
          <w:lang w:val="en-AU"/>
        </w:rPr>
        <w:fldChar w:fldCharType="end"/>
      </w:r>
      <w:r w:rsidR="00020E94">
        <w:rPr>
          <w:lang w:val="en-AU"/>
        </w:rPr>
        <w:t>.</w:t>
      </w:r>
      <w:r w:rsidR="00E540DF">
        <w:rPr>
          <w:lang w:val="en-AU"/>
        </w:rPr>
        <w:t xml:space="preserve"> </w:t>
      </w:r>
      <w:r w:rsidR="0007450A">
        <w:rPr>
          <w:lang w:val="en-AU"/>
        </w:rPr>
        <w:t xml:space="preserve">Until </w:t>
      </w:r>
      <w:r w:rsidR="00E540DF">
        <w:rPr>
          <w:lang w:val="en-AU"/>
        </w:rPr>
        <w:t xml:space="preserve">endorsed, </w:t>
      </w:r>
      <w:r w:rsidR="00E540DF" w:rsidRPr="007E3D8C">
        <w:rPr>
          <w:lang w:val="en-AU"/>
        </w:rPr>
        <w:t xml:space="preserve">comparisons with this proposed value are </w:t>
      </w:r>
      <w:r w:rsidR="00E540DF">
        <w:rPr>
          <w:lang w:val="en-AU"/>
        </w:rPr>
        <w:t>provided</w:t>
      </w:r>
      <w:r w:rsidR="00020E94">
        <w:rPr>
          <w:lang w:val="en-AU"/>
        </w:rPr>
        <w:t xml:space="preserve"> only for consideration</w:t>
      </w:r>
      <w:r w:rsidR="00E540DF" w:rsidRPr="007E3D8C">
        <w:rPr>
          <w:lang w:val="en-AU"/>
        </w:rPr>
        <w:t xml:space="preserve">. </w:t>
      </w:r>
    </w:p>
    <w:p w14:paraId="3AC97B66" w14:textId="77777777" w:rsidR="001E4775" w:rsidRDefault="001E4775" w:rsidP="002439C8">
      <w:pPr>
        <w:pStyle w:val="Heading2"/>
        <w:jc w:val="left"/>
      </w:pPr>
      <w:bookmarkStart w:id="436" w:name="_Toc14435704"/>
      <w:r w:rsidRPr="007E3D8C">
        <w:t xml:space="preserve">Comparison </w:t>
      </w:r>
      <w:r w:rsidRPr="009B3377">
        <w:t>to previous years: trends in pesticide concentrations</w:t>
      </w:r>
      <w:bookmarkEnd w:id="436"/>
    </w:p>
    <w:p w14:paraId="5E8FCDFF" w14:textId="401BC251" w:rsidR="00651AE7" w:rsidRDefault="00985A9B" w:rsidP="002439C8">
      <w:pPr>
        <w:spacing w:line="276" w:lineRule="auto"/>
        <w:jc w:val="left"/>
      </w:pPr>
      <w:r w:rsidRPr="00985A9B">
        <w:t xml:space="preserve">The </w:t>
      </w:r>
      <w:r w:rsidR="001B73E5">
        <w:t xml:space="preserve">2017–18 </w:t>
      </w:r>
      <w:r w:rsidRPr="00985A9B">
        <w:t>Cmax values for diuron and imidacloprid were in a similar range to those detected in 2016</w:t>
      </w:r>
      <w:r w:rsidR="006A4532">
        <w:t>–</w:t>
      </w:r>
      <w:r w:rsidRPr="00985A9B">
        <w:t>17 (580 and 53</w:t>
      </w:r>
      <w:r w:rsidR="00961C35">
        <w:t> ng L</w:t>
      </w:r>
      <w:r w:rsidR="005C25EE" w:rsidRPr="00A209AA">
        <w:rPr>
          <w:vertAlign w:val="superscript"/>
          <w:lang w:val="en-GB" w:eastAsia="en-AU"/>
        </w:rPr>
        <w:noBreakHyphen/>
        <w:t>1</w:t>
      </w:r>
      <w:r w:rsidRPr="00985A9B">
        <w:t xml:space="preserve">, respectively) when </w:t>
      </w:r>
      <w:r w:rsidR="00020E94">
        <w:t>P</w:t>
      </w:r>
      <w:r w:rsidRPr="00985A9B">
        <w:t xml:space="preserve">GV exceedances also occurred. </w:t>
      </w:r>
      <w:r w:rsidR="0056075A">
        <w:t>With the exception of Normanby Island (no sampling in 2016-17) and Sandy Creek (unreliable sampling in 2017</w:t>
      </w:r>
      <w:r w:rsidR="006A4532">
        <w:t>–</w:t>
      </w:r>
      <w:r w:rsidR="0056075A">
        <w:t>18)</w:t>
      </w:r>
      <w:r w:rsidR="00BD1693" w:rsidRPr="009B3377">
        <w:t xml:space="preserve">, the </w:t>
      </w:r>
      <w:r w:rsidR="001B73E5">
        <w:t>2017–18</w:t>
      </w:r>
      <w:r w:rsidR="005F4177">
        <w:t xml:space="preserve"> </w:t>
      </w:r>
      <w:r w:rsidR="0056075A">
        <w:t>C</w:t>
      </w:r>
      <w:r w:rsidR="0056075A">
        <w:rPr>
          <w:vertAlign w:val="subscript"/>
        </w:rPr>
        <w:t>max</w:t>
      </w:r>
      <w:r w:rsidR="0056075A">
        <w:t xml:space="preserve"> </w:t>
      </w:r>
      <w:r w:rsidR="007E3D8C" w:rsidRPr="009B3377">
        <w:t xml:space="preserve">were </w:t>
      </w:r>
      <w:r w:rsidR="00D05E76">
        <w:t xml:space="preserve">generally </w:t>
      </w:r>
      <w:r w:rsidR="007E3D8C" w:rsidRPr="009B3377">
        <w:t xml:space="preserve">similar to or higher than </w:t>
      </w:r>
      <w:r w:rsidR="00D05E76">
        <w:t xml:space="preserve">results from </w:t>
      </w:r>
      <w:r w:rsidR="0056075A" w:rsidRPr="009B3377">
        <w:t>201</w:t>
      </w:r>
      <w:r w:rsidR="0056075A">
        <w:t>6</w:t>
      </w:r>
      <w:r w:rsidR="00C276F9">
        <w:t>–20</w:t>
      </w:r>
      <w:r w:rsidR="0056075A" w:rsidRPr="009B3377">
        <w:t>1</w:t>
      </w:r>
      <w:r w:rsidR="0056075A">
        <w:t>7</w:t>
      </w:r>
      <w:r w:rsidR="0056075A" w:rsidRPr="009B3377">
        <w:t xml:space="preserve"> </w:t>
      </w:r>
      <w:r w:rsidR="00B82C95">
        <w:rPr>
          <w:rFonts w:cs="Arial"/>
          <w:lang w:val="en-AU"/>
        </w:rPr>
        <w:fldChar w:fldCharType="begin"/>
      </w:r>
      <w:r w:rsidR="00B82C95">
        <w:rPr>
          <w:rFonts w:cs="Arial"/>
          <w:lang w:val="en-AU"/>
        </w:rPr>
        <w:instrText xml:space="preserve"> ADDIN EN.CITE &lt;EndNote&gt;&lt;Cite&gt;&lt;Author&gt;Grant&lt;/Author&gt;&lt;Year&gt;2017&lt;/Year&gt;&lt;RecNum&gt;33&lt;/RecNum&gt;&lt;DisplayText&gt;(Grant et al., 2017)&lt;/DisplayText&gt;&lt;record&gt;&lt;rec-number&gt;33&lt;/rec-number&gt;&lt;foreign-keys&gt;&lt;key app="EN" db-id="xtpvpwz0ufxa2me5tv6v2prn2ez5p9atsvtr" timestamp="1539144943"&gt;33&lt;/key&gt;&lt;/foreign-keys&gt;&lt;ref-type name="Report"&gt;27&lt;/ref-type&gt;&lt;contributors&gt;&lt;authors&gt;&lt;author&gt;Grant, S.&lt;/author&gt;&lt;author&gt;Gallen, C.&lt;/author&gt;&lt;author&gt;Thompson, K.&lt;/author&gt;&lt;author&gt;Paxman, C.&lt;/author&gt;&lt;author&gt;Tracey, D.&lt;/author&gt;&lt;author&gt;Mueller, J.&lt;/author&gt;&lt;/authors&gt;&lt;/contributors&gt;&lt;titles&gt;&lt;title&gt;Marine Monitoring Program.  Annual Report for inshore pesticide monitoring: 2015-2016. Report for the Great Barrier Reef Marine Park Authority&lt;/title&gt;&lt;/titles&gt;&lt;pages&gt;pp 127&lt;/pages&gt;&lt;dates&gt;&lt;year&gt;2017&lt;/year&gt;&lt;/dates&gt;&lt;publisher&gt;Great Barrier Reef Marine Park Authority, Townsville&lt;/publisher&gt;&lt;urls&gt;&lt;/urls&gt;&lt;/record&gt;&lt;/Cite&gt;&lt;/EndNote&gt;</w:instrText>
      </w:r>
      <w:r w:rsidR="00B82C95">
        <w:rPr>
          <w:rFonts w:cs="Arial"/>
          <w:lang w:val="en-AU"/>
        </w:rPr>
        <w:fldChar w:fldCharType="separate"/>
      </w:r>
      <w:r w:rsidR="00B82C95">
        <w:rPr>
          <w:rFonts w:cs="Arial"/>
          <w:noProof/>
          <w:lang w:val="en-AU"/>
        </w:rPr>
        <w:t>(Grant et al., 2017)</w:t>
      </w:r>
      <w:r w:rsidR="00B82C95">
        <w:rPr>
          <w:rFonts w:cs="Arial"/>
          <w:lang w:val="en-AU"/>
        </w:rPr>
        <w:fldChar w:fldCharType="end"/>
      </w:r>
      <w:r w:rsidR="00BD1693" w:rsidRPr="009B3377">
        <w:t xml:space="preserve">. </w:t>
      </w:r>
    </w:p>
    <w:p w14:paraId="4DDE9696" w14:textId="77777777" w:rsidR="00651AE7" w:rsidRDefault="00651AE7" w:rsidP="002439C8">
      <w:pPr>
        <w:spacing w:line="276" w:lineRule="auto"/>
        <w:jc w:val="left"/>
      </w:pPr>
    </w:p>
    <w:p w14:paraId="6F43E85C" w14:textId="546BE70D" w:rsidR="00A85C0C" w:rsidRPr="00BE05C8" w:rsidRDefault="00BD1693" w:rsidP="002439C8">
      <w:pPr>
        <w:spacing w:line="276" w:lineRule="auto"/>
        <w:jc w:val="left"/>
      </w:pPr>
      <w:r w:rsidRPr="0096416C">
        <w:t xml:space="preserve">The </w:t>
      </w:r>
      <w:r w:rsidR="005E2B71">
        <w:t>ms</w:t>
      </w:r>
      <w:r w:rsidR="005E2B71">
        <w:noBreakHyphen/>
        <w:t>PAF</w:t>
      </w:r>
      <w:r w:rsidR="006B38EF" w:rsidRPr="0096416C">
        <w:t xml:space="preserve"> and </w:t>
      </w:r>
      <w:r w:rsidR="005E2B71">
        <w:t>PSII</w:t>
      </w:r>
      <w:r w:rsidR="005E2B71">
        <w:noBreakHyphen/>
        <w:t>HEq</w:t>
      </w:r>
      <w:r w:rsidRPr="0096416C">
        <w:t xml:space="preserve"> Max values </w:t>
      </w:r>
      <w:r w:rsidR="00691CC8">
        <w:t xml:space="preserve">assessments </w:t>
      </w:r>
      <w:r w:rsidR="0096416C" w:rsidRPr="0096416C">
        <w:t>both find Round Top Island is the highest risk site</w:t>
      </w:r>
      <w:r w:rsidRPr="0096416C">
        <w:t xml:space="preserve"> (</w:t>
      </w:r>
      <w:r w:rsidR="00203958" w:rsidRPr="0096416C">
        <w:fldChar w:fldCharType="begin"/>
      </w:r>
      <w:r w:rsidR="00203958" w:rsidRPr="0096416C">
        <w:instrText xml:space="preserve"> REF _Ref480572093 \h  \* MERGEFORMAT </w:instrText>
      </w:r>
      <w:r w:rsidR="00203958" w:rsidRPr="0096416C">
        <w:fldChar w:fldCharType="separate"/>
      </w:r>
      <w:r w:rsidR="00251B46" w:rsidRPr="00B0786C">
        <w:t xml:space="preserve">Figure </w:t>
      </w:r>
      <w:r w:rsidR="00251B46" w:rsidRPr="00251B46">
        <w:rPr>
          <w:noProof/>
        </w:rPr>
        <w:t>10</w:t>
      </w:r>
      <w:r w:rsidR="00203958" w:rsidRPr="0096416C">
        <w:fldChar w:fldCharType="end"/>
      </w:r>
      <w:r w:rsidR="00DF3B88" w:rsidRPr="0096416C">
        <w:t xml:space="preserve"> and </w:t>
      </w:r>
      <w:r w:rsidR="0038289C" w:rsidRPr="0096416C">
        <w:fldChar w:fldCharType="begin"/>
      </w:r>
      <w:r w:rsidR="0038289C" w:rsidRPr="0096416C">
        <w:instrText xml:space="preserve"> REF _Ref9520078 \h </w:instrText>
      </w:r>
      <w:r w:rsidR="00B76A5D" w:rsidRPr="0096416C">
        <w:instrText xml:space="preserve"> \* MERGEFORMAT </w:instrText>
      </w:r>
      <w:r w:rsidR="0038289C" w:rsidRPr="0096416C">
        <w:fldChar w:fldCharType="separate"/>
      </w:r>
      <w:r w:rsidR="00251B46" w:rsidRPr="00165FBB">
        <w:t xml:space="preserve">Figure </w:t>
      </w:r>
      <w:r w:rsidR="00251B46" w:rsidRPr="00251B46">
        <w:rPr>
          <w:noProof/>
        </w:rPr>
        <w:t>11</w:t>
      </w:r>
      <w:r w:rsidR="0038289C" w:rsidRPr="0096416C">
        <w:fldChar w:fldCharType="end"/>
      </w:r>
      <w:r w:rsidRPr="0096416C">
        <w:t xml:space="preserve">). </w:t>
      </w:r>
      <w:r w:rsidR="0096416C">
        <w:t xml:space="preserve">Barratta Creek, Sandy Creek and Sarina Inlet return lower risk categories with the new mixture assessment. </w:t>
      </w:r>
      <w:r w:rsidR="006B38EF" w:rsidRPr="0096416C">
        <w:t xml:space="preserve">(Note that </w:t>
      </w:r>
      <w:r w:rsidR="006B38EF" w:rsidRPr="0096416C">
        <w:rPr>
          <w:lang w:val="en-AU"/>
        </w:rPr>
        <w:t>t</w:t>
      </w:r>
      <w:r w:rsidRPr="0096416C">
        <w:rPr>
          <w:lang w:val="en-AU"/>
        </w:rPr>
        <w:t xml:space="preserve">rend comparisons </w:t>
      </w:r>
      <w:r w:rsidR="006B38EF" w:rsidRPr="0096416C">
        <w:rPr>
          <w:lang w:val="en-AU"/>
        </w:rPr>
        <w:t xml:space="preserve">for sites most recently introduced to the program as well as sites that experience higher than average sampler losses should be interpreted with </w:t>
      </w:r>
      <w:r w:rsidR="00651AE7" w:rsidRPr="0096416C">
        <w:rPr>
          <w:lang w:val="en-AU"/>
        </w:rPr>
        <w:t xml:space="preserve">particular </w:t>
      </w:r>
      <w:r w:rsidR="006B38EF" w:rsidRPr="0096416C">
        <w:rPr>
          <w:lang w:val="en-AU"/>
        </w:rPr>
        <w:t>caution</w:t>
      </w:r>
      <w:r w:rsidR="00651AE7" w:rsidRPr="0096416C">
        <w:rPr>
          <w:lang w:val="en-AU"/>
        </w:rPr>
        <w:t xml:space="preserve"> due to limited data</w:t>
      </w:r>
      <w:r w:rsidR="006B38EF" w:rsidRPr="0096416C">
        <w:rPr>
          <w:lang w:val="en-AU"/>
        </w:rPr>
        <w:t>).</w:t>
      </w:r>
      <w:r w:rsidR="006B38EF">
        <w:rPr>
          <w:lang w:val="en-AU"/>
        </w:rPr>
        <w:t xml:space="preserve"> </w:t>
      </w:r>
    </w:p>
    <w:p w14:paraId="1B35F288" w14:textId="77777777" w:rsidR="00010636" w:rsidRDefault="00010636" w:rsidP="002439C8">
      <w:pPr>
        <w:pStyle w:val="Caption"/>
        <w:keepNext/>
        <w:spacing w:after="120" w:line="276" w:lineRule="auto"/>
        <w:rPr>
          <w:b w:val="0"/>
        </w:rPr>
        <w:sectPr w:rsidR="00010636" w:rsidSect="009E5D22">
          <w:type w:val="continuous"/>
          <w:pgSz w:w="11907" w:h="16840" w:code="9"/>
          <w:pgMar w:top="1440" w:right="1440" w:bottom="1440" w:left="1440" w:header="709" w:footer="428" w:gutter="0"/>
          <w:cols w:space="708"/>
          <w:docGrid w:linePitch="360"/>
        </w:sectPr>
      </w:pPr>
      <w:bookmarkStart w:id="437" w:name="_Ref480565223"/>
      <w:bookmarkStart w:id="438" w:name="OLE_LINK14"/>
    </w:p>
    <w:p w14:paraId="7FA60E77" w14:textId="77777777" w:rsidR="00985A9B" w:rsidRDefault="00985A9B" w:rsidP="002439C8">
      <w:pPr>
        <w:jc w:val="left"/>
      </w:pPr>
      <w:bookmarkStart w:id="439" w:name="_Ref480727969"/>
      <w:bookmarkStart w:id="440" w:name="_Toc527468599"/>
      <w:bookmarkEnd w:id="437"/>
    </w:p>
    <w:bookmarkStart w:id="441" w:name="_Ref535500572"/>
    <w:bookmarkStart w:id="442" w:name="_Toc14435326"/>
    <w:p w14:paraId="056DFE30" w14:textId="2F1C39EB" w:rsidR="00C57149" w:rsidRPr="00CB093C" w:rsidRDefault="00656B1B" w:rsidP="00C57149">
      <w:pPr>
        <w:pStyle w:val="Caption"/>
        <w:rPr>
          <w:rFonts w:cs="Arial"/>
          <w:i/>
          <w:vanish/>
          <w:color w:val="000000"/>
          <w:specVanish/>
        </w:rPr>
      </w:pPr>
      <w:r>
        <w:rPr>
          <w:noProof/>
          <w:lang w:val="en-AU" w:eastAsia="en-AU" w:bidi="ar-SA"/>
        </w:rPr>
        <mc:AlternateContent>
          <mc:Choice Requires="wps">
            <w:drawing>
              <wp:anchor distT="0" distB="0" distL="114300" distR="114300" simplePos="0" relativeHeight="251659268" behindDoc="0" locked="0" layoutInCell="1" allowOverlap="1" wp14:anchorId="085577BD" wp14:editId="50D331C5">
                <wp:simplePos x="0" y="0"/>
                <wp:positionH relativeFrom="column">
                  <wp:posOffset>2590800</wp:posOffset>
                </wp:positionH>
                <wp:positionV relativeFrom="paragraph">
                  <wp:posOffset>680085</wp:posOffset>
                </wp:positionV>
                <wp:extent cx="1295400" cy="66675"/>
                <wp:effectExtent l="0" t="0" r="0" b="9525"/>
                <wp:wrapNone/>
                <wp:docPr id="8" name="Rectangle 8" descr="Blank rectangle" title="Design element"/>
                <wp:cNvGraphicFramePr/>
                <a:graphic xmlns:a="http://schemas.openxmlformats.org/drawingml/2006/main">
                  <a:graphicData uri="http://schemas.microsoft.com/office/word/2010/wordprocessingShape">
                    <wps:wsp>
                      <wps:cNvSpPr/>
                      <wps:spPr>
                        <a:xfrm>
                          <a:off x="0" y="0"/>
                          <a:ext cx="1295400" cy="666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F8F8AF8" w14:textId="77777777" w:rsidR="004E75D5" w:rsidRDefault="004E75D5" w:rsidP="00C30A0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5577BD" id="Rectangle 8" o:spid="_x0000_s1029" alt="Title: Design element - Description: Blank rectangle" style="position:absolute;margin-left:204pt;margin-top:53.55pt;width:102pt;height:5.25pt;z-index:251659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O4MtQIAAMQFAAAOAAAAZHJzL2Uyb0RvYy54bWysVEtPGzEQvlfqf7B8L7uJklAiNigFUVVC&#10;gICKs+O1s1b9qu1kN/31Hdu7G6Coh6o5bGzPzDcz3zzOLzol0Z45L4yu8OSkxIhpamqhtxX+/nT9&#10;6TNGPhBdE2k0q/CBeXyx+vjhvLVLNjWNkTVzCEC0X7a2wk0IdlkUnjZMEX9iLNMg5MYpEuDqtkXt&#10;SAvoShbTslwUrXG1dYYy7+H1KgvxKuFzzmi449yzgGSFIbaQvi59N/FbrM7JcuuIbQTtwyD/EIUi&#10;QoPTEeqKBIJ2TvwBpQR1xhseTqhRheFcUJZygGwm5ZtsHhtiWcoFyPF2pMn/P1h6u793SNQVhkJp&#10;oqBED0Aa0VvJEDzVzFOg64sk+gdygwSIFEGC7hXzYqsRk0wxHSKbrfVLAH20966/eThGajruVPyH&#10;pFGXKnAYK8C6gCg8TqZn81kJhaIgWywWp/OIWRyNrfPhKzMKxUOFY0SJd7K/8SGrDirRlzdS1NdC&#10;ynSJTcUupUN7Au2w2U568FdaUkddbaJVBowvRcwrZ5JO4SBZ1JP6gXHgD2KfpkBS5x6dEEqBmEkW&#10;NaRm2fe8hN/gfQgrJZoAIzIH/yN2DzBoZpABO0fZ60dTlhp/NC7/Flg2Hi2SZ6PDaKyENu49AAlZ&#10;9Z6z/kBSpiayFLpNl3orVTG+bEx9gH5zJg+it/RaQCFviA/3xMHkQelhm4Q7+HBp2gqb/oRRY9yv&#10;996jPgwESDFqYZIr7H/uiGMYyW8aRuVsMpvF0U+X2fx0Chf3UrJ5KdE7dWmgOyawtyxNx6gf5HDk&#10;zqhnWDrr6BVERFPwXWEa3HC5DHnDwNqibL1OajDuloQb/WhpBI88x0Z96p6Js303BxiDWzNMPVm+&#10;aeqsGy21We+C4SJ1/JHXvgKwKlIr9Wst7qKX96R1XL6r3wAAAP//AwBQSwMEFAAGAAgAAAAhAEce&#10;25XfAAAACwEAAA8AAABkcnMvZG93bnJldi54bWxMj8FOwzAQRO9I/IO1SNyonUKTKsSpEIIKeqMQ&#10;zm68JBHxOsROG/6e5QTHnRnNvik2s+vFEcfQedKQLBQIpNrbjhoNb6+PV2sQIRqypveEGr4xwKY8&#10;PytMbv2JXvC4j43gEgq50dDGOORShrpFZ8LCD0jsffjRmcjn2Eg7mhOXu14ulUqlMx3xh9YMeN9i&#10;/bmfnIZplT0/zO9f2+tKVdmu6ldPcTtofXkx392CiDjHvzD84jM6lMx08BPZIHoNN2rNWyIbKktA&#10;cCJNlqwcWEmyFGRZyP8byh8AAAD//wMAUEsBAi0AFAAGAAgAAAAhALaDOJL+AAAA4QEAABMAAAAA&#10;AAAAAAAAAAAAAAAAAFtDb250ZW50X1R5cGVzXS54bWxQSwECLQAUAAYACAAAACEAOP0h/9YAAACU&#10;AQAACwAAAAAAAAAAAAAAAAAvAQAAX3JlbHMvLnJlbHNQSwECLQAUAAYACAAAACEAwMTuDLUCAADE&#10;BQAADgAAAAAAAAAAAAAAAAAuAgAAZHJzL2Uyb0RvYy54bWxQSwECLQAUAAYACAAAACEARx7bld8A&#10;AAALAQAADwAAAAAAAAAAAAAAAAAPBQAAZHJzL2Rvd25yZXYueG1sUEsFBgAAAAAEAAQA8wAAABsG&#10;AAAAAA==&#10;" fillcolor="white [3212]" stroked="f" strokeweight="2pt">
                <v:textbox>
                  <w:txbxContent>
                    <w:p w14:paraId="4F8F8AF8" w14:textId="77777777" w:rsidR="004E75D5" w:rsidRDefault="004E75D5" w:rsidP="00C30A01">
                      <w:pPr>
                        <w:jc w:val="center"/>
                      </w:pPr>
                    </w:p>
                  </w:txbxContent>
                </v:textbox>
              </v:rect>
            </w:pict>
          </mc:Fallback>
        </mc:AlternateContent>
      </w:r>
      <w:r w:rsidR="00210B7C" w:rsidRPr="00210B7C">
        <w:rPr>
          <w:b w:val="0"/>
        </w:rPr>
        <w:t xml:space="preserve">Table </w:t>
      </w:r>
      <w:r w:rsidR="00C91BF5" w:rsidRPr="00210B7C">
        <w:rPr>
          <w:b w:val="0"/>
        </w:rPr>
        <w:fldChar w:fldCharType="begin"/>
      </w:r>
      <w:r w:rsidR="00210B7C" w:rsidRPr="00210B7C">
        <w:rPr>
          <w:b w:val="0"/>
        </w:rPr>
        <w:instrText xml:space="preserve"> SEQ Table \* ARABIC </w:instrText>
      </w:r>
      <w:r w:rsidR="00C91BF5" w:rsidRPr="00210B7C">
        <w:rPr>
          <w:b w:val="0"/>
        </w:rPr>
        <w:fldChar w:fldCharType="separate"/>
      </w:r>
      <w:r w:rsidR="00251B46">
        <w:rPr>
          <w:b w:val="0"/>
          <w:noProof/>
        </w:rPr>
        <w:t>5</w:t>
      </w:r>
      <w:r w:rsidR="00C91BF5" w:rsidRPr="00210B7C">
        <w:rPr>
          <w:b w:val="0"/>
        </w:rPr>
        <w:fldChar w:fldCharType="end"/>
      </w:r>
      <w:bookmarkEnd w:id="439"/>
      <w:bookmarkEnd w:id="441"/>
      <w:r w:rsidR="00FF3656" w:rsidRPr="00FF3656">
        <w:rPr>
          <w:b w:val="0"/>
        </w:rPr>
        <w:t xml:space="preserve">: </w:t>
      </w:r>
      <w:r w:rsidR="00E540DF">
        <w:rPr>
          <w:b w:val="0"/>
        </w:rPr>
        <w:t>Maximum detected time integrated (or chronic) pesticide concentrations at each fixed passive sampling site</w:t>
      </w:r>
      <w:bookmarkEnd w:id="442"/>
    </w:p>
    <w:p w14:paraId="2085DAE0" w14:textId="77777777" w:rsidR="00FF3656" w:rsidRDefault="00E540DF" w:rsidP="002439C8">
      <w:pPr>
        <w:pStyle w:val="Caption"/>
        <w:keepNext/>
        <w:spacing w:after="120" w:line="276" w:lineRule="auto"/>
        <w:rPr>
          <w:b w:val="0"/>
        </w:rPr>
      </w:pPr>
      <w:r>
        <w:rPr>
          <w:b w:val="0"/>
        </w:rPr>
        <w:t xml:space="preserve">. </w:t>
      </w:r>
      <w:r w:rsidR="0020226C">
        <w:rPr>
          <w:b w:val="0"/>
        </w:rPr>
        <w:t xml:space="preserve"> </w:t>
      </w:r>
      <w:r w:rsidR="001D762A">
        <w:rPr>
          <w:b w:val="0"/>
        </w:rPr>
        <w:t xml:space="preserve">% </w:t>
      </w:r>
      <w:r w:rsidR="001D61D4">
        <w:rPr>
          <w:b w:val="0"/>
        </w:rPr>
        <w:t xml:space="preserve">of </w:t>
      </w:r>
      <w:r w:rsidR="001D762A">
        <w:rPr>
          <w:b w:val="0"/>
        </w:rPr>
        <w:t>species affected values are colour</w:t>
      </w:r>
      <w:r w:rsidR="00651AE7">
        <w:rPr>
          <w:b w:val="0"/>
        </w:rPr>
        <w:t>-</w:t>
      </w:r>
      <w:r w:rsidR="001D762A">
        <w:rPr>
          <w:b w:val="0"/>
        </w:rPr>
        <w:t xml:space="preserve">coded according to their risk </w:t>
      </w:r>
      <w:r w:rsidR="00C55C97">
        <w:rPr>
          <w:b w:val="0"/>
        </w:rPr>
        <w:t>category</w:t>
      </w:r>
      <w:r w:rsidR="001D762A">
        <w:rPr>
          <w:b w:val="0"/>
        </w:rPr>
        <w:t>.</w:t>
      </w:r>
      <w:bookmarkEnd w:id="440"/>
      <w:r w:rsidR="00BB7404">
        <w:rPr>
          <w:b w:val="0"/>
        </w:rPr>
        <w:t xml:space="preserve"> </w:t>
      </w:r>
      <w:r w:rsidR="00BB7404" w:rsidRPr="00BB7404">
        <w:rPr>
          <w:b w:val="0"/>
        </w:rPr>
        <w:t>Shaded pesticides indicate that no calibration data is available and the sampling rate of atrazine was assumed</w:t>
      </w:r>
      <w:r w:rsidR="00BB7404">
        <w:rPr>
          <w:b w:val="0"/>
        </w:rPr>
        <w:t>.</w:t>
      </w:r>
    </w:p>
    <w:p w14:paraId="4A2A8FBA" w14:textId="29F174D8" w:rsidR="00BB7404" w:rsidRPr="00BB7404" w:rsidRDefault="00BB7404" w:rsidP="002439C8">
      <w:pPr>
        <w:jc w:val="left"/>
      </w:pPr>
    </w:p>
    <w:p w14:paraId="5DD8AFEE" w14:textId="5EACB07C" w:rsidR="0059608E" w:rsidRPr="00747824" w:rsidRDefault="00F23FE6" w:rsidP="002439C8">
      <w:pPr>
        <w:pStyle w:val="Caption"/>
        <w:keepNext/>
        <w:spacing w:after="120" w:line="276" w:lineRule="auto"/>
        <w:rPr>
          <w:b w:val="0"/>
        </w:rPr>
      </w:pPr>
      <w:r w:rsidRPr="00F23FE6">
        <w:rPr>
          <w:noProof/>
          <w:lang w:val="en-AU" w:eastAsia="en-AU" w:bidi="ar-SA"/>
        </w:rPr>
        <w:drawing>
          <wp:anchor distT="0" distB="0" distL="114300" distR="114300" simplePos="0" relativeHeight="251657215" behindDoc="0" locked="0" layoutInCell="1" allowOverlap="1" wp14:anchorId="10658E05" wp14:editId="45C4217F">
            <wp:simplePos x="0" y="0"/>
            <wp:positionH relativeFrom="column">
              <wp:posOffset>0</wp:posOffset>
            </wp:positionH>
            <wp:positionV relativeFrom="paragraph">
              <wp:posOffset>-4445</wp:posOffset>
            </wp:positionV>
            <wp:extent cx="8877300" cy="2199005"/>
            <wp:effectExtent l="0" t="0" r="0" b="0"/>
            <wp:wrapSquare wrapText="bothSides"/>
            <wp:docPr id="19" name="Picture 19" descr="Maximum detected time integrated (or chronic) pesticide concentrations at each fixed passive sampling site.  Percent of species affected values are colour-coded according to their risk category. Shaded pesticides indicate that no calibration data is available and the sampling rate of atrazine was assumed." title="Tabl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8877300" cy="21990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23FE6">
        <w:rPr>
          <w:lang w:bidi="ar-SA"/>
        </w:rPr>
        <w:t xml:space="preserve"> </w:t>
      </w:r>
    </w:p>
    <w:bookmarkEnd w:id="438"/>
    <w:p w14:paraId="5CE223BD" w14:textId="1B9819EE" w:rsidR="0059608E" w:rsidRPr="009C34F1" w:rsidRDefault="0059608E" w:rsidP="002439C8">
      <w:pPr>
        <w:jc w:val="left"/>
      </w:pPr>
    </w:p>
    <w:p w14:paraId="6A81E12D" w14:textId="77777777" w:rsidR="005C7F04" w:rsidRDefault="005C7F04" w:rsidP="002439C8">
      <w:pPr>
        <w:ind w:firstLine="357"/>
        <w:jc w:val="left"/>
        <w:rPr>
          <w:noProof/>
          <w:lang w:val="en-AU" w:eastAsia="en-AU" w:bidi="ar-SA"/>
        </w:rPr>
        <w:sectPr w:rsidR="005C7F04" w:rsidSect="009E5D22">
          <w:type w:val="continuous"/>
          <w:pgSz w:w="16840" w:h="11907" w:orient="landscape" w:code="9"/>
          <w:pgMar w:top="1440" w:right="1440" w:bottom="1440" w:left="1440" w:header="709" w:footer="425" w:gutter="0"/>
          <w:cols w:space="708"/>
          <w:docGrid w:linePitch="360"/>
        </w:sectPr>
      </w:pPr>
    </w:p>
    <w:p w14:paraId="3CBED9C4" w14:textId="77777777" w:rsidR="007F4DBC" w:rsidRDefault="007F4DBC" w:rsidP="002439C8">
      <w:pPr>
        <w:jc w:val="left"/>
      </w:pPr>
    </w:p>
    <w:p w14:paraId="00B4F6D2" w14:textId="77777777" w:rsidR="007F4DBC" w:rsidRDefault="005C7F04" w:rsidP="002439C8">
      <w:pPr>
        <w:jc w:val="left"/>
      </w:pPr>
      <w:r>
        <w:rPr>
          <w:noProof/>
          <w:lang w:val="en-AU" w:eastAsia="en-AU" w:bidi="ar-SA"/>
        </w:rPr>
        <w:drawing>
          <wp:inline distT="0" distB="0" distL="0" distR="0" wp14:anchorId="602AF5C5" wp14:editId="6B237037">
            <wp:extent cx="5477774" cy="3850867"/>
            <wp:effectExtent l="0" t="0" r="8890" b="0"/>
            <wp:docPr id="9" name="Picture 9" descr="histogram of maximum concentrations of pesticides at sites in the wet tropics region" title="pesticide concentr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00922" cy="3867140"/>
                    </a:xfrm>
                    <a:prstGeom prst="rect">
                      <a:avLst/>
                    </a:prstGeom>
                    <a:noFill/>
                  </pic:spPr>
                </pic:pic>
              </a:graphicData>
            </a:graphic>
          </wp:inline>
        </w:drawing>
      </w:r>
    </w:p>
    <w:p w14:paraId="374B7868" w14:textId="77777777" w:rsidR="005C7F04" w:rsidRDefault="001264BA" w:rsidP="002439C8">
      <w:pPr>
        <w:jc w:val="left"/>
      </w:pPr>
      <w:r w:rsidRPr="00A57119">
        <w:rPr>
          <w:noProof/>
          <w:lang w:val="en-AU" w:eastAsia="en-AU" w:bidi="ar-SA"/>
        </w:rPr>
        <w:lastRenderedPageBreak/>
        <w:drawing>
          <wp:inline distT="0" distB="0" distL="0" distR="0" wp14:anchorId="4994CC2A" wp14:editId="6C694D88">
            <wp:extent cx="5479793" cy="3855346"/>
            <wp:effectExtent l="0" t="0" r="6985" b="0"/>
            <wp:docPr id="16" name="Picture 16" descr="maximum concentrations of pesticides at sites in the Burdekin, Mackay Whitsunday and Fitzroy regions" title="pesticide concentr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89891" cy="3862450"/>
                    </a:xfrm>
                    <a:prstGeom prst="rect">
                      <a:avLst/>
                    </a:prstGeom>
                    <a:noFill/>
                  </pic:spPr>
                </pic:pic>
              </a:graphicData>
            </a:graphic>
          </wp:inline>
        </w:drawing>
      </w:r>
    </w:p>
    <w:p w14:paraId="569E3280" w14:textId="77777777" w:rsidR="005C7F04" w:rsidRPr="00A465D2" w:rsidRDefault="007F4DBC" w:rsidP="002439C8">
      <w:pPr>
        <w:pStyle w:val="Figure"/>
        <w:jc w:val="left"/>
        <w:rPr>
          <w:vanish/>
          <w:szCs w:val="18"/>
          <w:specVanish/>
        </w:rPr>
      </w:pPr>
      <w:bookmarkStart w:id="443" w:name="_Toc15042901"/>
      <w:r w:rsidRPr="00747824">
        <w:t xml:space="preserve">Figure </w:t>
      </w:r>
      <w:r w:rsidRPr="00747824">
        <w:rPr>
          <w:b/>
        </w:rPr>
        <w:fldChar w:fldCharType="begin"/>
      </w:r>
      <w:r w:rsidRPr="00747824">
        <w:instrText xml:space="preserve"> SEQ Figure \* ARABIC </w:instrText>
      </w:r>
      <w:r w:rsidRPr="00747824">
        <w:rPr>
          <w:b/>
        </w:rPr>
        <w:fldChar w:fldCharType="separate"/>
      </w:r>
      <w:r w:rsidR="00251B46">
        <w:rPr>
          <w:noProof/>
        </w:rPr>
        <w:t>9</w:t>
      </w:r>
      <w:r w:rsidRPr="00747824">
        <w:rPr>
          <w:b/>
        </w:rPr>
        <w:fldChar w:fldCharType="end"/>
      </w:r>
      <w:r w:rsidRPr="00A465D2">
        <w:t xml:space="preserve">: </w:t>
      </w:r>
      <w:r w:rsidR="005C7F04" w:rsidRPr="00A465D2">
        <w:rPr>
          <w:szCs w:val="18"/>
        </w:rPr>
        <w:t>Maximum concentrations of individual pesticides at all sites monitored in 2017–18 compared to previous years (2009–10 onwards)</w:t>
      </w:r>
      <w:bookmarkEnd w:id="443"/>
      <w:r w:rsidR="005C7F04" w:rsidRPr="00A465D2">
        <w:rPr>
          <w:vanish/>
          <w:szCs w:val="18"/>
          <w:specVanish/>
        </w:rPr>
        <w:t xml:space="preserve"> </w:t>
      </w:r>
    </w:p>
    <w:p w14:paraId="0E044D77" w14:textId="05BE51F6" w:rsidR="007F4DBC" w:rsidRDefault="005C7F04" w:rsidP="002439C8">
      <w:pPr>
        <w:jc w:val="left"/>
      </w:pPr>
      <w:r w:rsidRPr="00A465D2">
        <w:rPr>
          <w:sz w:val="18"/>
          <w:szCs w:val="18"/>
        </w:rPr>
        <w:t xml:space="preserve"> in the Wet Tropics (upper panel) and the Burdekin, Mackay-Whitsunday and Fitzroy (lower panel). Note that the scale of the vertical axis differs between the panels. Several pesticides were recently added to the analysis suite and are only included in the relevant years (2014-15 onwards). </w:t>
      </w:r>
      <w:r w:rsidR="00FE6E97">
        <w:rPr>
          <w:sz w:val="18"/>
          <w:szCs w:val="18"/>
        </w:rPr>
        <w:t>2,4</w:t>
      </w:r>
      <w:r w:rsidR="00FE6E97">
        <w:rPr>
          <w:sz w:val="18"/>
          <w:szCs w:val="18"/>
        </w:rPr>
        <w:noBreakHyphen/>
        <w:t>D</w:t>
      </w:r>
      <w:r w:rsidRPr="00A465D2">
        <w:rPr>
          <w:sz w:val="18"/>
          <w:szCs w:val="18"/>
        </w:rPr>
        <w:t>B and fluometuron are not shown as values were &lt;LOD for all sites and all years. * Dates with an asterisk are not representative values due to incomplete wet season sampling and should be interpreted with caution</w:t>
      </w:r>
      <w:r w:rsidR="007F4DBC" w:rsidRPr="00A465D2">
        <w:t>.</w:t>
      </w:r>
    </w:p>
    <w:p w14:paraId="561C9676" w14:textId="77777777" w:rsidR="00C47D47" w:rsidRDefault="00C47D47" w:rsidP="002439C8">
      <w:pPr>
        <w:jc w:val="left"/>
        <w:rPr>
          <w:b/>
        </w:rPr>
      </w:pPr>
    </w:p>
    <w:p w14:paraId="21C50A9B" w14:textId="77777777" w:rsidR="007F4DBC" w:rsidRDefault="007F4DBC" w:rsidP="002439C8">
      <w:pPr>
        <w:jc w:val="left"/>
        <w:rPr>
          <w:bCs/>
          <w:sz w:val="18"/>
          <w:szCs w:val="18"/>
        </w:rPr>
      </w:pPr>
    </w:p>
    <w:p w14:paraId="1F3498B4" w14:textId="6B2BB70E" w:rsidR="00203958" w:rsidRDefault="00A465D2" w:rsidP="002439C8">
      <w:pPr>
        <w:pStyle w:val="Caption"/>
        <w:keepNext/>
        <w:spacing w:line="276" w:lineRule="auto"/>
        <w:rPr>
          <w:b w:val="0"/>
        </w:rPr>
      </w:pPr>
      <w:r w:rsidRPr="00A465D2">
        <w:rPr>
          <w:noProof/>
          <w:lang w:val="en-AU" w:eastAsia="en-AU" w:bidi="ar-SA"/>
        </w:rPr>
        <w:lastRenderedPageBreak/>
        <w:t xml:space="preserve"> </w:t>
      </w:r>
    </w:p>
    <w:p w14:paraId="3FD2F44D" w14:textId="071A7319" w:rsidR="00642653" w:rsidRDefault="00CC59B1" w:rsidP="002439C8">
      <w:pPr>
        <w:jc w:val="left"/>
      </w:pPr>
      <w:r w:rsidRPr="00CE4EFC">
        <w:rPr>
          <w:b/>
          <w:noProof/>
          <w:lang w:val="en-AU" w:eastAsia="en-AU" w:bidi="ar-SA"/>
        </w:rPr>
        <mc:AlternateContent>
          <mc:Choice Requires="wps">
            <w:drawing>
              <wp:anchor distT="45720" distB="45720" distL="114300" distR="114300" simplePos="0" relativeHeight="251658243" behindDoc="0" locked="0" layoutInCell="1" allowOverlap="1" wp14:anchorId="1ED0584A" wp14:editId="4E89ED08">
                <wp:simplePos x="0" y="0"/>
                <wp:positionH relativeFrom="column">
                  <wp:posOffset>19050</wp:posOffset>
                </wp:positionH>
                <wp:positionV relativeFrom="paragraph">
                  <wp:posOffset>175895</wp:posOffset>
                </wp:positionV>
                <wp:extent cx="276225" cy="1404620"/>
                <wp:effectExtent l="0" t="0" r="28575" b="2476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4620"/>
                        </a:xfrm>
                        <a:prstGeom prst="rect">
                          <a:avLst/>
                        </a:prstGeom>
                        <a:solidFill>
                          <a:srgbClr val="FFFFFF"/>
                        </a:solidFill>
                        <a:ln w="9525">
                          <a:solidFill>
                            <a:srgbClr val="000000"/>
                          </a:solidFill>
                          <a:miter lim="800000"/>
                          <a:headEnd/>
                          <a:tailEnd/>
                        </a:ln>
                      </wps:spPr>
                      <wps:txbx>
                        <w:txbxContent>
                          <w:p w14:paraId="6ED73E77" w14:textId="77777777" w:rsidR="004E75D5" w:rsidRPr="00581507" w:rsidRDefault="004E75D5">
                            <w:pPr>
                              <w:rPr>
                                <w:b/>
                                <w:sz w:val="24"/>
                              </w:rPr>
                            </w:pPr>
                            <w:r w:rsidRPr="00581507">
                              <w:rPr>
                                <w:b/>
                                <w:sz w:val="24"/>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ED0584A" id="_x0000_s1030" type="#_x0000_t202" style="position:absolute;margin-left:1.5pt;margin-top:13.85pt;width:21.75pt;height:110.6pt;z-index:251658243;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gPBJwIAAE0EAAAOAAAAZHJzL2Uyb0RvYy54bWysVMtu2zAQvBfoPxC815JV20kEy0Hq1EWB&#10;9AEk/QCKoiyiJJclaUvu12dJ2a6RFj0U1YHgYzmcndnV8nbQiuyF8xJMRaeTnBJhODTSbCv67Wnz&#10;5poSH5hpmAIjKnoQnt6uXr9a9rYUBXSgGuEIghhf9raiXQi2zDLPO6GZn4AVBg9bcJoFXLpt1jjW&#10;I7pWWZHni6wH11gHXHiPu/fjIV0l/LYVPHxpWy8CURVFbiGNLo11HLPVkpVbx2wn+ZEG+wcWmkmD&#10;j56h7llgZOfkb1Bacgce2jDhoDNoW8lFygGzmeYvsnnsmBUpFxTH27NM/v/B8s/7r47IpqLF9IoS&#10;wzSa9CSGQN7BQIqoT299iWGPFgPDgNvoc8rV2wfg3z0xsO6Y2Yo756DvBGuQ3zTezC6ujjg+gtT9&#10;J2jwGbYLkICG1ukoHspBEB19Opy9iVQ4bhZXi6KYU8LxaDrLZ4simZex8nTbOh8+CNAkTirq0PuE&#10;zvYPPkQ2rDyFxMc8KNlspFJp4bb1WjmyZ1gnm/SlBF6EKUP6it7MkcjfIfL0/QlCy4AFr6Su6PU5&#10;iJVRtvemSeUYmFTjHCkrc9QxSjeKGIZ6SJa9PdlTQ3NAYR2M9Y39iJMO3E9KeqztivofO+YEJeqj&#10;QXNuprNZbIa0mM2vUEriLk/qyxNmOEJVNFAyTtchNVBSwN6hiRuZ9I1uj0yOlLFmk+zH/opNcblO&#10;Ub/+AqtnAAAA//8DAFBLAwQUAAYACAAAACEALD6eIdwAAAAHAQAADwAAAGRycy9kb3ducmV2Lnht&#10;bEyPQU/CQBSE7yT+h80z8UJkK9CCtVuiJJw4UfG+dJ9tY/dt3V2g/HufJz1OZjLzTbEZbS8u6EPn&#10;SMHTLAGBVDvTUaPg+L57XIMIUZPRvSNUcMMAm/JuUujcuCsd8FLFRnAJhVwraGMccilD3aLVYeYG&#10;JPY+nbc6svSNNF5fudz2cp4kmbS6I15o9YDbFuuv6mwVZN/VYrr/MFM63HZvvrap2R5TpR7ux9cX&#10;EBHH+BeGX3xGh5KZTu5MJohewYKfRAXz1QoE28ssBXFivVw/gywL+Z+//AEAAP//AwBQSwECLQAU&#10;AAYACAAAACEAtoM4kv4AAADhAQAAEwAAAAAAAAAAAAAAAAAAAAAAW0NvbnRlbnRfVHlwZXNdLnht&#10;bFBLAQItABQABgAIAAAAIQA4/SH/1gAAAJQBAAALAAAAAAAAAAAAAAAAAC8BAABfcmVscy8ucmVs&#10;c1BLAQItABQABgAIAAAAIQCGcgPBJwIAAE0EAAAOAAAAAAAAAAAAAAAAAC4CAABkcnMvZTJvRG9j&#10;LnhtbFBLAQItABQABgAIAAAAIQAsPp4h3AAAAAcBAAAPAAAAAAAAAAAAAAAAAIEEAABkcnMvZG93&#10;bnJldi54bWxQSwUGAAAAAAQABADzAAAAigUAAAAA&#10;">
                <v:textbox style="mso-fit-shape-to-text:t">
                  <w:txbxContent>
                    <w:p w14:paraId="6ED73E77" w14:textId="77777777" w:rsidR="004E75D5" w:rsidRPr="00581507" w:rsidRDefault="004E75D5">
                      <w:pPr>
                        <w:rPr>
                          <w:b/>
                          <w:sz w:val="24"/>
                        </w:rPr>
                      </w:pPr>
                      <w:r w:rsidRPr="00581507">
                        <w:rPr>
                          <w:b/>
                          <w:sz w:val="24"/>
                        </w:rPr>
                        <w:t>A</w:t>
                      </w:r>
                    </w:p>
                  </w:txbxContent>
                </v:textbox>
              </v:shape>
            </w:pict>
          </mc:Fallback>
        </mc:AlternateContent>
      </w:r>
      <w:r w:rsidR="00B0786C">
        <w:rPr>
          <w:noProof/>
          <w:lang w:val="en-AU" w:eastAsia="en-AU" w:bidi="ar-SA"/>
        </w:rPr>
        <w:drawing>
          <wp:inline distT="0" distB="0" distL="0" distR="0" wp14:anchorId="262E0AC0" wp14:editId="01636D4A">
            <wp:extent cx="6073527" cy="2428621"/>
            <wp:effectExtent l="0" t="0" r="3810" b="0"/>
            <wp:docPr id="14" name="Picture 14" descr="Bar chart of the % species affected by the mixtures of pesticides for the five wet tropics sites: Low Isles, High Island, Normanby Island, Dunk Island and Lucinda" title="Pesticide mixture results for wet tropics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143261" cy="2456505"/>
                    </a:xfrm>
                    <a:prstGeom prst="rect">
                      <a:avLst/>
                    </a:prstGeom>
                    <a:noFill/>
                  </pic:spPr>
                </pic:pic>
              </a:graphicData>
            </a:graphic>
          </wp:inline>
        </w:drawing>
      </w:r>
    </w:p>
    <w:p w14:paraId="79AD5AA7" w14:textId="77777777" w:rsidR="00A556C6" w:rsidRDefault="002A683A" w:rsidP="002439C8">
      <w:pPr>
        <w:jc w:val="left"/>
      </w:pPr>
      <w:r w:rsidRPr="00CE4EFC">
        <w:rPr>
          <w:b/>
          <w:noProof/>
          <w:lang w:val="en-AU" w:eastAsia="en-AU" w:bidi="ar-SA"/>
        </w:rPr>
        <mc:AlternateContent>
          <mc:Choice Requires="wps">
            <w:drawing>
              <wp:anchor distT="45720" distB="45720" distL="114300" distR="114300" simplePos="0" relativeHeight="251658244" behindDoc="0" locked="0" layoutInCell="1" allowOverlap="1" wp14:anchorId="10E8F79F" wp14:editId="128CFF7D">
                <wp:simplePos x="0" y="0"/>
                <wp:positionH relativeFrom="column">
                  <wp:posOffset>19050</wp:posOffset>
                </wp:positionH>
                <wp:positionV relativeFrom="paragraph">
                  <wp:posOffset>193675</wp:posOffset>
                </wp:positionV>
                <wp:extent cx="276225" cy="276225"/>
                <wp:effectExtent l="0" t="0" r="28575" b="2857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276225"/>
                        </a:xfrm>
                        <a:prstGeom prst="rect">
                          <a:avLst/>
                        </a:prstGeom>
                        <a:solidFill>
                          <a:srgbClr val="FFFFFF"/>
                        </a:solidFill>
                        <a:ln w="9525">
                          <a:solidFill>
                            <a:srgbClr val="000000"/>
                          </a:solidFill>
                          <a:miter lim="800000"/>
                          <a:headEnd/>
                          <a:tailEnd/>
                        </a:ln>
                      </wps:spPr>
                      <wps:txbx>
                        <w:txbxContent>
                          <w:p w14:paraId="3908366B" w14:textId="77777777" w:rsidR="004E75D5" w:rsidRPr="00581507" w:rsidRDefault="004E75D5" w:rsidP="00CE4EFC">
                            <w:pPr>
                              <w:rPr>
                                <w:b/>
                                <w:sz w:val="24"/>
                                <w:lang w:val="en-AU"/>
                              </w:rPr>
                            </w:pPr>
                            <w:r>
                              <w:rPr>
                                <w:b/>
                                <w:sz w:val="24"/>
                                <w:lang w:val="en-AU"/>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E8F79F" id="_x0000_s1031" type="#_x0000_t202" style="position:absolute;margin-left:1.5pt;margin-top:15.25pt;width:21.75pt;height:21.75pt;z-index:2516582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FVVHwIAAEsEAAAOAAAAZHJzL2Uyb0RvYy54bWysVNuO0zAQfUfiHyy/07RRu5eo6WrpUoS0&#10;XKRdPmDiOI2F4zG226R8PWOnLdWCeEDkwfJ4xsdnzsxkeTd0mu2l8wpNyWeTKWfSCKyV2Zb86/Pm&#10;zQ1nPoCpQaORJT9Iz+9Wr18te1vIHFvUtXSMQIwvelvyNgRbZJkXrezAT9BKQ84GXQeBTLfNagc9&#10;oXc6y6fTq6xHV1uHQnpPpw+jk68SftNIET43jZeB6ZITt5BWl9YqrtlqCcXWgW2VONKAf2DRgTL0&#10;6BnqAQKwnVO/QXVKOPTYhInALsOmUUKmHCib2fRFNk8tWJlyIXG8Pcvk/x+s+LT/4piqqXYkj4GO&#10;avQsh8De4sDyKE9vfUFRT5biwkDHFJpS9fYRxTfPDK5bMFt57xz2rYSa6M3izezi6ojjI0jVf8Sa&#10;noFdwAQ0NK6L2pEajNCJx+FcmkhF0GF+fZXnC84EuY77+AIUp8vW+fBeYsfipuSOKp/AYf/owxh6&#10;ColvedSq3iitk+G21Vo7tgfqkk36Ev8XYdqwvuS3C+Lxd4hp+v4E0alA7a5VV/KbcxAUUbV3piaa&#10;UARQetxTdtocZYzKjRqGoRpSwean6lRYH0hXh2N30zTSpkX3g7OeOrvk/vsOnORMfzBUm9vZfB5H&#10;IRnzxXVOhrv0VJceMIKgSh44G7frkMYnUjV4TzVsVNI3FntkcqRMHZsqdJyuOBKXdor69Q9Y/QQA&#10;AP//AwBQSwMEFAAGAAgAAAAhAKWEi7ncAAAABgEAAA8AAABkcnMvZG93bnJldi54bWxMj8FOwzAQ&#10;RO9I/IO1SFwQdaAhLSFOhZBA9AYFwdWNt0mEvQ62m4a/Z3uC02g1q5k31WpyVowYYu9JwdUsA4HU&#10;eNNTq+D97fFyCSImTUZbT6jgByOs6tOTSpfGH+gVx01qBYdQLLWCLqWhlDI2HTodZ35AYm/ng9OJ&#10;z9BKE/SBw52V11lWSKd74oZOD/jQYfO12TsFy/x5/Izr+ctHU+zsbbpYjE/fQanzs+n+DkTCKf09&#10;wxGf0aFmpq3fk4nCKpjzknSUGxBs5wXrVsEiz0DWlfyPX/8CAAD//wMAUEsBAi0AFAAGAAgAAAAh&#10;ALaDOJL+AAAA4QEAABMAAAAAAAAAAAAAAAAAAAAAAFtDb250ZW50X1R5cGVzXS54bWxQSwECLQAU&#10;AAYACAAAACEAOP0h/9YAAACUAQAACwAAAAAAAAAAAAAAAAAvAQAAX3JlbHMvLnJlbHNQSwECLQAU&#10;AAYACAAAACEAszxVVR8CAABLBAAADgAAAAAAAAAAAAAAAAAuAgAAZHJzL2Uyb0RvYy54bWxQSwEC&#10;LQAUAAYACAAAACEApYSLudwAAAAGAQAADwAAAAAAAAAAAAAAAAB5BAAAZHJzL2Rvd25yZXYueG1s&#10;UEsFBgAAAAAEAAQA8wAAAIIFAAAAAA==&#10;">
                <v:textbox>
                  <w:txbxContent>
                    <w:p w14:paraId="3908366B" w14:textId="77777777" w:rsidR="004E75D5" w:rsidRPr="00581507" w:rsidRDefault="004E75D5" w:rsidP="00CE4EFC">
                      <w:pPr>
                        <w:rPr>
                          <w:b/>
                          <w:sz w:val="24"/>
                          <w:lang w:val="en-AU"/>
                        </w:rPr>
                      </w:pPr>
                      <w:r>
                        <w:rPr>
                          <w:b/>
                          <w:sz w:val="24"/>
                          <w:lang w:val="en-AU"/>
                        </w:rPr>
                        <w:t>B</w:t>
                      </w:r>
                    </w:p>
                  </w:txbxContent>
                </v:textbox>
              </v:shape>
            </w:pict>
          </mc:Fallback>
        </mc:AlternateContent>
      </w:r>
      <w:r w:rsidR="005D5313">
        <w:rPr>
          <w:noProof/>
          <w:lang w:val="en-AU" w:eastAsia="en-AU" w:bidi="ar-SA"/>
        </w:rPr>
        <w:drawing>
          <wp:inline distT="0" distB="0" distL="0" distR="0" wp14:anchorId="73535CB0" wp14:editId="7C7AC22E">
            <wp:extent cx="6086064" cy="2201898"/>
            <wp:effectExtent l="0" t="0" r="0" b="8255"/>
            <wp:docPr id="18" name="Picture 18" descr="Bar chart of the % species affected by the mixtures of pesticides for the Burdekin, Mackay Whitsunday and Fitzroy region sites" title="Pesticide mixture results for six marine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170554" cy="2232466"/>
                    </a:xfrm>
                    <a:prstGeom prst="rect">
                      <a:avLst/>
                    </a:prstGeom>
                    <a:noFill/>
                  </pic:spPr>
                </pic:pic>
              </a:graphicData>
            </a:graphic>
          </wp:inline>
        </w:drawing>
      </w:r>
    </w:p>
    <w:p w14:paraId="0A7BADB6" w14:textId="77777777" w:rsidR="00A556C6" w:rsidRPr="00CE4EFC" w:rsidRDefault="00A556C6" w:rsidP="002439C8">
      <w:pPr>
        <w:jc w:val="left"/>
      </w:pPr>
    </w:p>
    <w:p w14:paraId="4F69890B" w14:textId="77777777" w:rsidR="00954FCA" w:rsidRPr="00CB093C" w:rsidRDefault="008C3AEC" w:rsidP="00954FCA">
      <w:pPr>
        <w:pStyle w:val="Caption"/>
        <w:rPr>
          <w:rFonts w:cs="Arial"/>
          <w:i/>
          <w:vanish/>
          <w:color w:val="000000"/>
          <w:specVanish/>
        </w:rPr>
      </w:pPr>
      <w:bookmarkStart w:id="444" w:name="_Ref480572093"/>
      <w:bookmarkStart w:id="445" w:name="_Toc15042902"/>
      <w:bookmarkStart w:id="446" w:name="_Toc527468584"/>
      <w:r w:rsidRPr="00B0786C">
        <w:rPr>
          <w:b w:val="0"/>
        </w:rPr>
        <w:t xml:space="preserve">Figure </w:t>
      </w:r>
      <w:r w:rsidRPr="00B0786C">
        <w:rPr>
          <w:b w:val="0"/>
        </w:rPr>
        <w:fldChar w:fldCharType="begin"/>
      </w:r>
      <w:r w:rsidRPr="00B0786C">
        <w:rPr>
          <w:b w:val="0"/>
        </w:rPr>
        <w:instrText xml:space="preserve"> SEQ Figure \* ARABIC </w:instrText>
      </w:r>
      <w:r w:rsidRPr="00B0786C">
        <w:rPr>
          <w:b w:val="0"/>
        </w:rPr>
        <w:fldChar w:fldCharType="separate"/>
      </w:r>
      <w:r w:rsidR="00251B46">
        <w:rPr>
          <w:b w:val="0"/>
          <w:noProof/>
        </w:rPr>
        <w:t>10</w:t>
      </w:r>
      <w:r w:rsidRPr="00B0786C">
        <w:rPr>
          <w:b w:val="0"/>
        </w:rPr>
        <w:fldChar w:fldCharType="end"/>
      </w:r>
      <w:bookmarkEnd w:id="444"/>
      <w:r w:rsidRPr="00B0786C">
        <w:rPr>
          <w:b w:val="0"/>
        </w:rPr>
        <w:t>:</w:t>
      </w:r>
      <w:r w:rsidR="00A33AB7" w:rsidRPr="00B0786C">
        <w:rPr>
          <w:b w:val="0"/>
        </w:rPr>
        <w:t xml:space="preserve"> (A)</w:t>
      </w:r>
      <w:r w:rsidRPr="00B0786C">
        <w:rPr>
          <w:b w:val="0"/>
        </w:rPr>
        <w:t xml:space="preserve"> </w:t>
      </w:r>
      <w:r w:rsidR="00DA1169" w:rsidRPr="00B0786C">
        <w:rPr>
          <w:b w:val="0"/>
        </w:rPr>
        <w:t xml:space="preserve">Maximum </w:t>
      </w:r>
      <w:r w:rsidR="000657A0" w:rsidRPr="00B0786C">
        <w:rPr>
          <w:b w:val="0"/>
        </w:rPr>
        <w:t xml:space="preserve">% of species affected calculated using the </w:t>
      </w:r>
      <w:r w:rsidR="005E2B71">
        <w:rPr>
          <w:b w:val="0"/>
        </w:rPr>
        <w:t>ms</w:t>
      </w:r>
      <w:r w:rsidR="005E2B71">
        <w:rPr>
          <w:b w:val="0"/>
        </w:rPr>
        <w:noBreakHyphen/>
        <w:t>PAF</w:t>
      </w:r>
      <w:r w:rsidR="000657A0" w:rsidRPr="00B0786C">
        <w:rPr>
          <w:b w:val="0"/>
        </w:rPr>
        <w:t xml:space="preserve"> method for all </w:t>
      </w:r>
      <w:r w:rsidR="00A465D2" w:rsidRPr="00B0786C">
        <w:rPr>
          <w:b w:val="0"/>
        </w:rPr>
        <w:t xml:space="preserve">Wet Tropic </w:t>
      </w:r>
      <w:r w:rsidR="000657A0" w:rsidRPr="00B0786C">
        <w:rPr>
          <w:b w:val="0"/>
        </w:rPr>
        <w:t>sites and</w:t>
      </w:r>
      <w:r w:rsidR="00A33AB7" w:rsidRPr="00B0786C">
        <w:rPr>
          <w:b w:val="0"/>
        </w:rPr>
        <w:t xml:space="preserve"> (B)</w:t>
      </w:r>
      <w:r w:rsidR="000657A0" w:rsidRPr="00B0786C">
        <w:rPr>
          <w:b w:val="0"/>
        </w:rPr>
        <w:t xml:space="preserve"> </w:t>
      </w:r>
      <w:r w:rsidR="00A465D2" w:rsidRPr="00B0786C">
        <w:rPr>
          <w:b w:val="0"/>
        </w:rPr>
        <w:t xml:space="preserve">Maximum % of species affected calculated using the </w:t>
      </w:r>
      <w:r w:rsidR="005E2B71">
        <w:rPr>
          <w:b w:val="0"/>
        </w:rPr>
        <w:t>ms</w:t>
      </w:r>
      <w:r w:rsidR="005E2B71">
        <w:rPr>
          <w:b w:val="0"/>
        </w:rPr>
        <w:noBreakHyphen/>
        <w:t>PAF</w:t>
      </w:r>
      <w:r w:rsidR="00A465D2" w:rsidRPr="00B0786C">
        <w:rPr>
          <w:b w:val="0"/>
        </w:rPr>
        <w:t xml:space="preserve"> method for all other sites</w:t>
      </w:r>
      <w:bookmarkEnd w:id="445"/>
    </w:p>
    <w:p w14:paraId="45C3C81A" w14:textId="504F1B94" w:rsidR="009A11C5" w:rsidRDefault="0096416C" w:rsidP="002439C8">
      <w:pPr>
        <w:pStyle w:val="Caption"/>
        <w:rPr>
          <w:b w:val="0"/>
        </w:rPr>
      </w:pPr>
      <w:r w:rsidRPr="00B0786C">
        <w:rPr>
          <w:b w:val="0"/>
        </w:rPr>
        <w:t xml:space="preserve">. </w:t>
      </w:r>
      <w:r w:rsidR="00497DFA">
        <w:rPr>
          <w:b w:val="0"/>
        </w:rPr>
        <w:t xml:space="preserve">Dates are when passive samplers were collected. </w:t>
      </w:r>
      <w:r w:rsidR="00CC59B1" w:rsidRPr="00CC59B1">
        <w:rPr>
          <w:rFonts w:cs="Arial"/>
          <w:b w:val="0"/>
        </w:rPr>
        <w:t xml:space="preserve">Color scale: </w:t>
      </w:r>
      <w:r w:rsidR="00CC59B1" w:rsidRPr="00CC59B1">
        <w:rPr>
          <w:rFonts w:cs="Arial"/>
          <w:b w:val="0"/>
          <w:color w:val="008000"/>
        </w:rPr>
        <w:t>■</w:t>
      </w:r>
      <w:r w:rsidR="00CC59B1" w:rsidRPr="00CC59B1">
        <w:rPr>
          <w:rFonts w:cs="Arial"/>
          <w:b w:val="0"/>
        </w:rPr>
        <w:t xml:space="preserve"> = very low risk (&gt;99% species protected). </w:t>
      </w:r>
      <w:r w:rsidR="00CC59B1" w:rsidRPr="00CC59B1">
        <w:rPr>
          <w:rFonts w:cs="Arial"/>
          <w:b w:val="0"/>
          <w:color w:val="92D050"/>
        </w:rPr>
        <w:t>■</w:t>
      </w:r>
      <w:r w:rsidR="00CC59B1" w:rsidRPr="00CC59B1">
        <w:rPr>
          <w:rFonts w:cs="Arial"/>
          <w:b w:val="0"/>
        </w:rPr>
        <w:t xml:space="preserve"> = low risk (</w:t>
      </w:r>
      <w:r w:rsidR="00CC59B1" w:rsidRPr="00CC59B1">
        <w:rPr>
          <w:b w:val="0"/>
        </w:rPr>
        <w:t>&gt;95% but &lt;99% of species protected</w:t>
      </w:r>
      <w:r w:rsidR="00CC59B1" w:rsidRPr="00CC59B1">
        <w:rPr>
          <w:rFonts w:cs="Arial"/>
          <w:b w:val="0"/>
        </w:rPr>
        <w:t xml:space="preserve">), </w:t>
      </w:r>
      <w:r w:rsidR="00CC59B1" w:rsidRPr="00CC59B1">
        <w:rPr>
          <w:rFonts w:cs="Arial"/>
          <w:b w:val="0"/>
          <w:color w:val="FFFF00"/>
        </w:rPr>
        <w:t>■</w:t>
      </w:r>
      <w:r w:rsidR="00CC59B1" w:rsidRPr="00CC59B1">
        <w:rPr>
          <w:rFonts w:cs="Arial"/>
          <w:b w:val="0"/>
        </w:rPr>
        <w:t xml:space="preserve"> = moderate risk (</w:t>
      </w:r>
      <w:r w:rsidR="00CC59B1" w:rsidRPr="00CC59B1">
        <w:rPr>
          <w:b w:val="0"/>
        </w:rPr>
        <w:t>&gt;90% but &lt;95% of species protected</w:t>
      </w:r>
      <w:r w:rsidR="00CC59B1" w:rsidRPr="00CC59B1">
        <w:rPr>
          <w:rFonts w:cs="Arial"/>
          <w:b w:val="0"/>
        </w:rPr>
        <w:t xml:space="preserve">), </w:t>
      </w:r>
      <w:r w:rsidR="00CC59B1" w:rsidRPr="00CC59B1">
        <w:rPr>
          <w:rFonts w:cs="Arial"/>
          <w:b w:val="0"/>
          <w:color w:val="FFC000"/>
        </w:rPr>
        <w:t>■</w:t>
      </w:r>
      <w:r w:rsidR="00CC59B1" w:rsidRPr="00CC59B1">
        <w:rPr>
          <w:rFonts w:cs="Arial"/>
          <w:b w:val="0"/>
        </w:rPr>
        <w:t xml:space="preserve"> = high risk (</w:t>
      </w:r>
      <w:r w:rsidR="00CC59B1" w:rsidRPr="00CC59B1">
        <w:rPr>
          <w:b w:val="0"/>
        </w:rPr>
        <w:t>&gt;80% but &lt;90% of species protected</w:t>
      </w:r>
      <w:r w:rsidR="00CC59B1" w:rsidRPr="00CC59B1">
        <w:rPr>
          <w:rFonts w:cs="Arial"/>
          <w:b w:val="0"/>
        </w:rPr>
        <w:t xml:space="preserve">), </w:t>
      </w:r>
      <w:r w:rsidR="00CC59B1" w:rsidRPr="00CC59B1">
        <w:rPr>
          <w:rFonts w:cs="Arial"/>
          <w:b w:val="0"/>
          <w:color w:val="FF0000"/>
        </w:rPr>
        <w:t>■</w:t>
      </w:r>
      <w:r w:rsidR="00CC59B1" w:rsidRPr="00CC59B1">
        <w:rPr>
          <w:rFonts w:cs="Arial"/>
          <w:b w:val="0"/>
        </w:rPr>
        <w:t xml:space="preserve"> = very high risk (</w:t>
      </w:r>
      <w:r w:rsidR="00CC59B1" w:rsidRPr="00CC59B1">
        <w:rPr>
          <w:b w:val="0"/>
        </w:rPr>
        <w:t>≤80% of species protected</w:t>
      </w:r>
      <w:r w:rsidR="00CC59B1" w:rsidRPr="00CC59B1">
        <w:rPr>
          <w:rFonts w:cs="Arial"/>
          <w:b w:val="0"/>
        </w:rPr>
        <w:t xml:space="preserve">). </w:t>
      </w:r>
      <w:r w:rsidR="00CC59B1" w:rsidRPr="00CC59B1">
        <w:rPr>
          <w:b w:val="0"/>
        </w:rPr>
        <w:t>Note the difference in y-axis scale between panels A and B.</w:t>
      </w:r>
      <w:r w:rsidR="00CC59B1" w:rsidRPr="004E0B8E">
        <w:t xml:space="preserve"> </w:t>
      </w:r>
      <w:r w:rsidRPr="00B0786C">
        <w:rPr>
          <w:b w:val="0"/>
        </w:rPr>
        <w:t>Note the difference in y-axis scale.</w:t>
      </w:r>
      <w:r w:rsidR="000657A0">
        <w:rPr>
          <w:b w:val="0"/>
        </w:rPr>
        <w:t xml:space="preserve"> </w:t>
      </w:r>
      <w:bookmarkStart w:id="447" w:name="_Toc461457772"/>
      <w:bookmarkStart w:id="448" w:name="_Ref501786496"/>
      <w:bookmarkStart w:id="449" w:name="_Toc257115762"/>
      <w:bookmarkEnd w:id="446"/>
    </w:p>
    <w:p w14:paraId="02E07500" w14:textId="77777777" w:rsidR="00DF3B88" w:rsidRDefault="00DF3B88" w:rsidP="002439C8">
      <w:pPr>
        <w:jc w:val="left"/>
      </w:pPr>
    </w:p>
    <w:p w14:paraId="77F53586" w14:textId="77777777" w:rsidR="00DF3B88" w:rsidRDefault="00DF3B88" w:rsidP="002439C8">
      <w:pPr>
        <w:keepNext/>
        <w:jc w:val="left"/>
      </w:pPr>
      <w:r w:rsidRPr="00A556C6">
        <w:rPr>
          <w:noProof/>
          <w:lang w:val="en-AU" w:eastAsia="en-AU" w:bidi="ar-SA"/>
        </w:rPr>
        <w:lastRenderedPageBreak/>
        <w:drawing>
          <wp:inline distT="0" distB="0" distL="0" distR="0" wp14:anchorId="0C838CE1" wp14:editId="4488C3A0">
            <wp:extent cx="5902122" cy="3096260"/>
            <wp:effectExtent l="0" t="0" r="0" b="0"/>
            <wp:docPr id="27" name="Picture 27" descr="Maximum PSII herbicide equivalent concentrations at all sites compared to previous years (2009-10 onwards) The risk categories are described in Appendix C, Table C-1. Asterisk indicates no data." title="Figure 1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QAEHS-Research\Mueller Group\Sampling - Consultancy  Projects\AQUATIC PROJECTS\REEF RESCUE MMP\2018\REVISED report - Feb2019\NEW Appendix F - March2019\PSII HEq Max 2016-18.emf"/>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908097" cy="3099395"/>
                    </a:xfrm>
                    <a:prstGeom prst="rect">
                      <a:avLst/>
                    </a:prstGeom>
                    <a:noFill/>
                    <a:ln>
                      <a:noFill/>
                    </a:ln>
                  </pic:spPr>
                </pic:pic>
              </a:graphicData>
            </a:graphic>
          </wp:inline>
        </w:drawing>
      </w:r>
    </w:p>
    <w:p w14:paraId="1912A162" w14:textId="74D153A8" w:rsidR="00954FCA" w:rsidRPr="00CB093C" w:rsidRDefault="00DF3B88" w:rsidP="00954FCA">
      <w:pPr>
        <w:pStyle w:val="Caption"/>
        <w:rPr>
          <w:rFonts w:cs="Arial"/>
          <w:i/>
          <w:vanish/>
          <w:color w:val="000000"/>
          <w:specVanish/>
        </w:rPr>
      </w:pPr>
      <w:bookmarkStart w:id="450" w:name="_Ref9520078"/>
      <w:bookmarkStart w:id="451" w:name="_Toc15042903"/>
      <w:r w:rsidRPr="00165FBB">
        <w:rPr>
          <w:b w:val="0"/>
        </w:rPr>
        <w:t xml:space="preserve">Figure </w:t>
      </w:r>
      <w:r w:rsidRPr="00165FBB">
        <w:rPr>
          <w:b w:val="0"/>
        </w:rPr>
        <w:fldChar w:fldCharType="begin"/>
      </w:r>
      <w:r w:rsidRPr="00165FBB">
        <w:rPr>
          <w:b w:val="0"/>
        </w:rPr>
        <w:instrText xml:space="preserve"> SEQ Figure \* ARABIC </w:instrText>
      </w:r>
      <w:r w:rsidRPr="00165FBB">
        <w:rPr>
          <w:b w:val="0"/>
        </w:rPr>
        <w:fldChar w:fldCharType="separate"/>
      </w:r>
      <w:r w:rsidR="00251B46">
        <w:rPr>
          <w:b w:val="0"/>
          <w:noProof/>
        </w:rPr>
        <w:t>11</w:t>
      </w:r>
      <w:r w:rsidRPr="00165FBB">
        <w:rPr>
          <w:b w:val="0"/>
        </w:rPr>
        <w:fldChar w:fldCharType="end"/>
      </w:r>
      <w:bookmarkEnd w:id="450"/>
      <w:r w:rsidRPr="00165FBB">
        <w:rPr>
          <w:b w:val="0"/>
        </w:rPr>
        <w:t>:</w:t>
      </w:r>
      <w:r>
        <w:t xml:space="preserve"> </w:t>
      </w:r>
      <w:r w:rsidRPr="00DF3B88">
        <w:rPr>
          <w:b w:val="0"/>
        </w:rPr>
        <w:t>Maximum PSII herbicide equivalent concentrations at all sites compared to previous years</w:t>
      </w:r>
      <w:bookmarkEnd w:id="451"/>
      <w:r w:rsidRPr="00DF3B88">
        <w:rPr>
          <w:b w:val="0"/>
        </w:rPr>
        <w:t xml:space="preserve"> </w:t>
      </w:r>
    </w:p>
    <w:p w14:paraId="15133C30" w14:textId="440B9FA2" w:rsidR="00DF3B88" w:rsidRDefault="0021390C" w:rsidP="002439C8">
      <w:pPr>
        <w:pStyle w:val="Caption"/>
        <w:rPr>
          <w:b w:val="0"/>
        </w:rPr>
      </w:pPr>
      <w:r w:rsidRPr="00DF3B88">
        <w:rPr>
          <w:b w:val="0"/>
        </w:rPr>
        <w:t>(2016-1</w:t>
      </w:r>
      <w:r>
        <w:rPr>
          <w:b w:val="0"/>
        </w:rPr>
        <w:t>8</w:t>
      </w:r>
      <w:r w:rsidRPr="00DF3B88">
        <w:rPr>
          <w:b w:val="0"/>
        </w:rPr>
        <w:t xml:space="preserve"> shown)</w:t>
      </w:r>
      <w:r w:rsidR="00DF3B88" w:rsidRPr="00DF3B88">
        <w:rPr>
          <w:b w:val="0"/>
        </w:rPr>
        <w:t>. The risk categories are described in Appendix C, Table C-1. Asterisk indicates no data. Previous data is published in earlier reports.</w:t>
      </w:r>
    </w:p>
    <w:p w14:paraId="71602E7D" w14:textId="5D48587A" w:rsidR="00941EB8" w:rsidRDefault="00941EB8" w:rsidP="00941EB8"/>
    <w:p w14:paraId="5429A914" w14:textId="77777777" w:rsidR="00941EB8" w:rsidRPr="00941EB8" w:rsidRDefault="00941EB8" w:rsidP="00941EB8"/>
    <w:p w14:paraId="7513EDEE" w14:textId="77777777" w:rsidR="00941EB8" w:rsidRDefault="00941EB8">
      <w:pPr>
        <w:ind w:firstLine="357"/>
        <w:jc w:val="left"/>
        <w:rPr>
          <w:rFonts w:eastAsia="Times New Roman" w:cs="Arial"/>
          <w:b/>
          <w:kern w:val="28"/>
          <w:sz w:val="36"/>
          <w:szCs w:val="28"/>
          <w:lang w:val="en-AU" w:bidi="ar-SA"/>
        </w:rPr>
      </w:pPr>
      <w:bookmarkStart w:id="452" w:name="_Regional_results"/>
      <w:bookmarkStart w:id="453" w:name="_Ref536078471"/>
      <w:bookmarkEnd w:id="452"/>
      <w:r>
        <w:br w:type="page"/>
      </w:r>
    </w:p>
    <w:p w14:paraId="103B4918" w14:textId="45DAC713" w:rsidR="009A7845" w:rsidRDefault="0059608E" w:rsidP="002439C8">
      <w:pPr>
        <w:pStyle w:val="Heading1"/>
        <w:jc w:val="left"/>
      </w:pPr>
      <w:bookmarkStart w:id="454" w:name="_Toc14435705"/>
      <w:r w:rsidRPr="004E0EF8">
        <w:lastRenderedPageBreak/>
        <w:t>Regional results</w:t>
      </w:r>
      <w:bookmarkEnd w:id="447"/>
      <w:bookmarkEnd w:id="448"/>
      <w:bookmarkEnd w:id="453"/>
      <w:bookmarkEnd w:id="454"/>
    </w:p>
    <w:p w14:paraId="4D6FE7F9" w14:textId="77777777" w:rsidR="0059608E" w:rsidRDefault="0059608E" w:rsidP="00941EB8">
      <w:pPr>
        <w:pStyle w:val="Heading2"/>
        <w:spacing w:before="0"/>
        <w:jc w:val="left"/>
      </w:pPr>
      <w:bookmarkStart w:id="455" w:name="_Toc461457773"/>
      <w:bookmarkStart w:id="456" w:name="_Toc14435706"/>
      <w:r>
        <w:t>Wet Tropics</w:t>
      </w:r>
      <w:bookmarkEnd w:id="455"/>
      <w:r w:rsidR="00305667">
        <w:t xml:space="preserve"> Region</w:t>
      </w:r>
      <w:bookmarkEnd w:id="456"/>
    </w:p>
    <w:p w14:paraId="06ECCBDB" w14:textId="561156BD" w:rsidR="00E20C0E" w:rsidRDefault="00CA016E" w:rsidP="002439C8">
      <w:pPr>
        <w:spacing w:line="276" w:lineRule="auto"/>
        <w:jc w:val="left"/>
        <w:rPr>
          <w:lang w:val="en-AU" w:eastAsia="en-AU"/>
        </w:rPr>
      </w:pPr>
      <w:r>
        <w:rPr>
          <w:lang w:val="en-AU" w:eastAsia="en-AU"/>
        </w:rPr>
        <w:t>No exceedances of guideline values were detected in this monitoring year.</w:t>
      </w:r>
      <w:r w:rsidR="00941EB8">
        <w:rPr>
          <w:lang w:val="en-AU" w:eastAsia="en-AU"/>
        </w:rPr>
        <w:t xml:space="preserve"> </w:t>
      </w:r>
      <w:r w:rsidR="00DF387B">
        <w:rPr>
          <w:lang w:val="en-AU" w:eastAsia="en-AU"/>
        </w:rPr>
        <w:t>Continuing the trend of previous monitoring years, the predominant pesticides</w:t>
      </w:r>
      <w:r w:rsidR="00DF387B" w:rsidRPr="004E28CA">
        <w:rPr>
          <w:lang w:val="en-AU" w:eastAsia="en-AU"/>
        </w:rPr>
        <w:t xml:space="preserve"> detected using EDs in the Wet Tropics region in </w:t>
      </w:r>
      <w:r w:rsidR="001B73E5">
        <w:rPr>
          <w:lang w:val="en-AU" w:eastAsia="en-AU"/>
        </w:rPr>
        <w:t xml:space="preserve">2017–18 </w:t>
      </w:r>
      <w:r w:rsidR="00DF387B" w:rsidRPr="004E28CA">
        <w:rPr>
          <w:lang w:val="en-AU" w:eastAsia="en-AU"/>
        </w:rPr>
        <w:t>were atrazine, diuron and hexazinone</w:t>
      </w:r>
      <w:r w:rsidR="00DF387B">
        <w:rPr>
          <w:lang w:val="en-AU" w:eastAsia="en-AU"/>
        </w:rPr>
        <w:t>. A</w:t>
      </w:r>
      <w:r w:rsidR="00DF387B" w:rsidRPr="004E28CA">
        <w:rPr>
          <w:lang w:val="en-AU" w:eastAsia="en-AU"/>
        </w:rPr>
        <w:t xml:space="preserve">ll three were detected in </w:t>
      </w:r>
      <w:r w:rsidR="00DF387B">
        <w:rPr>
          <w:lang w:val="en-AU" w:eastAsia="en-AU"/>
        </w:rPr>
        <w:t>al</w:t>
      </w:r>
      <w:r w:rsidR="00DF387B" w:rsidRPr="004E28CA">
        <w:rPr>
          <w:lang w:val="en-AU" w:eastAsia="en-AU"/>
        </w:rPr>
        <w:t>l</w:t>
      </w:r>
      <w:r w:rsidR="00DF387B">
        <w:rPr>
          <w:lang w:val="en-AU" w:eastAsia="en-AU"/>
        </w:rPr>
        <w:t xml:space="preserve"> </w:t>
      </w:r>
      <w:r w:rsidR="00DF387B" w:rsidRPr="004E28CA">
        <w:rPr>
          <w:lang w:val="en-AU" w:eastAsia="en-AU"/>
        </w:rPr>
        <w:t>wet season samplers returned from monitoring sites (</w:t>
      </w:r>
      <w:r w:rsidR="00DF387B" w:rsidRPr="004E28CA">
        <w:rPr>
          <w:lang w:val="en-AU" w:eastAsia="en-AU"/>
        </w:rPr>
        <w:fldChar w:fldCharType="begin"/>
      </w:r>
      <w:r w:rsidR="00DF387B" w:rsidRPr="004E28CA">
        <w:rPr>
          <w:lang w:val="en-AU" w:eastAsia="en-AU"/>
        </w:rPr>
        <w:instrText xml:space="preserve"> REF _Ref335637596 \n \h  \* MERGEFORMAT </w:instrText>
      </w:r>
      <w:r w:rsidR="00DF387B" w:rsidRPr="004E28CA">
        <w:rPr>
          <w:lang w:val="en-AU" w:eastAsia="en-AU"/>
        </w:rPr>
      </w:r>
      <w:r w:rsidR="00DF387B" w:rsidRPr="004E28CA">
        <w:rPr>
          <w:lang w:val="en-AU" w:eastAsia="en-AU"/>
        </w:rPr>
        <w:fldChar w:fldCharType="separate"/>
      </w:r>
      <w:r w:rsidR="00251B46">
        <w:rPr>
          <w:lang w:val="en-AU" w:eastAsia="en-AU"/>
        </w:rPr>
        <w:t xml:space="preserve">Appendix F </w:t>
      </w:r>
      <w:r w:rsidR="00DF387B" w:rsidRPr="004E28CA">
        <w:rPr>
          <w:lang w:val="en-AU" w:eastAsia="en-AU"/>
        </w:rPr>
        <w:fldChar w:fldCharType="end"/>
      </w:r>
      <w:r w:rsidR="00DF387B" w:rsidRPr="004E28CA">
        <w:rPr>
          <w:lang w:val="en-AU" w:eastAsia="en-AU"/>
        </w:rPr>
        <w:t xml:space="preserve">Table F2 to </w:t>
      </w:r>
      <w:r w:rsidR="00DF387B" w:rsidRPr="004E28CA">
        <w:rPr>
          <w:lang w:val="en-AU" w:eastAsia="en-AU"/>
        </w:rPr>
        <w:fldChar w:fldCharType="begin"/>
      </w:r>
      <w:r w:rsidR="00DF387B" w:rsidRPr="004E28CA">
        <w:rPr>
          <w:lang w:val="en-AU" w:eastAsia="en-AU"/>
        </w:rPr>
        <w:instrText xml:space="preserve"> REF _Ref480740506 \h  \* MERGEFORMAT </w:instrText>
      </w:r>
      <w:r w:rsidR="00DF387B" w:rsidRPr="004E28CA">
        <w:rPr>
          <w:lang w:val="en-AU" w:eastAsia="en-AU"/>
        </w:rPr>
      </w:r>
      <w:r w:rsidR="00DF387B" w:rsidRPr="004E28CA">
        <w:rPr>
          <w:lang w:val="en-AU" w:eastAsia="en-AU"/>
        </w:rPr>
        <w:fldChar w:fldCharType="separate"/>
      </w:r>
      <w:r w:rsidR="00251B46">
        <w:t xml:space="preserve">Table </w:t>
      </w:r>
      <w:r w:rsidR="00251B46">
        <w:rPr>
          <w:noProof/>
        </w:rPr>
        <w:t>F</w:t>
      </w:r>
      <w:r w:rsidR="00251B46">
        <w:rPr>
          <w:noProof/>
        </w:rPr>
        <w:noBreakHyphen/>
        <w:t>6</w:t>
      </w:r>
      <w:r w:rsidR="00DF387B" w:rsidRPr="004E28CA">
        <w:rPr>
          <w:lang w:val="en-AU" w:eastAsia="en-AU"/>
        </w:rPr>
        <w:fldChar w:fldCharType="end"/>
      </w:r>
      <w:r w:rsidR="00DF387B" w:rsidRPr="004E28CA">
        <w:rPr>
          <w:lang w:val="en-AU" w:eastAsia="en-AU"/>
        </w:rPr>
        <w:t xml:space="preserve">). </w:t>
      </w:r>
      <w:r w:rsidR="00DF387B">
        <w:rPr>
          <w:lang w:val="en-AU" w:eastAsia="en-AU"/>
        </w:rPr>
        <w:t>Simazine, t</w:t>
      </w:r>
      <w:r w:rsidR="00DF387B" w:rsidRPr="004E28CA">
        <w:rPr>
          <w:lang w:val="en-AU" w:eastAsia="en-AU"/>
        </w:rPr>
        <w:t xml:space="preserve">ebuthiuron </w:t>
      </w:r>
      <w:r w:rsidR="00DF387B">
        <w:rPr>
          <w:lang w:val="en-AU" w:eastAsia="en-AU"/>
        </w:rPr>
        <w:t xml:space="preserve">and DE atrazine (metabolite) were PSII herbicides that were also frequently detected in at least 50% of samplers at all sites as were the other non-PSII pesticides </w:t>
      </w:r>
      <w:r w:rsidR="00FE6E97">
        <w:rPr>
          <w:lang w:val="en-AU" w:eastAsia="en-AU"/>
        </w:rPr>
        <w:t>2,4</w:t>
      </w:r>
      <w:r w:rsidR="00FE6E97">
        <w:rPr>
          <w:lang w:val="en-AU" w:eastAsia="en-AU"/>
        </w:rPr>
        <w:noBreakHyphen/>
        <w:t>D</w:t>
      </w:r>
      <w:r w:rsidR="00DF387B">
        <w:rPr>
          <w:lang w:val="en-AU" w:eastAsia="en-AU"/>
        </w:rPr>
        <w:t xml:space="preserve">, imidacloprid and metolachlor. </w:t>
      </w:r>
      <w:r w:rsidR="005E2B71">
        <w:rPr>
          <w:lang w:val="en-AU" w:eastAsia="en-AU"/>
        </w:rPr>
        <w:t>Ms</w:t>
      </w:r>
      <w:r w:rsidR="005E2B71">
        <w:rPr>
          <w:lang w:val="en-AU" w:eastAsia="en-AU"/>
        </w:rPr>
        <w:noBreakHyphen/>
        <w:t>PAF</w:t>
      </w:r>
      <w:r w:rsidR="00486398">
        <w:rPr>
          <w:lang w:val="en-AU" w:eastAsia="en-AU"/>
        </w:rPr>
        <w:t xml:space="preserve"> values were calculated and no sites in the region </w:t>
      </w:r>
      <w:r w:rsidR="000432EB">
        <w:rPr>
          <w:lang w:val="en-AU" w:eastAsia="en-AU"/>
        </w:rPr>
        <w:t xml:space="preserve">are </w:t>
      </w:r>
      <w:r w:rsidR="00486398">
        <w:rPr>
          <w:lang w:val="en-AU" w:eastAsia="en-AU"/>
        </w:rPr>
        <w:t xml:space="preserve">above Category </w:t>
      </w:r>
      <w:r w:rsidR="00EB548A">
        <w:rPr>
          <w:lang w:val="en-AU" w:eastAsia="en-AU"/>
        </w:rPr>
        <w:t>4</w:t>
      </w:r>
      <w:r w:rsidR="00486398">
        <w:rPr>
          <w:lang w:val="en-AU" w:eastAsia="en-AU"/>
        </w:rPr>
        <w:t>.</w:t>
      </w:r>
      <w:r w:rsidR="00E20C0E">
        <w:rPr>
          <w:lang w:val="en-AU" w:eastAsia="en-AU"/>
        </w:rPr>
        <w:t xml:space="preserve"> </w:t>
      </w:r>
      <w:r w:rsidR="00941EB8">
        <w:rPr>
          <w:lang w:val="en-AU" w:eastAsia="en-AU"/>
        </w:rPr>
        <w:t>N</w:t>
      </w:r>
      <w:r w:rsidR="00E20C0E" w:rsidRPr="000D3ED3">
        <w:rPr>
          <w:lang w:val="en-AU" w:eastAsia="en-AU"/>
        </w:rPr>
        <w:t xml:space="preserve">ote that the concentrations of </w:t>
      </w:r>
      <w:r w:rsidR="00E20C0E">
        <w:rPr>
          <w:lang w:val="en-AU" w:eastAsia="en-AU"/>
        </w:rPr>
        <w:t xml:space="preserve">non-PSII pesticides are yet to be integrated into this risk metric and thus </w:t>
      </w:r>
      <w:r w:rsidR="00E20C0E" w:rsidRPr="000D3ED3">
        <w:rPr>
          <w:lang w:val="en-AU" w:eastAsia="en-AU"/>
        </w:rPr>
        <w:t xml:space="preserve">the </w:t>
      </w:r>
      <w:r w:rsidR="00E20C0E">
        <w:rPr>
          <w:lang w:val="en-AU" w:eastAsia="en-AU"/>
        </w:rPr>
        <w:t xml:space="preserve">potential </w:t>
      </w:r>
      <w:r w:rsidR="00E20C0E" w:rsidRPr="000D3ED3">
        <w:rPr>
          <w:lang w:val="en-AU" w:eastAsia="en-AU"/>
        </w:rPr>
        <w:t>risk from all pesticides could be higher than what is reported here.</w:t>
      </w:r>
    </w:p>
    <w:p w14:paraId="73481D21" w14:textId="77777777" w:rsidR="00F91497" w:rsidRPr="0099427D" w:rsidRDefault="00F91497" w:rsidP="002439C8">
      <w:pPr>
        <w:pStyle w:val="Heading3"/>
        <w:jc w:val="left"/>
      </w:pPr>
      <w:bookmarkStart w:id="457" w:name="_Toc14435707"/>
      <w:r>
        <w:t>Low Isles</w:t>
      </w:r>
      <w:bookmarkEnd w:id="457"/>
    </w:p>
    <w:p w14:paraId="30926769" w14:textId="77777777" w:rsidR="00C276F9" w:rsidRDefault="00F91497" w:rsidP="002439C8">
      <w:pPr>
        <w:spacing w:line="276" w:lineRule="auto"/>
        <w:jc w:val="left"/>
        <w:rPr>
          <w:lang w:val="en-GB" w:eastAsia="en-AU"/>
        </w:rPr>
      </w:pPr>
      <w:r w:rsidRPr="008756CF">
        <w:rPr>
          <w:lang w:val="en-GB" w:eastAsia="en-AU"/>
        </w:rPr>
        <w:t xml:space="preserve">In </w:t>
      </w:r>
      <w:r w:rsidR="001B73E5">
        <w:rPr>
          <w:lang w:val="en-GB" w:eastAsia="en-AU"/>
        </w:rPr>
        <w:t>2017–18</w:t>
      </w:r>
      <w:r w:rsidRPr="008756CF">
        <w:rPr>
          <w:lang w:val="en-GB" w:eastAsia="en-AU"/>
        </w:rPr>
        <w:t xml:space="preserve">, </w:t>
      </w:r>
      <w:r w:rsidR="00593B56">
        <w:rPr>
          <w:lang w:val="en-GB" w:eastAsia="en-AU"/>
        </w:rPr>
        <w:t xml:space="preserve">there is no </w:t>
      </w:r>
      <w:r w:rsidR="00593B56">
        <w:rPr>
          <w:lang w:val="en-AU" w:eastAsia="en-AU"/>
        </w:rPr>
        <w:t>exceedances of guideline values</w:t>
      </w:r>
      <w:r w:rsidR="00593B56">
        <w:rPr>
          <w:lang w:val="en-GB" w:eastAsia="en-AU"/>
        </w:rPr>
        <w:t xml:space="preserve"> </w:t>
      </w:r>
      <w:r w:rsidR="007345D8">
        <w:rPr>
          <w:lang w:val="en-GB" w:eastAsia="en-AU"/>
        </w:rPr>
        <w:t xml:space="preserve">at </w:t>
      </w:r>
      <w:r w:rsidR="00593B56">
        <w:rPr>
          <w:lang w:val="en-GB" w:eastAsia="en-AU"/>
        </w:rPr>
        <w:t xml:space="preserve">the Low Isles site. </w:t>
      </w:r>
    </w:p>
    <w:p w14:paraId="43BF2015" w14:textId="0449DC0F" w:rsidR="008D5074" w:rsidRDefault="00A25F80" w:rsidP="00941EB8">
      <w:pPr>
        <w:spacing w:before="240" w:line="276" w:lineRule="auto"/>
        <w:jc w:val="left"/>
        <w:rPr>
          <w:lang w:val="en-AU" w:eastAsia="en-AU"/>
        </w:rPr>
      </w:pPr>
      <w:r w:rsidRPr="00C276F9">
        <w:rPr>
          <w:lang w:val="en-AU"/>
        </w:rPr>
        <w:t xml:space="preserve">Maximum concentration of PSII herbicides during the </w:t>
      </w:r>
      <w:r w:rsidR="001B73E5">
        <w:rPr>
          <w:lang w:val="en-AU"/>
        </w:rPr>
        <w:t>2017–18</w:t>
      </w:r>
      <w:r w:rsidR="005F4177" w:rsidRPr="00C276F9">
        <w:rPr>
          <w:lang w:val="en-AU"/>
        </w:rPr>
        <w:t xml:space="preserve"> </w:t>
      </w:r>
      <w:r w:rsidR="0058724E" w:rsidRPr="00C276F9">
        <w:rPr>
          <w:lang w:val="en-AU"/>
        </w:rPr>
        <w:t xml:space="preserve">monitoring year </w:t>
      </w:r>
      <w:r w:rsidR="00593B56" w:rsidRPr="00C276F9">
        <w:rPr>
          <w:lang w:val="en-AU" w:eastAsia="en-AU"/>
        </w:rPr>
        <w:t>was 6.7</w:t>
      </w:r>
      <w:r w:rsidR="005C25EE" w:rsidRPr="004728B1">
        <w:t> </w:t>
      </w:r>
      <w:r w:rsidR="00593B56" w:rsidRPr="00C276F9">
        <w:rPr>
          <w:lang w:val="en-AU" w:eastAsia="en-AU"/>
        </w:rPr>
        <w:t>n</w:t>
      </w:r>
      <w:r w:rsidR="00FE6E97">
        <w:rPr>
          <w:lang w:val="en-AU" w:eastAsia="en-AU"/>
        </w:rPr>
        <w:t>g L</w:t>
      </w:r>
      <w:r w:rsidR="005C25EE" w:rsidRPr="00A209AA">
        <w:rPr>
          <w:vertAlign w:val="superscript"/>
          <w:lang w:val="en-AU"/>
        </w:rPr>
        <w:noBreakHyphen/>
        <w:t>1</w:t>
      </w:r>
      <w:r w:rsidR="00593B56" w:rsidRPr="00C276F9">
        <w:rPr>
          <w:lang w:val="en-AU" w:eastAsia="en-AU"/>
        </w:rPr>
        <w:t xml:space="preserve"> </w:t>
      </w:r>
      <w:r w:rsidR="00882EDF" w:rsidRPr="00C276F9">
        <w:rPr>
          <w:lang w:val="en-AU" w:eastAsia="en-AU"/>
        </w:rPr>
        <w:t xml:space="preserve">of </w:t>
      </w:r>
      <w:r w:rsidR="00C276F9" w:rsidRPr="00C276F9">
        <w:rPr>
          <w:lang w:val="en-AU" w:eastAsia="en-AU"/>
        </w:rPr>
        <w:t>d</w:t>
      </w:r>
      <w:r w:rsidR="00882EDF" w:rsidRPr="00C276F9">
        <w:rPr>
          <w:lang w:val="en-AU" w:eastAsia="en-AU"/>
        </w:rPr>
        <w:t xml:space="preserve">iuron during the wet season of </w:t>
      </w:r>
      <w:r w:rsidR="00C276F9">
        <w:rPr>
          <w:lang w:val="en-AU" w:eastAsia="en-AU"/>
        </w:rPr>
        <w:t>February</w:t>
      </w:r>
      <w:r w:rsidR="00882EDF" w:rsidRPr="00C276F9">
        <w:rPr>
          <w:lang w:val="en-AU" w:eastAsia="en-AU"/>
        </w:rPr>
        <w:t>/Mar</w:t>
      </w:r>
      <w:r w:rsidR="007345D8">
        <w:rPr>
          <w:lang w:val="en-AU" w:eastAsia="en-AU"/>
        </w:rPr>
        <w:t>ch</w:t>
      </w:r>
      <w:r w:rsidR="00882EDF" w:rsidRPr="00C276F9">
        <w:rPr>
          <w:lang w:val="en-AU" w:eastAsia="en-AU"/>
        </w:rPr>
        <w:t xml:space="preserve"> 2018.</w:t>
      </w:r>
      <w:r w:rsidR="00593B56" w:rsidRPr="00C276F9">
        <w:rPr>
          <w:lang w:val="en-AU" w:eastAsia="en-AU"/>
        </w:rPr>
        <w:t xml:space="preserve"> </w:t>
      </w:r>
      <w:r w:rsidR="00604184" w:rsidRPr="00C276F9">
        <w:rPr>
          <w:lang w:val="en-AU" w:eastAsia="en-AU"/>
        </w:rPr>
        <w:t xml:space="preserve">Diuron is usually the pesticide with the highest concentration among the 26 chemicals </w:t>
      </w:r>
      <w:r w:rsidR="00691CC8">
        <w:rPr>
          <w:lang w:val="en-AU" w:eastAsia="en-AU"/>
        </w:rPr>
        <w:t>analysed for</w:t>
      </w:r>
      <w:r w:rsidR="00604184" w:rsidRPr="00C276F9">
        <w:rPr>
          <w:lang w:val="en-AU" w:eastAsia="en-AU"/>
        </w:rPr>
        <w:t xml:space="preserve"> </w:t>
      </w:r>
      <w:r w:rsidR="007345D8">
        <w:rPr>
          <w:lang w:val="en-AU" w:eastAsia="en-AU"/>
        </w:rPr>
        <w:t>at</w:t>
      </w:r>
      <w:r w:rsidR="007345D8" w:rsidRPr="00C276F9">
        <w:rPr>
          <w:lang w:val="en-AU" w:eastAsia="en-AU"/>
        </w:rPr>
        <w:t xml:space="preserve"> </w:t>
      </w:r>
      <w:r w:rsidR="00604184" w:rsidRPr="00C276F9">
        <w:rPr>
          <w:lang w:val="en-AU" w:eastAsia="en-AU"/>
        </w:rPr>
        <w:t>this site</w:t>
      </w:r>
      <w:r w:rsidR="008D5074" w:rsidRPr="00C276F9">
        <w:rPr>
          <w:lang w:val="en-AU" w:eastAsia="en-AU"/>
        </w:rPr>
        <w:t>.</w:t>
      </w:r>
    </w:p>
    <w:p w14:paraId="32EE3877" w14:textId="77777777" w:rsidR="0024078C" w:rsidRDefault="0024078C" w:rsidP="002439C8">
      <w:pPr>
        <w:spacing w:line="276" w:lineRule="auto"/>
        <w:jc w:val="left"/>
        <w:rPr>
          <w:lang w:val="en-AU" w:eastAsia="en-AU"/>
        </w:rPr>
      </w:pPr>
    </w:p>
    <w:p w14:paraId="163EA012" w14:textId="77777777" w:rsidR="00205F77" w:rsidRDefault="0022328F" w:rsidP="002439C8">
      <w:pPr>
        <w:spacing w:line="276" w:lineRule="auto"/>
        <w:jc w:val="left"/>
        <w:rPr>
          <w:lang w:val="en-AU" w:eastAsia="en-AU"/>
        </w:rPr>
      </w:pPr>
      <w:r w:rsidRPr="0022328F">
        <w:rPr>
          <w:noProof/>
          <w:lang w:val="en-AU" w:eastAsia="en-AU" w:bidi="ar-SA"/>
        </w:rPr>
        <w:lastRenderedPageBreak/>
        <w:drawing>
          <wp:inline distT="0" distB="0" distL="0" distR="0" wp14:anchorId="45C92B85" wp14:editId="4A5B6AC6">
            <wp:extent cx="5578842" cy="3240000"/>
            <wp:effectExtent l="0" t="0" r="0" b="0"/>
            <wp:docPr id="4" name="Picture 4" descr="Temporal trends in % of species affected by pesticides (indicated by the black bars) in Low Isles in 2017-18, together with the flow rate of Mossman river. Flow data from DNRM Stream Gauging Network." title="Mossman River and Low Isles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QAEHS-Research\Mueller Group\Sampling - Consultancy  Projects\AQUATIC PROJECTS\REEF RESCUE MMP\2018\May 2019 revision\NEW Appendix F - May2019\LOW MOSSMAN - 2017-18.emf"/>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578842" cy="3240000"/>
                    </a:xfrm>
                    <a:prstGeom prst="rect">
                      <a:avLst/>
                    </a:prstGeom>
                    <a:noFill/>
                    <a:ln>
                      <a:noFill/>
                    </a:ln>
                  </pic:spPr>
                </pic:pic>
              </a:graphicData>
            </a:graphic>
          </wp:inline>
        </w:drawing>
      </w:r>
    </w:p>
    <w:p w14:paraId="3194FEE5" w14:textId="59D382BB" w:rsidR="00954FCA" w:rsidRPr="00CB093C" w:rsidRDefault="003952EB" w:rsidP="00954FCA">
      <w:pPr>
        <w:pStyle w:val="Caption"/>
        <w:rPr>
          <w:rFonts w:cs="Arial"/>
          <w:i/>
          <w:vanish/>
          <w:color w:val="000000"/>
          <w:specVanish/>
        </w:rPr>
      </w:pPr>
      <w:bookmarkStart w:id="458" w:name="_Toc15042904"/>
      <w:r w:rsidRPr="00581507">
        <w:rPr>
          <w:b w:val="0"/>
          <w:sz w:val="20"/>
        </w:rPr>
        <w:t xml:space="preserve">Figure </w:t>
      </w:r>
      <w:r w:rsidRPr="00581507">
        <w:rPr>
          <w:b w:val="0"/>
          <w:sz w:val="20"/>
        </w:rPr>
        <w:fldChar w:fldCharType="begin"/>
      </w:r>
      <w:r w:rsidRPr="00581507">
        <w:rPr>
          <w:b w:val="0"/>
          <w:sz w:val="20"/>
        </w:rPr>
        <w:instrText xml:space="preserve"> SEQ Figure \* ARABIC </w:instrText>
      </w:r>
      <w:r w:rsidRPr="00581507">
        <w:rPr>
          <w:b w:val="0"/>
          <w:sz w:val="20"/>
        </w:rPr>
        <w:fldChar w:fldCharType="separate"/>
      </w:r>
      <w:r w:rsidR="00251B46">
        <w:rPr>
          <w:b w:val="0"/>
          <w:noProof/>
          <w:sz w:val="20"/>
        </w:rPr>
        <w:t>12</w:t>
      </w:r>
      <w:r w:rsidRPr="00581507">
        <w:rPr>
          <w:b w:val="0"/>
          <w:sz w:val="20"/>
        </w:rPr>
        <w:fldChar w:fldCharType="end"/>
      </w:r>
      <w:r w:rsidRPr="00581507">
        <w:rPr>
          <w:b w:val="0"/>
          <w:sz w:val="20"/>
        </w:rPr>
        <w:t xml:space="preserve">: Temporal trends in % of species affected </w:t>
      </w:r>
      <w:r w:rsidR="008E7091" w:rsidRPr="00581507">
        <w:rPr>
          <w:b w:val="0"/>
          <w:sz w:val="20"/>
        </w:rPr>
        <w:t>by pesticides (</w:t>
      </w:r>
      <w:r w:rsidRPr="00581507">
        <w:rPr>
          <w:b w:val="0"/>
          <w:sz w:val="20"/>
        </w:rPr>
        <w:t xml:space="preserve">indicated by the black bars) </w:t>
      </w:r>
      <w:r w:rsidR="008E7091" w:rsidRPr="00581507">
        <w:rPr>
          <w:b w:val="0"/>
          <w:sz w:val="20"/>
        </w:rPr>
        <w:t>in Low Isles</w:t>
      </w:r>
      <w:r w:rsidRPr="00581507">
        <w:rPr>
          <w:b w:val="0"/>
          <w:sz w:val="20"/>
        </w:rPr>
        <w:t xml:space="preserve"> in 2017-18, to</w:t>
      </w:r>
      <w:r w:rsidR="008E7091" w:rsidRPr="00581507">
        <w:rPr>
          <w:b w:val="0"/>
          <w:sz w:val="20"/>
        </w:rPr>
        <w:t>gether with</w:t>
      </w:r>
      <w:r w:rsidRPr="00581507">
        <w:rPr>
          <w:b w:val="0"/>
          <w:sz w:val="20"/>
        </w:rPr>
        <w:t xml:space="preserve"> the flow rate of </w:t>
      </w:r>
      <w:r w:rsidR="008E7091" w:rsidRPr="00581507">
        <w:rPr>
          <w:b w:val="0"/>
          <w:sz w:val="20"/>
        </w:rPr>
        <w:t xml:space="preserve">Mossman </w:t>
      </w:r>
      <w:r w:rsidRPr="00581507">
        <w:rPr>
          <w:b w:val="0"/>
          <w:sz w:val="20"/>
        </w:rPr>
        <w:t>river.</w:t>
      </w:r>
      <w:bookmarkEnd w:id="458"/>
    </w:p>
    <w:p w14:paraId="7B8F8F3A" w14:textId="77777777" w:rsidR="003952EB" w:rsidRPr="00581507" w:rsidRDefault="003952EB" w:rsidP="002439C8">
      <w:pPr>
        <w:pStyle w:val="Caption"/>
        <w:keepNext/>
        <w:spacing w:line="276" w:lineRule="auto"/>
        <w:rPr>
          <w:b w:val="0"/>
          <w:sz w:val="20"/>
        </w:rPr>
      </w:pPr>
      <w:r w:rsidRPr="00581507">
        <w:rPr>
          <w:b w:val="0"/>
          <w:sz w:val="20"/>
        </w:rPr>
        <w:t xml:space="preserve"> Flow data </w:t>
      </w:r>
      <w:r w:rsidR="007345D8">
        <w:rPr>
          <w:b w:val="0"/>
          <w:sz w:val="20"/>
        </w:rPr>
        <w:t>from</w:t>
      </w:r>
      <w:r w:rsidRPr="00581507">
        <w:rPr>
          <w:b w:val="0"/>
          <w:sz w:val="20"/>
        </w:rPr>
        <w:t xml:space="preserve"> DNRM Stream Gauging</w:t>
      </w:r>
      <w:r w:rsidR="001A4F56">
        <w:rPr>
          <w:b w:val="0"/>
          <w:sz w:val="20"/>
        </w:rPr>
        <w:t xml:space="preserve"> </w:t>
      </w:r>
      <w:r w:rsidRPr="00581507">
        <w:rPr>
          <w:b w:val="0"/>
          <w:sz w:val="20"/>
        </w:rPr>
        <w:t>Network.</w:t>
      </w:r>
    </w:p>
    <w:p w14:paraId="4D76A938" w14:textId="77777777" w:rsidR="003952EB" w:rsidRPr="00BD4CBA" w:rsidRDefault="003952EB" w:rsidP="002439C8">
      <w:pPr>
        <w:jc w:val="left"/>
      </w:pPr>
    </w:p>
    <w:p w14:paraId="7F7A383D" w14:textId="1283591A" w:rsidR="00CA016E" w:rsidRPr="00691CC8" w:rsidRDefault="008D5074" w:rsidP="002439C8">
      <w:pPr>
        <w:spacing w:line="276" w:lineRule="auto"/>
        <w:jc w:val="left"/>
        <w:rPr>
          <w:lang w:val="en-AU" w:eastAsia="en-AU"/>
        </w:rPr>
      </w:pPr>
      <w:bookmarkStart w:id="459" w:name="OLE_LINK1"/>
      <w:r>
        <w:rPr>
          <w:lang w:val="en-AU" w:eastAsia="en-AU"/>
        </w:rPr>
        <w:t xml:space="preserve">The </w:t>
      </w:r>
      <w:r w:rsidR="007F03F5">
        <w:rPr>
          <w:lang w:val="en-AU" w:eastAsia="en-AU"/>
        </w:rPr>
        <w:t xml:space="preserve">maximum </w:t>
      </w:r>
      <w:r>
        <w:rPr>
          <w:lang w:val="en-AU" w:eastAsia="en-AU"/>
        </w:rPr>
        <w:t xml:space="preserve">concentrations </w:t>
      </w:r>
      <w:r w:rsidR="00D568E2">
        <w:rPr>
          <w:lang w:val="en-AU" w:eastAsia="en-AU"/>
        </w:rPr>
        <w:t xml:space="preserve">of pesticides monitored in </w:t>
      </w:r>
      <w:r w:rsidR="001B73E5">
        <w:rPr>
          <w:lang w:val="en-AU" w:eastAsia="en-AU"/>
        </w:rPr>
        <w:t xml:space="preserve">2017–18 </w:t>
      </w:r>
      <w:r w:rsidR="00A25F80" w:rsidRPr="00D275DD">
        <w:rPr>
          <w:lang w:val="en-AU" w:eastAsia="en-AU"/>
        </w:rPr>
        <w:t xml:space="preserve">were higher than in the previous </w:t>
      </w:r>
      <w:r w:rsidR="00D568E2">
        <w:rPr>
          <w:lang w:val="en-AU" w:eastAsia="en-AU"/>
        </w:rPr>
        <w:t xml:space="preserve">two </w:t>
      </w:r>
      <w:r w:rsidR="00A25F80" w:rsidRPr="00D275DD">
        <w:rPr>
          <w:lang w:val="en-AU" w:eastAsia="en-AU"/>
        </w:rPr>
        <w:t>monitoring</w:t>
      </w:r>
      <w:r w:rsidR="00D568E2">
        <w:rPr>
          <w:lang w:val="en-AU" w:eastAsia="en-AU"/>
        </w:rPr>
        <w:t xml:space="preserve"> </w:t>
      </w:r>
      <w:r w:rsidR="00A25F80" w:rsidRPr="00D275DD">
        <w:rPr>
          <w:lang w:val="en-AU" w:eastAsia="en-AU"/>
        </w:rPr>
        <w:t>year</w:t>
      </w:r>
      <w:r w:rsidR="00D568E2">
        <w:rPr>
          <w:lang w:val="en-AU" w:eastAsia="en-AU"/>
        </w:rPr>
        <w:t>s</w:t>
      </w:r>
      <w:r w:rsidR="00A25F80">
        <w:rPr>
          <w:lang w:val="en-AU" w:eastAsia="en-AU"/>
        </w:rPr>
        <w:t xml:space="preserve"> </w:t>
      </w:r>
      <w:r w:rsidR="00A25F80" w:rsidRPr="00D275DD">
        <w:rPr>
          <w:lang w:val="en-AU" w:eastAsia="en-AU"/>
        </w:rPr>
        <w:t>(</w:t>
      </w:r>
      <w:r w:rsidR="007F03F5" w:rsidRPr="007F03F5">
        <w:rPr>
          <w:lang w:val="en-AU" w:eastAsia="en-AU"/>
        </w:rPr>
        <w:fldChar w:fldCharType="begin"/>
      </w:r>
      <w:r w:rsidR="007F03F5" w:rsidRPr="007F03F5">
        <w:rPr>
          <w:lang w:val="en-AU" w:eastAsia="en-AU"/>
        </w:rPr>
        <w:instrText xml:space="preserve"> REF _Ref535500572 \h </w:instrText>
      </w:r>
      <w:r w:rsidR="007F03F5" w:rsidRPr="00BE05C8">
        <w:rPr>
          <w:lang w:val="en-AU" w:eastAsia="en-AU"/>
        </w:rPr>
        <w:instrText xml:space="preserve"> \* MERGEFORMAT </w:instrText>
      </w:r>
      <w:r w:rsidR="007F03F5" w:rsidRPr="007F03F5">
        <w:rPr>
          <w:lang w:val="en-AU" w:eastAsia="en-AU"/>
        </w:rPr>
      </w:r>
      <w:r w:rsidR="007F03F5" w:rsidRPr="007F03F5">
        <w:rPr>
          <w:lang w:val="en-AU" w:eastAsia="en-AU"/>
        </w:rPr>
        <w:fldChar w:fldCharType="separate"/>
      </w:r>
      <w:r w:rsidR="00251B46" w:rsidRPr="00210B7C">
        <w:t xml:space="preserve">Table </w:t>
      </w:r>
      <w:r w:rsidR="00251B46" w:rsidRPr="00251B46">
        <w:rPr>
          <w:noProof/>
        </w:rPr>
        <w:t>5</w:t>
      </w:r>
      <w:r w:rsidR="007F03F5" w:rsidRPr="007F03F5">
        <w:rPr>
          <w:lang w:val="en-AU" w:eastAsia="en-AU"/>
        </w:rPr>
        <w:fldChar w:fldCharType="end"/>
      </w:r>
      <w:r w:rsidR="00A25F80" w:rsidRPr="007F03F5">
        <w:rPr>
          <w:lang w:val="en-AU" w:eastAsia="en-AU"/>
        </w:rPr>
        <w:t>; f</w:t>
      </w:r>
      <w:r w:rsidR="00A25F80" w:rsidRPr="00D275DD">
        <w:rPr>
          <w:lang w:val="en-AU" w:eastAsia="en-AU"/>
        </w:rPr>
        <w:t xml:space="preserve">or historical data, see </w:t>
      </w:r>
      <w:r w:rsidR="00A25F80" w:rsidRPr="00D275DD">
        <w:rPr>
          <w:lang w:val="en-AU" w:eastAsia="en-AU"/>
        </w:rPr>
        <w:fldChar w:fldCharType="begin"/>
      </w:r>
      <w:r w:rsidR="00A25F80" w:rsidRPr="00D275DD">
        <w:rPr>
          <w:lang w:val="en-AU" w:eastAsia="en-AU"/>
        </w:rPr>
        <w:instrText xml:space="preserve"> REF _Ref480739744 \h  \* MERGEFORMAT </w:instrText>
      </w:r>
      <w:r w:rsidR="00A25F80" w:rsidRPr="00D275DD">
        <w:rPr>
          <w:lang w:val="en-AU" w:eastAsia="en-AU"/>
        </w:rPr>
      </w:r>
      <w:r w:rsidR="00A25F80" w:rsidRPr="00D275DD">
        <w:rPr>
          <w:lang w:val="en-AU" w:eastAsia="en-AU"/>
        </w:rPr>
        <w:fldChar w:fldCharType="separate"/>
      </w:r>
      <w:r w:rsidR="00251B46" w:rsidRPr="00251B46">
        <w:rPr>
          <w:lang w:val="en-AU" w:eastAsia="en-AU"/>
        </w:rPr>
        <w:t>Figure H</w:t>
      </w:r>
      <w:r w:rsidR="00251B46" w:rsidRPr="00251B46">
        <w:rPr>
          <w:lang w:val="en-AU" w:eastAsia="en-AU"/>
        </w:rPr>
        <w:noBreakHyphen/>
        <w:t>1</w:t>
      </w:r>
      <w:r w:rsidR="00A25F80" w:rsidRPr="00D275DD">
        <w:rPr>
          <w:lang w:val="en-AU" w:eastAsia="en-AU"/>
        </w:rPr>
        <w:fldChar w:fldCharType="end"/>
      </w:r>
      <w:r w:rsidR="00A25F80" w:rsidRPr="00D275DD">
        <w:rPr>
          <w:lang w:val="en-AU" w:eastAsia="en-AU"/>
        </w:rPr>
        <w:t xml:space="preserve">). </w:t>
      </w:r>
      <w:r w:rsidR="008F04FE" w:rsidRPr="00691CC8">
        <w:t xml:space="preserve">The </w:t>
      </w:r>
      <w:r w:rsidR="005E2B71">
        <w:rPr>
          <w:lang w:val="en-AU" w:eastAsia="en-AU"/>
        </w:rPr>
        <w:t>ms</w:t>
      </w:r>
      <w:r w:rsidR="005E2B71">
        <w:rPr>
          <w:lang w:val="en-AU" w:eastAsia="en-AU"/>
        </w:rPr>
        <w:noBreakHyphen/>
        <w:t>PAF</w:t>
      </w:r>
      <w:r w:rsidR="008F04FE" w:rsidRPr="00691CC8">
        <w:rPr>
          <w:lang w:val="en-AU" w:eastAsia="en-AU"/>
        </w:rPr>
        <w:t xml:space="preserve"> values in </w:t>
      </w:r>
      <w:r w:rsidR="001B73E5" w:rsidRPr="00691CC8">
        <w:rPr>
          <w:lang w:val="en-AU" w:eastAsia="en-AU"/>
        </w:rPr>
        <w:t xml:space="preserve">2017–18 </w:t>
      </w:r>
      <w:r w:rsidR="000C20BF" w:rsidRPr="00691CC8">
        <w:rPr>
          <w:lang w:val="en-AU" w:eastAsia="en-AU"/>
        </w:rPr>
        <w:t xml:space="preserve">at </w:t>
      </w:r>
      <w:r w:rsidR="00EB548A" w:rsidRPr="00691CC8">
        <w:rPr>
          <w:lang w:val="en-AU" w:eastAsia="en-AU"/>
        </w:rPr>
        <w:t xml:space="preserve">this site </w:t>
      </w:r>
      <w:r w:rsidR="00691CC8" w:rsidRPr="00691CC8">
        <w:t xml:space="preserve">met the </w:t>
      </w:r>
      <w:r w:rsidR="00691CC8" w:rsidRPr="00691CC8">
        <w:rPr>
          <w:lang w:eastAsia="en-AU"/>
        </w:rPr>
        <w:t xml:space="preserve">desired </w:t>
      </w:r>
      <w:r w:rsidR="00691CC8" w:rsidRPr="00691CC8">
        <w:t xml:space="preserve">very low risk category 5: protective of 99% of species (i.e. less than 1% of species are affected) </w:t>
      </w:r>
      <w:r w:rsidR="008F04FE" w:rsidRPr="00691CC8">
        <w:rPr>
          <w:lang w:val="en-AU" w:eastAsia="en-AU"/>
        </w:rPr>
        <w:t xml:space="preserve">for </w:t>
      </w:r>
      <w:r w:rsidR="008C782B">
        <w:rPr>
          <w:lang w:val="en-AU" w:eastAsia="en-AU"/>
        </w:rPr>
        <w:t>all deployments</w:t>
      </w:r>
      <w:r w:rsidR="00E20C0E" w:rsidRPr="00691CC8">
        <w:rPr>
          <w:lang w:val="en-AU" w:eastAsia="en-AU"/>
        </w:rPr>
        <w:t xml:space="preserve">. </w:t>
      </w:r>
    </w:p>
    <w:p w14:paraId="53678927" w14:textId="77777777" w:rsidR="00DA29C8" w:rsidRPr="008C782B" w:rsidRDefault="00DA29C8" w:rsidP="002439C8">
      <w:pPr>
        <w:pStyle w:val="Heading3"/>
        <w:jc w:val="left"/>
      </w:pPr>
      <w:bookmarkStart w:id="460" w:name="_Toc14435708"/>
      <w:bookmarkEnd w:id="459"/>
      <w:r w:rsidRPr="008C782B">
        <w:t>High Island</w:t>
      </w:r>
      <w:bookmarkEnd w:id="460"/>
    </w:p>
    <w:p w14:paraId="46057FEC" w14:textId="77777777" w:rsidR="000C20BF" w:rsidRDefault="0058724E" w:rsidP="002439C8">
      <w:pPr>
        <w:spacing w:line="276" w:lineRule="auto"/>
        <w:jc w:val="left"/>
        <w:rPr>
          <w:lang w:val="en-GB" w:eastAsia="en-AU"/>
        </w:rPr>
      </w:pPr>
      <w:r w:rsidRPr="008C782B">
        <w:rPr>
          <w:lang w:val="en-GB" w:eastAsia="en-AU"/>
        </w:rPr>
        <w:t>T</w:t>
      </w:r>
      <w:r w:rsidR="00DA29C8" w:rsidRPr="008C782B">
        <w:rPr>
          <w:lang w:val="en-GB" w:eastAsia="en-AU"/>
        </w:rPr>
        <w:t xml:space="preserve">here is no </w:t>
      </w:r>
      <w:r w:rsidR="00DA29C8" w:rsidRPr="008C782B">
        <w:rPr>
          <w:lang w:val="en-AU" w:eastAsia="en-AU"/>
        </w:rPr>
        <w:t>exceedances of guideline values</w:t>
      </w:r>
      <w:r w:rsidR="00DA29C8" w:rsidRPr="008C782B">
        <w:rPr>
          <w:lang w:val="en-GB" w:eastAsia="en-AU"/>
        </w:rPr>
        <w:t xml:space="preserve"> </w:t>
      </w:r>
      <w:r w:rsidR="00111044" w:rsidRPr="008C782B">
        <w:rPr>
          <w:lang w:val="en-GB" w:eastAsia="en-AU"/>
        </w:rPr>
        <w:t xml:space="preserve">at </w:t>
      </w:r>
      <w:r w:rsidR="00DA29C8" w:rsidRPr="008C782B">
        <w:rPr>
          <w:lang w:val="en-GB" w:eastAsia="en-AU"/>
        </w:rPr>
        <w:t>the High Island site</w:t>
      </w:r>
      <w:r w:rsidRPr="008C782B">
        <w:rPr>
          <w:lang w:val="en-GB" w:eastAsia="en-AU"/>
        </w:rPr>
        <w:t xml:space="preserve"> in </w:t>
      </w:r>
      <w:r w:rsidR="001B73E5" w:rsidRPr="008C782B">
        <w:rPr>
          <w:lang w:val="en-GB" w:eastAsia="en-AU"/>
        </w:rPr>
        <w:t>2017–18</w:t>
      </w:r>
      <w:r w:rsidR="00DA29C8" w:rsidRPr="008C782B">
        <w:rPr>
          <w:lang w:val="en-GB" w:eastAsia="en-AU"/>
        </w:rPr>
        <w:t>.</w:t>
      </w:r>
      <w:r w:rsidR="00DA29C8">
        <w:rPr>
          <w:lang w:val="en-GB" w:eastAsia="en-AU"/>
        </w:rPr>
        <w:t xml:space="preserve"> </w:t>
      </w:r>
    </w:p>
    <w:p w14:paraId="5C096A02" w14:textId="77777777" w:rsidR="00315DA4" w:rsidRDefault="00315DA4" w:rsidP="002439C8">
      <w:pPr>
        <w:spacing w:line="276" w:lineRule="auto"/>
        <w:jc w:val="left"/>
        <w:rPr>
          <w:lang w:val="en-GB" w:eastAsia="en-AU"/>
        </w:rPr>
      </w:pPr>
    </w:p>
    <w:p w14:paraId="7034B06E" w14:textId="77777777" w:rsidR="000C20BF" w:rsidRPr="007B5109" w:rsidRDefault="00315DA4" w:rsidP="002439C8">
      <w:pPr>
        <w:pStyle w:val="ListParagraph"/>
        <w:numPr>
          <w:ilvl w:val="0"/>
          <w:numId w:val="30"/>
        </w:numPr>
        <w:spacing w:line="276" w:lineRule="auto"/>
        <w:jc w:val="left"/>
        <w:rPr>
          <w:lang w:val="en-GB" w:eastAsia="en-AU"/>
        </w:rPr>
      </w:pPr>
      <w:r>
        <w:rPr>
          <w:lang w:val="en-GB" w:eastAsia="en-AU"/>
        </w:rPr>
        <w:t>For passive samplers</w:t>
      </w:r>
    </w:p>
    <w:p w14:paraId="306166C5" w14:textId="251AD5EE" w:rsidR="00DA29C8" w:rsidRDefault="00702B5D" w:rsidP="002439C8">
      <w:pPr>
        <w:spacing w:line="276" w:lineRule="auto"/>
        <w:jc w:val="left"/>
        <w:rPr>
          <w:lang w:val="en-AU" w:eastAsia="en-AU"/>
        </w:rPr>
      </w:pPr>
      <w:r w:rsidRPr="000C20BF">
        <w:rPr>
          <w:lang w:val="en-GB" w:eastAsia="en-AU"/>
        </w:rPr>
        <w:t>The m</w:t>
      </w:r>
      <w:r w:rsidR="00DA29C8" w:rsidRPr="000C20BF">
        <w:rPr>
          <w:lang w:val="en-AU"/>
        </w:rPr>
        <w:t xml:space="preserve">aximum concentration of PSII herbicides </w:t>
      </w:r>
      <w:r w:rsidR="00111044">
        <w:rPr>
          <w:lang w:val="en-AU"/>
        </w:rPr>
        <w:t>at</w:t>
      </w:r>
      <w:r w:rsidR="00111044" w:rsidRPr="000C20BF">
        <w:rPr>
          <w:lang w:val="en-AU"/>
        </w:rPr>
        <w:t xml:space="preserve"> </w:t>
      </w:r>
      <w:r w:rsidRPr="000C20BF">
        <w:rPr>
          <w:lang w:val="en-AU"/>
        </w:rPr>
        <w:t>High Island in this monitoring year</w:t>
      </w:r>
      <w:r w:rsidR="00DA29C8" w:rsidRPr="000C20BF">
        <w:rPr>
          <w:lang w:val="en-AU"/>
        </w:rPr>
        <w:t xml:space="preserve"> </w:t>
      </w:r>
      <w:r w:rsidR="00DA29C8" w:rsidRPr="000C20BF">
        <w:rPr>
          <w:lang w:val="en-AU" w:eastAsia="en-AU"/>
        </w:rPr>
        <w:t xml:space="preserve">was </w:t>
      </w:r>
      <w:r w:rsidR="0058724E" w:rsidRPr="000C20BF">
        <w:rPr>
          <w:lang w:val="en-AU" w:eastAsia="en-AU"/>
        </w:rPr>
        <w:t>38.5</w:t>
      </w:r>
      <w:r w:rsidR="00941EB8" w:rsidRPr="004728B1">
        <w:t> </w:t>
      </w:r>
      <w:r w:rsidR="00DA29C8" w:rsidRPr="000C20BF">
        <w:rPr>
          <w:lang w:val="en-AU" w:eastAsia="en-AU"/>
        </w:rPr>
        <w:t>n</w:t>
      </w:r>
      <w:r w:rsidR="00FE6E97">
        <w:rPr>
          <w:lang w:val="en-AU" w:eastAsia="en-AU"/>
        </w:rPr>
        <w:t>g L</w:t>
      </w:r>
      <w:r w:rsidR="005C25EE" w:rsidRPr="00A209AA">
        <w:rPr>
          <w:vertAlign w:val="superscript"/>
          <w:lang w:val="en-AU"/>
        </w:rPr>
        <w:noBreakHyphen/>
        <w:t>1</w:t>
      </w:r>
      <w:r w:rsidR="00DA29C8" w:rsidRPr="000C20BF">
        <w:rPr>
          <w:lang w:val="en-AU" w:eastAsia="en-AU"/>
        </w:rPr>
        <w:t xml:space="preserve"> of </w:t>
      </w:r>
      <w:r w:rsidR="00111044">
        <w:rPr>
          <w:lang w:val="en-AU" w:eastAsia="en-AU"/>
        </w:rPr>
        <w:t>d</w:t>
      </w:r>
      <w:r w:rsidR="00DA29C8" w:rsidRPr="000C20BF">
        <w:rPr>
          <w:lang w:val="en-AU" w:eastAsia="en-AU"/>
        </w:rPr>
        <w:t xml:space="preserve">iuron </w:t>
      </w:r>
      <w:r w:rsidR="0058724E" w:rsidRPr="000C20BF">
        <w:rPr>
          <w:lang w:val="en-AU" w:eastAsia="en-AU"/>
        </w:rPr>
        <w:t>at the start of</w:t>
      </w:r>
      <w:r w:rsidR="00DA29C8" w:rsidRPr="000C20BF">
        <w:rPr>
          <w:lang w:val="en-AU" w:eastAsia="en-AU"/>
        </w:rPr>
        <w:t xml:space="preserve"> the wet season </w:t>
      </w:r>
      <w:r w:rsidR="0058724E" w:rsidRPr="000C20BF">
        <w:rPr>
          <w:lang w:val="en-AU" w:eastAsia="en-AU"/>
        </w:rPr>
        <w:t xml:space="preserve">in </w:t>
      </w:r>
      <w:r w:rsidR="00F53806" w:rsidRPr="000C20BF">
        <w:rPr>
          <w:lang w:val="en-AU" w:eastAsia="en-AU"/>
        </w:rPr>
        <w:t>November</w:t>
      </w:r>
      <w:r w:rsidR="00DA29C8" w:rsidRPr="000C20BF">
        <w:rPr>
          <w:lang w:val="en-AU" w:eastAsia="en-AU"/>
        </w:rPr>
        <w:t xml:space="preserve"> 201</w:t>
      </w:r>
      <w:r w:rsidR="0058724E" w:rsidRPr="000C20BF">
        <w:rPr>
          <w:lang w:val="en-AU" w:eastAsia="en-AU"/>
        </w:rPr>
        <w:t>7</w:t>
      </w:r>
      <w:r w:rsidR="00DA29C8" w:rsidRPr="000C20BF">
        <w:rPr>
          <w:lang w:val="en-AU" w:eastAsia="en-AU"/>
        </w:rPr>
        <w:t>.</w:t>
      </w:r>
      <w:r w:rsidR="0058724E" w:rsidRPr="000C20BF">
        <w:rPr>
          <w:lang w:val="en-AU" w:eastAsia="en-AU"/>
        </w:rPr>
        <w:t xml:space="preserve"> Similar to Low Isles, </w:t>
      </w:r>
      <w:r w:rsidR="0058724E" w:rsidRPr="000C20BF">
        <w:rPr>
          <w:lang w:val="en-AU" w:eastAsia="en-AU"/>
        </w:rPr>
        <w:lastRenderedPageBreak/>
        <w:t>d</w:t>
      </w:r>
      <w:r w:rsidR="00DA29C8" w:rsidRPr="000C20BF">
        <w:rPr>
          <w:lang w:val="en-AU" w:eastAsia="en-AU"/>
        </w:rPr>
        <w:t xml:space="preserve">iuron is usually the pesticide with the highest concentration among the </w:t>
      </w:r>
      <w:r w:rsidR="0058724E" w:rsidRPr="000C20BF">
        <w:rPr>
          <w:lang w:val="en-AU" w:eastAsia="en-AU"/>
        </w:rPr>
        <w:t>pesticide</w:t>
      </w:r>
      <w:r w:rsidR="00DA29C8" w:rsidRPr="000C20BF">
        <w:rPr>
          <w:lang w:val="en-AU" w:eastAsia="en-AU"/>
        </w:rPr>
        <w:t>s monitored in this site.</w:t>
      </w:r>
    </w:p>
    <w:p w14:paraId="23B06251" w14:textId="77777777" w:rsidR="00315DA4" w:rsidRDefault="00D15E43" w:rsidP="002439C8">
      <w:pPr>
        <w:spacing w:line="276" w:lineRule="auto"/>
        <w:jc w:val="left"/>
        <w:rPr>
          <w:lang w:val="en-AU" w:eastAsia="en-AU"/>
        </w:rPr>
      </w:pPr>
      <w:r w:rsidRPr="00D15E43">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40B89398" w14:textId="101FA7F5" w:rsidR="00DA29C8" w:rsidRDefault="0022328F" w:rsidP="002439C8">
      <w:pPr>
        <w:spacing w:line="276" w:lineRule="auto"/>
        <w:jc w:val="left"/>
      </w:pPr>
      <w:r w:rsidRPr="0022328F">
        <w:rPr>
          <w:noProof/>
          <w:lang w:val="en-AU" w:eastAsia="en-AU" w:bidi="ar-SA"/>
        </w:rPr>
        <w:drawing>
          <wp:inline distT="0" distB="0" distL="0" distR="0" wp14:anchorId="3AC73F66" wp14:editId="62E11A90">
            <wp:extent cx="5475938" cy="3240000"/>
            <wp:effectExtent l="0" t="0" r="0" b="0"/>
            <wp:docPr id="13" name="Picture 13" descr="Temporal trends in % of species affected by pesticides by passive (indicated by the black bars) and grab samples (indicated by the spots) in High Island in 2017-18, together with the flow rate of Mulgrave and Russell rivers. Flow data from DNRM Stream Gauging Network." title="Mulgrave and Russell river flows and High Island sample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QAEHS-Research\Mueller Group\Sampling - Consultancy  Projects\AQUATIC PROJECTS\REEF RESCUE MMP\2018\May 2019 revision\NEW Appendix F - May2019\HIGH ISLAND 2017-18 FLOOD GRABS.emf"/>
                    <pic:cNvPicPr>
                      <a:picLocks noChangeAspect="1" noChangeArrowheads="1"/>
                    </pic:cNvPicPr>
                  </pic:nvPicPr>
                  <pic:blipFill>
                    <a:blip r:embed="rId49" cstate="print">
                      <a:extLst>
                        <a:ext uri="{28A0092B-C50C-407E-A947-70E740481C1C}">
                          <a14:useLocalDpi xmlns:a14="http://schemas.microsoft.com/office/drawing/2010/main" val="0"/>
                        </a:ext>
                      </a:extLst>
                    </a:blip>
                    <a:stretch>
                      <a:fillRect/>
                    </a:stretch>
                  </pic:blipFill>
                  <pic:spPr bwMode="auto">
                    <a:xfrm>
                      <a:off x="0" y="0"/>
                      <a:ext cx="5475938" cy="3240000"/>
                    </a:xfrm>
                    <a:prstGeom prst="rect">
                      <a:avLst/>
                    </a:prstGeom>
                    <a:noFill/>
                    <a:ln>
                      <a:noFill/>
                    </a:ln>
                  </pic:spPr>
                </pic:pic>
              </a:graphicData>
            </a:graphic>
          </wp:inline>
        </w:drawing>
      </w:r>
    </w:p>
    <w:p w14:paraId="3623A28C" w14:textId="77777777" w:rsidR="00165FBB" w:rsidRDefault="00165FBB" w:rsidP="002439C8">
      <w:pPr>
        <w:spacing w:line="276" w:lineRule="auto"/>
        <w:jc w:val="left"/>
      </w:pPr>
    </w:p>
    <w:p w14:paraId="224B204B" w14:textId="436C3473" w:rsidR="00954FCA" w:rsidRPr="00CB093C" w:rsidRDefault="007B2A48" w:rsidP="00954FCA">
      <w:pPr>
        <w:pStyle w:val="Caption"/>
        <w:rPr>
          <w:rFonts w:cs="Arial"/>
          <w:i/>
          <w:vanish/>
          <w:color w:val="000000"/>
          <w:specVanish/>
        </w:rPr>
      </w:pPr>
      <w:bookmarkStart w:id="461" w:name="_Toc15042905"/>
      <w:r w:rsidRPr="00581507">
        <w:rPr>
          <w:b w:val="0"/>
          <w:sz w:val="20"/>
        </w:rPr>
        <w:t xml:space="preserve">Figure </w:t>
      </w:r>
      <w:r w:rsidRPr="00581507">
        <w:rPr>
          <w:b w:val="0"/>
          <w:sz w:val="20"/>
        </w:rPr>
        <w:fldChar w:fldCharType="begin"/>
      </w:r>
      <w:r w:rsidRPr="00581507">
        <w:rPr>
          <w:b w:val="0"/>
          <w:sz w:val="20"/>
        </w:rPr>
        <w:instrText xml:space="preserve"> SEQ Figure \* ARABIC </w:instrText>
      </w:r>
      <w:r w:rsidRPr="00581507">
        <w:rPr>
          <w:b w:val="0"/>
          <w:sz w:val="20"/>
        </w:rPr>
        <w:fldChar w:fldCharType="separate"/>
      </w:r>
      <w:r w:rsidR="00251B46">
        <w:rPr>
          <w:b w:val="0"/>
          <w:noProof/>
          <w:sz w:val="20"/>
        </w:rPr>
        <w:t>13</w:t>
      </w:r>
      <w:r w:rsidRPr="00581507">
        <w:rPr>
          <w:b w:val="0"/>
          <w:sz w:val="20"/>
        </w:rPr>
        <w:fldChar w:fldCharType="end"/>
      </w:r>
      <w:r w:rsidRPr="00581507">
        <w:rPr>
          <w:b w:val="0"/>
          <w:sz w:val="20"/>
        </w:rPr>
        <w:t xml:space="preserve">: Temporal trends in % of species affected by pesticides </w:t>
      </w:r>
      <w:r w:rsidR="00315DA4">
        <w:rPr>
          <w:b w:val="0"/>
          <w:sz w:val="20"/>
        </w:rPr>
        <w:t xml:space="preserve">by passive </w:t>
      </w:r>
      <w:bookmarkStart w:id="462" w:name="OLE_LINK2"/>
      <w:r w:rsidRPr="00581507">
        <w:rPr>
          <w:b w:val="0"/>
          <w:sz w:val="20"/>
        </w:rPr>
        <w:t xml:space="preserve">(indicated by the black bars) </w:t>
      </w:r>
      <w:bookmarkEnd w:id="462"/>
      <w:r w:rsidR="00315DA4">
        <w:rPr>
          <w:b w:val="0"/>
          <w:sz w:val="20"/>
        </w:rPr>
        <w:t xml:space="preserve">and grab samples </w:t>
      </w:r>
      <w:r w:rsidR="00315DA4" w:rsidRPr="00581507">
        <w:rPr>
          <w:b w:val="0"/>
          <w:sz w:val="20"/>
        </w:rPr>
        <w:t>(</w:t>
      </w:r>
      <w:r w:rsidR="00315DA4">
        <w:rPr>
          <w:b w:val="0"/>
          <w:sz w:val="20"/>
        </w:rPr>
        <w:t>indicated by the spots)</w:t>
      </w:r>
      <w:r w:rsidR="00315DA4" w:rsidRPr="00581507">
        <w:rPr>
          <w:b w:val="0"/>
          <w:sz w:val="20"/>
        </w:rPr>
        <w:t xml:space="preserve"> </w:t>
      </w:r>
      <w:r w:rsidRPr="00581507">
        <w:rPr>
          <w:b w:val="0"/>
          <w:sz w:val="20"/>
        </w:rPr>
        <w:t xml:space="preserve">in </w:t>
      </w:r>
      <w:r w:rsidR="001A4F56" w:rsidRPr="00581507">
        <w:rPr>
          <w:b w:val="0"/>
          <w:sz w:val="20"/>
        </w:rPr>
        <w:t>High Island</w:t>
      </w:r>
      <w:r w:rsidRPr="00581507">
        <w:rPr>
          <w:b w:val="0"/>
          <w:sz w:val="20"/>
        </w:rPr>
        <w:t xml:space="preserve"> in 2017-18,</w:t>
      </w:r>
      <w:r w:rsidR="00315DA4">
        <w:rPr>
          <w:b w:val="0"/>
          <w:sz w:val="20"/>
        </w:rPr>
        <w:t xml:space="preserve"> </w:t>
      </w:r>
      <w:r w:rsidRPr="00581507">
        <w:rPr>
          <w:b w:val="0"/>
          <w:sz w:val="20"/>
        </w:rPr>
        <w:t xml:space="preserve">together with the flow rate of </w:t>
      </w:r>
      <w:r w:rsidR="001A4F56" w:rsidRPr="00581507">
        <w:rPr>
          <w:b w:val="0"/>
          <w:sz w:val="20"/>
        </w:rPr>
        <w:t>Mulgrave and Russell</w:t>
      </w:r>
      <w:r w:rsidRPr="00581507">
        <w:rPr>
          <w:b w:val="0"/>
          <w:sz w:val="20"/>
        </w:rPr>
        <w:t xml:space="preserve"> river</w:t>
      </w:r>
      <w:r w:rsidR="001A4F56" w:rsidRPr="00581507">
        <w:rPr>
          <w:b w:val="0"/>
          <w:sz w:val="20"/>
        </w:rPr>
        <w:t>s</w:t>
      </w:r>
      <w:r w:rsidRPr="00581507">
        <w:rPr>
          <w:b w:val="0"/>
          <w:sz w:val="20"/>
        </w:rPr>
        <w:t>.</w:t>
      </w:r>
      <w:bookmarkEnd w:id="461"/>
    </w:p>
    <w:p w14:paraId="040303B7" w14:textId="77777777" w:rsidR="007B2A48" w:rsidRPr="00581507" w:rsidRDefault="007B2A48" w:rsidP="002439C8">
      <w:pPr>
        <w:pStyle w:val="Caption"/>
        <w:keepNext/>
        <w:spacing w:line="276" w:lineRule="auto"/>
        <w:rPr>
          <w:b w:val="0"/>
          <w:sz w:val="20"/>
        </w:rPr>
      </w:pPr>
      <w:r w:rsidRPr="00581507">
        <w:rPr>
          <w:b w:val="0"/>
          <w:sz w:val="20"/>
        </w:rPr>
        <w:t xml:space="preserve"> Flow data </w:t>
      </w:r>
      <w:r w:rsidR="00543B6D">
        <w:rPr>
          <w:b w:val="0"/>
          <w:sz w:val="20"/>
        </w:rPr>
        <w:t>from</w:t>
      </w:r>
      <w:r w:rsidRPr="00581507">
        <w:rPr>
          <w:b w:val="0"/>
          <w:sz w:val="20"/>
        </w:rPr>
        <w:t xml:space="preserve"> DNRM Stream Gauging Network.</w:t>
      </w:r>
    </w:p>
    <w:p w14:paraId="02B240A0" w14:textId="77777777" w:rsidR="00701706" w:rsidRDefault="00701706" w:rsidP="002439C8">
      <w:pPr>
        <w:spacing w:line="276" w:lineRule="auto"/>
        <w:jc w:val="left"/>
      </w:pPr>
    </w:p>
    <w:p w14:paraId="0B65F5FF" w14:textId="77777777" w:rsidR="0058724E" w:rsidRDefault="00492D65" w:rsidP="002439C8">
      <w:pPr>
        <w:spacing w:line="276" w:lineRule="auto"/>
        <w:jc w:val="left"/>
        <w:rPr>
          <w:lang w:val="en-AU" w:eastAsia="en-AU"/>
        </w:rPr>
      </w:pPr>
      <w:r>
        <w:rPr>
          <w:lang w:val="en-AU" w:eastAsia="en-AU"/>
        </w:rPr>
        <w:t>At</w:t>
      </w:r>
      <w:r w:rsidR="00F55D0F">
        <w:rPr>
          <w:lang w:val="en-AU" w:eastAsia="en-AU"/>
        </w:rPr>
        <w:t xml:space="preserve"> High Island, t</w:t>
      </w:r>
      <w:r w:rsidR="0058724E">
        <w:rPr>
          <w:lang w:val="en-AU" w:eastAsia="en-AU"/>
        </w:rPr>
        <w:t xml:space="preserve">he maximum concentrations of pesticides monitored in </w:t>
      </w:r>
      <w:r w:rsidR="001B73E5">
        <w:rPr>
          <w:lang w:val="en-AU" w:eastAsia="en-AU"/>
        </w:rPr>
        <w:t>2017–18</w:t>
      </w:r>
      <w:r w:rsidR="0058724E" w:rsidRPr="00D275DD">
        <w:rPr>
          <w:lang w:val="en-AU" w:eastAsia="en-AU"/>
        </w:rPr>
        <w:t xml:space="preserve"> were </w:t>
      </w:r>
      <w:r w:rsidR="00F55D0F">
        <w:rPr>
          <w:lang w:val="en-AU" w:eastAsia="en-AU"/>
        </w:rPr>
        <w:t xml:space="preserve">also </w:t>
      </w:r>
      <w:r w:rsidR="0058724E" w:rsidRPr="00D275DD">
        <w:rPr>
          <w:lang w:val="en-AU" w:eastAsia="en-AU"/>
        </w:rPr>
        <w:t xml:space="preserve">higher than in the previous </w:t>
      </w:r>
      <w:r w:rsidR="0058724E">
        <w:rPr>
          <w:lang w:val="en-AU" w:eastAsia="en-AU"/>
        </w:rPr>
        <w:t xml:space="preserve">two </w:t>
      </w:r>
      <w:r w:rsidR="0058724E" w:rsidRPr="00D275DD">
        <w:rPr>
          <w:lang w:val="en-AU" w:eastAsia="en-AU"/>
        </w:rPr>
        <w:t>monitoring</w:t>
      </w:r>
      <w:r w:rsidR="0058724E">
        <w:rPr>
          <w:lang w:val="en-AU" w:eastAsia="en-AU"/>
        </w:rPr>
        <w:t xml:space="preserve"> </w:t>
      </w:r>
      <w:r w:rsidR="0058724E" w:rsidRPr="00D275DD">
        <w:rPr>
          <w:lang w:val="en-AU" w:eastAsia="en-AU"/>
        </w:rPr>
        <w:t>year</w:t>
      </w:r>
      <w:r w:rsidR="0058724E">
        <w:rPr>
          <w:lang w:val="en-AU" w:eastAsia="en-AU"/>
        </w:rPr>
        <w:t xml:space="preserve">s </w:t>
      </w:r>
      <w:r w:rsidR="0058724E" w:rsidRPr="00D275DD">
        <w:rPr>
          <w:lang w:val="en-AU" w:eastAsia="en-AU"/>
        </w:rPr>
        <w:t>(</w:t>
      </w:r>
      <w:r w:rsidR="0058724E" w:rsidRPr="007F03F5">
        <w:rPr>
          <w:lang w:val="en-AU" w:eastAsia="en-AU"/>
        </w:rPr>
        <w:fldChar w:fldCharType="begin"/>
      </w:r>
      <w:r w:rsidR="0058724E" w:rsidRPr="007F03F5">
        <w:rPr>
          <w:lang w:val="en-AU" w:eastAsia="en-AU"/>
        </w:rPr>
        <w:instrText xml:space="preserve"> REF _Ref535500572 \h </w:instrText>
      </w:r>
      <w:r w:rsidR="0058724E" w:rsidRPr="00BE05C8">
        <w:rPr>
          <w:lang w:val="en-AU" w:eastAsia="en-AU"/>
        </w:rPr>
        <w:instrText xml:space="preserve"> \* MERGEFORMAT </w:instrText>
      </w:r>
      <w:r w:rsidR="0058724E" w:rsidRPr="007F03F5">
        <w:rPr>
          <w:lang w:val="en-AU" w:eastAsia="en-AU"/>
        </w:rPr>
      </w:r>
      <w:r w:rsidR="0058724E" w:rsidRPr="007F03F5">
        <w:rPr>
          <w:lang w:val="en-AU" w:eastAsia="en-AU"/>
        </w:rPr>
        <w:fldChar w:fldCharType="separate"/>
      </w:r>
      <w:r w:rsidR="00251B46" w:rsidRPr="00210B7C">
        <w:t xml:space="preserve">Table </w:t>
      </w:r>
      <w:r w:rsidR="00251B46" w:rsidRPr="00251B46">
        <w:rPr>
          <w:noProof/>
        </w:rPr>
        <w:t>5</w:t>
      </w:r>
      <w:r w:rsidR="0058724E" w:rsidRPr="007F03F5">
        <w:rPr>
          <w:lang w:val="en-AU" w:eastAsia="en-AU"/>
        </w:rPr>
        <w:fldChar w:fldCharType="end"/>
      </w:r>
      <w:r w:rsidR="0058724E" w:rsidRPr="007F03F5">
        <w:rPr>
          <w:lang w:val="en-AU" w:eastAsia="en-AU"/>
        </w:rPr>
        <w:t>; f</w:t>
      </w:r>
      <w:r w:rsidR="0058724E" w:rsidRPr="00D275DD">
        <w:rPr>
          <w:lang w:val="en-AU" w:eastAsia="en-AU"/>
        </w:rPr>
        <w:t xml:space="preserve">or historical data, see </w:t>
      </w:r>
      <w:r w:rsidR="0058724E" w:rsidRPr="00D275DD">
        <w:rPr>
          <w:lang w:val="en-AU" w:eastAsia="en-AU"/>
        </w:rPr>
        <w:fldChar w:fldCharType="begin"/>
      </w:r>
      <w:r w:rsidR="0058724E" w:rsidRPr="00D275DD">
        <w:rPr>
          <w:lang w:val="en-AU" w:eastAsia="en-AU"/>
        </w:rPr>
        <w:instrText xml:space="preserve"> REF _Ref480739744 \h  \* MERGEFORMAT </w:instrText>
      </w:r>
      <w:r w:rsidR="0058724E" w:rsidRPr="00D275DD">
        <w:rPr>
          <w:lang w:val="en-AU" w:eastAsia="en-AU"/>
        </w:rPr>
      </w:r>
      <w:r w:rsidR="0058724E" w:rsidRPr="00D275DD">
        <w:rPr>
          <w:lang w:val="en-AU" w:eastAsia="en-AU"/>
        </w:rPr>
        <w:fldChar w:fldCharType="separate"/>
      </w:r>
      <w:r w:rsidR="00251B46" w:rsidRPr="00251B46">
        <w:rPr>
          <w:lang w:val="en-AU" w:eastAsia="en-AU"/>
        </w:rPr>
        <w:t>Figure H</w:t>
      </w:r>
      <w:r w:rsidR="00251B46" w:rsidRPr="00251B46">
        <w:rPr>
          <w:lang w:val="en-AU" w:eastAsia="en-AU"/>
        </w:rPr>
        <w:noBreakHyphen/>
        <w:t>1</w:t>
      </w:r>
      <w:r w:rsidR="0058724E" w:rsidRPr="00D275DD">
        <w:rPr>
          <w:lang w:val="en-AU" w:eastAsia="en-AU"/>
        </w:rPr>
        <w:fldChar w:fldCharType="end"/>
      </w:r>
      <w:r w:rsidR="0058724E" w:rsidRPr="00D275DD">
        <w:rPr>
          <w:lang w:val="en-AU" w:eastAsia="en-AU"/>
        </w:rPr>
        <w:t xml:space="preserve">). </w:t>
      </w:r>
      <w:r w:rsidR="00255B18">
        <w:rPr>
          <w:lang w:val="en-AU" w:eastAsia="en-AU"/>
        </w:rPr>
        <w:t>It is noted that there was a high concentration detected early in the wet season when the flow is still low.</w:t>
      </w:r>
    </w:p>
    <w:p w14:paraId="619AF022" w14:textId="77777777" w:rsidR="0058724E" w:rsidRDefault="0058724E" w:rsidP="002439C8">
      <w:pPr>
        <w:spacing w:line="276" w:lineRule="auto"/>
        <w:jc w:val="left"/>
        <w:rPr>
          <w:lang w:val="en-AU" w:eastAsia="en-AU"/>
        </w:rPr>
      </w:pPr>
    </w:p>
    <w:p w14:paraId="0FFB378A" w14:textId="4B7252B1" w:rsidR="00AB7CBB" w:rsidRPr="00691CC8" w:rsidRDefault="00AB7CBB" w:rsidP="002439C8">
      <w:pPr>
        <w:spacing w:line="276" w:lineRule="auto"/>
        <w:jc w:val="left"/>
        <w:rPr>
          <w:lang w:val="en-AU" w:eastAsia="en-AU"/>
        </w:rPr>
      </w:pPr>
      <w:r w:rsidRPr="00691CC8">
        <w:t xml:space="preserve">The </w:t>
      </w:r>
      <w:r w:rsidR="005E2B71">
        <w:rPr>
          <w:lang w:val="en-AU" w:eastAsia="en-AU"/>
        </w:rPr>
        <w:t>ms</w:t>
      </w:r>
      <w:r w:rsidR="005E2B71">
        <w:rPr>
          <w:lang w:val="en-AU" w:eastAsia="en-AU"/>
        </w:rPr>
        <w:noBreakHyphen/>
        <w:t>PAF</w:t>
      </w:r>
      <w:r w:rsidRPr="00691CC8">
        <w:rPr>
          <w:lang w:val="en-AU" w:eastAsia="en-AU"/>
        </w:rPr>
        <w:t xml:space="preserve"> values in 2017–18 at this site </w:t>
      </w:r>
      <w:r w:rsidRPr="00691CC8">
        <w:t xml:space="preserve">met the </w:t>
      </w:r>
      <w:r w:rsidRPr="00691CC8">
        <w:rPr>
          <w:lang w:eastAsia="en-AU"/>
        </w:rPr>
        <w:t xml:space="preserve">desired </w:t>
      </w:r>
      <w:r w:rsidRPr="00691CC8">
        <w:t xml:space="preserve">very low risk category 5: protective of 99% of species (i.e. less than 1% of species are affected) </w:t>
      </w:r>
      <w:r w:rsidRPr="00691CC8">
        <w:rPr>
          <w:lang w:val="en-AU" w:eastAsia="en-AU"/>
        </w:rPr>
        <w:t xml:space="preserve">for </w:t>
      </w:r>
      <w:r>
        <w:rPr>
          <w:lang w:val="en-AU" w:eastAsia="en-AU"/>
        </w:rPr>
        <w:t>all deployments</w:t>
      </w:r>
      <w:r w:rsidRPr="00691CC8">
        <w:rPr>
          <w:lang w:val="en-AU" w:eastAsia="en-AU"/>
        </w:rPr>
        <w:t xml:space="preserve">. </w:t>
      </w:r>
    </w:p>
    <w:p w14:paraId="338E629B" w14:textId="77777777" w:rsidR="007B2A48" w:rsidRDefault="007B2A48" w:rsidP="002439C8">
      <w:pPr>
        <w:spacing w:line="276" w:lineRule="auto"/>
        <w:jc w:val="left"/>
        <w:rPr>
          <w:lang w:val="en-AU" w:eastAsia="en-AU"/>
        </w:rPr>
      </w:pPr>
    </w:p>
    <w:p w14:paraId="786993FF" w14:textId="77777777" w:rsidR="00315DA4" w:rsidRPr="00A82BD5" w:rsidRDefault="00315DA4" w:rsidP="002439C8">
      <w:pPr>
        <w:pStyle w:val="ListParagraph"/>
        <w:numPr>
          <w:ilvl w:val="0"/>
          <w:numId w:val="30"/>
        </w:numPr>
        <w:spacing w:line="276" w:lineRule="auto"/>
        <w:jc w:val="left"/>
        <w:rPr>
          <w:lang w:val="en-GB" w:eastAsia="en-AU"/>
        </w:rPr>
      </w:pPr>
      <w:r>
        <w:rPr>
          <w:lang w:val="en-GB" w:eastAsia="en-AU"/>
        </w:rPr>
        <w:t>For grab samples along the transect</w:t>
      </w:r>
    </w:p>
    <w:p w14:paraId="055F869D" w14:textId="77777777" w:rsidR="00861F64" w:rsidRPr="007B5109" w:rsidRDefault="00315DA4" w:rsidP="002439C8">
      <w:pPr>
        <w:spacing w:line="276" w:lineRule="auto"/>
        <w:jc w:val="left"/>
        <w:rPr>
          <w:lang w:val="en-GB" w:eastAsia="en-AU"/>
        </w:rPr>
      </w:pPr>
      <w:r w:rsidRPr="007B5109">
        <w:rPr>
          <w:lang w:val="en-GB" w:eastAsia="en-AU"/>
        </w:rPr>
        <w:t>Grab samples were collected from the Russell/Mul</w:t>
      </w:r>
      <w:r w:rsidRPr="009E78E4">
        <w:rPr>
          <w:lang w:val="en-GB" w:eastAsia="en-AU"/>
        </w:rPr>
        <w:t xml:space="preserve">grave River mouth and High Island (fixed monitoring site) on four occasions (one ambient and three during flow events throughout the wet season). Wet season sampling coincided with the first flow event of the wet season in January 2018, with a subsequent flow in February, followed by the major flow event in March </w:t>
      </w:r>
      <w:r w:rsidRPr="002A2DE2">
        <w:rPr>
          <w:lang w:val="en-GB" w:eastAsia="en-AU"/>
        </w:rPr>
        <w:t xml:space="preserve">2018. The </w:t>
      </w:r>
      <w:r w:rsidRPr="00861F64">
        <w:rPr>
          <w:lang w:val="en-GB" w:eastAsia="en-AU"/>
        </w:rPr>
        <w:t xml:space="preserve">Russell Mulgrave river mouth site was impacted more strongly by primary flood plume water than the High Island site </w:t>
      </w:r>
      <w:r w:rsidR="001B4AE1" w:rsidRPr="00861F64">
        <w:rPr>
          <w:lang w:val="en-GB" w:eastAsia="en-AU"/>
        </w:rPr>
        <w:t xml:space="preserve">returning a mix of low risk (category 4: </w:t>
      </w:r>
      <w:r w:rsidR="00861F64" w:rsidRPr="00861F64">
        <w:t xml:space="preserve">protective of &gt;95% but &lt;99% of species (with a highest return of 3% of species affected) </w:t>
      </w:r>
      <w:r w:rsidR="001B4AE1" w:rsidRPr="00861F64">
        <w:rPr>
          <w:lang w:val="en-GB" w:eastAsia="en-AU"/>
        </w:rPr>
        <w:t xml:space="preserve">and the </w:t>
      </w:r>
      <w:r w:rsidR="002A2DE2" w:rsidRPr="00861F64">
        <w:rPr>
          <w:lang w:eastAsia="en-AU"/>
        </w:rPr>
        <w:t xml:space="preserve">desired </w:t>
      </w:r>
      <w:r w:rsidR="002A2DE2" w:rsidRPr="00861F64">
        <w:t>very low risk category 5: protective of 99% of species (i.e. less than 1% of species are affected)</w:t>
      </w:r>
      <w:r w:rsidRPr="00861F64">
        <w:rPr>
          <w:lang w:val="en-GB" w:eastAsia="en-AU"/>
        </w:rPr>
        <w:t>.</w:t>
      </w:r>
      <w:r w:rsidRPr="007B5109">
        <w:rPr>
          <w:lang w:val="en-GB" w:eastAsia="en-AU"/>
        </w:rPr>
        <w:t xml:space="preserve"> </w:t>
      </w:r>
    </w:p>
    <w:p w14:paraId="3CBBFAF2" w14:textId="77777777" w:rsidR="00315DA4" w:rsidRPr="009E78E4" w:rsidRDefault="00315DA4" w:rsidP="002439C8">
      <w:pPr>
        <w:spacing w:line="276" w:lineRule="auto"/>
        <w:jc w:val="left"/>
        <w:rPr>
          <w:lang w:val="en-GB" w:eastAsia="en-AU"/>
        </w:rPr>
      </w:pPr>
    </w:p>
    <w:p w14:paraId="1296DB73" w14:textId="4214C9E9" w:rsidR="003D2111" w:rsidRDefault="003D2111" w:rsidP="002439C8">
      <w:pPr>
        <w:spacing w:line="276" w:lineRule="auto"/>
        <w:jc w:val="left"/>
        <w:rPr>
          <w:lang w:val="en-GB" w:eastAsia="en-AU"/>
        </w:rPr>
      </w:pPr>
      <w:r>
        <w:rPr>
          <w:lang w:val="en-GB" w:eastAsia="en-AU"/>
        </w:rPr>
        <w:t>Pesticide concentrations in grab samples collected at the river mouth were all below guideline values. Concentrations were higher during the wet season (diuron concentrations between 22 and 35</w:t>
      </w:r>
      <w:r w:rsidR="00961C35">
        <w:rPr>
          <w:lang w:val="en-GB" w:eastAsia="en-AU"/>
        </w:rPr>
        <w:t> ng L</w:t>
      </w:r>
      <w:r w:rsidR="00A209AA" w:rsidRPr="00A209AA">
        <w:rPr>
          <w:vertAlign w:val="superscript"/>
          <w:lang w:val="en-GB" w:eastAsia="en-AU"/>
        </w:rPr>
        <w:noBreakHyphen/>
        <w:t>1</w:t>
      </w:r>
      <w:r>
        <w:rPr>
          <w:lang w:val="en-GB" w:eastAsia="en-AU"/>
        </w:rPr>
        <w:t>) than the dry season, before a decrease was observed in a sample collected on 19 March 2018. This final sample collection closely followed the major flow event of the season, and the additional volume of water may have served to further dilute pesticide loads already delivered by the initial flows of the season. For comparison, concentrations of pesticides in grab samples collected at the river mouth in the previous monitoring year (2016–2017) were significantly higher (</w:t>
      </w:r>
      <w:r w:rsidRPr="003F1773">
        <w:rPr>
          <w:lang w:val="en-GB" w:eastAsia="en-AU"/>
        </w:rPr>
        <w:t>C</w:t>
      </w:r>
      <w:r w:rsidRPr="003F1773">
        <w:rPr>
          <w:vertAlign w:val="subscript"/>
          <w:lang w:val="en-GB" w:eastAsia="en-AU"/>
        </w:rPr>
        <w:t>max</w:t>
      </w:r>
      <w:r>
        <w:rPr>
          <w:lang w:val="en-GB" w:eastAsia="en-AU"/>
        </w:rPr>
        <w:t xml:space="preserve"> diuron of 299</w:t>
      </w:r>
      <w:r w:rsidR="00961C35">
        <w:rPr>
          <w:lang w:val="en-GB" w:eastAsia="en-AU"/>
        </w:rPr>
        <w:t> ng L</w:t>
      </w:r>
      <w:r w:rsidR="00A209AA" w:rsidRPr="00A209AA">
        <w:rPr>
          <w:vertAlign w:val="superscript"/>
          <w:lang w:val="en-GB" w:eastAsia="en-AU"/>
        </w:rPr>
        <w:noBreakHyphen/>
        <w:t>1</w:t>
      </w:r>
      <w:r>
        <w:rPr>
          <w:lang w:val="en-GB" w:eastAsia="en-AU"/>
        </w:rPr>
        <w:t xml:space="preserve">). </w:t>
      </w:r>
    </w:p>
    <w:p w14:paraId="406D93D5" w14:textId="77777777" w:rsidR="003D2111" w:rsidRDefault="003D2111" w:rsidP="002439C8">
      <w:pPr>
        <w:spacing w:line="276" w:lineRule="auto"/>
        <w:jc w:val="left"/>
        <w:rPr>
          <w:lang w:val="en-GB" w:eastAsia="en-AU"/>
        </w:rPr>
      </w:pPr>
    </w:p>
    <w:p w14:paraId="46CD300A" w14:textId="0688CF6A" w:rsidR="003D2111" w:rsidRDefault="003D2111" w:rsidP="002439C8">
      <w:pPr>
        <w:spacing w:line="276" w:lineRule="auto"/>
        <w:jc w:val="left"/>
        <w:rPr>
          <w:lang w:val="en-GB" w:eastAsia="en-AU"/>
        </w:rPr>
      </w:pPr>
      <w:r w:rsidRPr="003F1773">
        <w:rPr>
          <w:lang w:val="en-GB" w:eastAsia="en-AU"/>
        </w:rPr>
        <w:t>Concentrations</w:t>
      </w:r>
      <w:r>
        <w:rPr>
          <w:lang w:val="en-GB" w:eastAsia="en-AU"/>
        </w:rPr>
        <w:t xml:space="preserve"> in grab samples collected at High Island gradually increased over the same time period (January to March 2018), reaching a peak diuron concentration</w:t>
      </w:r>
      <w:r w:rsidR="002A2DE2">
        <w:rPr>
          <w:lang w:val="en-GB" w:eastAsia="en-AU"/>
        </w:rPr>
        <w:t>,</w:t>
      </w:r>
      <w:r>
        <w:rPr>
          <w:lang w:val="en-GB" w:eastAsia="en-AU"/>
        </w:rPr>
        <w:t xml:space="preserve"> </w:t>
      </w:r>
      <w:r w:rsidR="002A2DE2">
        <w:rPr>
          <w:lang w:val="en-GB" w:eastAsia="en-AU"/>
        </w:rPr>
        <w:t xml:space="preserve">although of </w:t>
      </w:r>
      <w:r>
        <w:rPr>
          <w:lang w:val="en-GB" w:eastAsia="en-AU"/>
        </w:rPr>
        <w:t>only 14</w:t>
      </w:r>
      <w:r w:rsidR="00941EB8" w:rsidRPr="004728B1">
        <w:t> </w:t>
      </w:r>
      <w:r>
        <w:rPr>
          <w:lang w:val="en-GB" w:eastAsia="en-AU"/>
        </w:rPr>
        <w:t>ng</w:t>
      </w:r>
      <w:r w:rsidR="005C25EE">
        <w:rPr>
          <w:lang w:val="en-AU" w:eastAsia="en-AU"/>
        </w:rPr>
        <w:t> </w:t>
      </w:r>
      <w:r>
        <w:rPr>
          <w:lang w:val="en-GB" w:eastAsia="en-AU"/>
        </w:rPr>
        <w:t>L</w:t>
      </w:r>
      <w:r w:rsidR="00A209AA" w:rsidRPr="00A209AA">
        <w:rPr>
          <w:vertAlign w:val="superscript"/>
          <w:lang w:val="en-GB" w:eastAsia="en-AU"/>
        </w:rPr>
        <w:noBreakHyphen/>
        <w:t>1</w:t>
      </w:r>
      <w:r w:rsidR="002A2DE2">
        <w:rPr>
          <w:lang w:val="en-GB" w:eastAsia="en-AU"/>
        </w:rPr>
        <w:t xml:space="preserve">, </w:t>
      </w:r>
      <w:r>
        <w:rPr>
          <w:lang w:val="en-GB" w:eastAsia="en-AU"/>
        </w:rPr>
        <w:t xml:space="preserve">on 15 March 2019. Concentrations of pesticides at this site were also lower than those in the previous monitoring year. </w:t>
      </w:r>
      <w:r w:rsidRPr="00DD3EBA">
        <w:rPr>
          <w:lang w:val="en-GB" w:eastAsia="en-AU"/>
        </w:rPr>
        <w:t xml:space="preserve">The </w:t>
      </w:r>
      <w:r w:rsidR="00861F64">
        <w:rPr>
          <w:lang w:val="en-GB" w:eastAsia="en-AU"/>
        </w:rPr>
        <w:t xml:space="preserve">per cent </w:t>
      </w:r>
      <w:r>
        <w:rPr>
          <w:lang w:val="en-GB" w:eastAsia="en-AU"/>
        </w:rPr>
        <w:t xml:space="preserve">of species affected in the grab samples at the river mouth </w:t>
      </w:r>
      <w:r w:rsidR="00861F64">
        <w:rPr>
          <w:lang w:val="en-GB" w:eastAsia="en-AU"/>
        </w:rPr>
        <w:t xml:space="preserve">compared to the High Island site </w:t>
      </w:r>
      <w:r>
        <w:rPr>
          <w:lang w:val="en-GB" w:eastAsia="en-AU"/>
        </w:rPr>
        <w:t xml:space="preserve">once again demonstrating the </w:t>
      </w:r>
      <w:r>
        <w:rPr>
          <w:lang w:val="en-GB" w:eastAsia="en-AU"/>
        </w:rPr>
        <w:lastRenderedPageBreak/>
        <w:t xml:space="preserve">effects of dilution and degradation in the flood plumes with increasing distance from their source. </w:t>
      </w:r>
    </w:p>
    <w:p w14:paraId="48B8CB6B" w14:textId="77777777" w:rsidR="003D2111" w:rsidRDefault="003D2111" w:rsidP="002439C8">
      <w:pPr>
        <w:spacing w:line="276" w:lineRule="auto"/>
        <w:jc w:val="left"/>
        <w:rPr>
          <w:lang w:val="en-GB" w:eastAsia="en-AU"/>
        </w:rPr>
      </w:pPr>
    </w:p>
    <w:p w14:paraId="7460B543" w14:textId="42D2D4C3" w:rsidR="003D2111" w:rsidRDefault="003D2111" w:rsidP="002439C8">
      <w:pPr>
        <w:spacing w:line="276" w:lineRule="auto"/>
        <w:jc w:val="left"/>
        <w:rPr>
          <w:lang w:val="en-GB" w:eastAsia="en-AU"/>
        </w:rPr>
      </w:pPr>
      <w:r w:rsidRPr="00837F61">
        <w:rPr>
          <w:lang w:val="en-GB" w:eastAsia="en-AU"/>
        </w:rPr>
        <w:t xml:space="preserve">The profile of the major pesticides in the grab samples was largely consistent with previous years, with </w:t>
      </w:r>
      <w:r>
        <w:rPr>
          <w:lang w:val="en-GB" w:eastAsia="en-AU"/>
        </w:rPr>
        <w:t>dominant</w:t>
      </w:r>
      <w:r w:rsidRPr="00837F61">
        <w:rPr>
          <w:lang w:val="en-GB" w:eastAsia="en-AU"/>
        </w:rPr>
        <w:t xml:space="preserve"> contributions of atrazine, diuron, hexazinone, imazapic and </w:t>
      </w:r>
      <w:r w:rsidRPr="00E90652">
        <w:rPr>
          <w:lang w:val="en-GB" w:eastAsia="en-AU"/>
        </w:rPr>
        <w:t>imidacloprid (</w:t>
      </w:r>
      <w:r w:rsidRPr="00E90652">
        <w:rPr>
          <w:lang w:val="en-GB" w:eastAsia="en-AU"/>
        </w:rPr>
        <w:fldChar w:fldCharType="begin"/>
      </w:r>
      <w:r w:rsidRPr="00E90652">
        <w:rPr>
          <w:lang w:val="en-GB" w:eastAsia="en-AU"/>
        </w:rPr>
        <w:instrText xml:space="preserve"> REF _Ref480746628 \n \h </w:instrText>
      </w:r>
      <w:r w:rsidR="002439C8">
        <w:rPr>
          <w:lang w:val="en-GB" w:eastAsia="en-AU"/>
        </w:rPr>
        <w:instrText xml:space="preserve"> \* MERGEFORMAT </w:instrText>
      </w:r>
      <w:r w:rsidRPr="00E90652">
        <w:rPr>
          <w:lang w:val="en-GB" w:eastAsia="en-AU"/>
        </w:rPr>
      </w:r>
      <w:r w:rsidRPr="00E90652">
        <w:rPr>
          <w:lang w:val="en-GB" w:eastAsia="en-AU"/>
        </w:rPr>
        <w:fldChar w:fldCharType="separate"/>
      </w:r>
      <w:r w:rsidR="00251B46">
        <w:rPr>
          <w:lang w:val="en-GB" w:eastAsia="en-AU"/>
        </w:rPr>
        <w:t xml:space="preserve">Appendix G </w:t>
      </w:r>
      <w:r w:rsidRPr="00E90652">
        <w:rPr>
          <w:lang w:val="en-GB" w:eastAsia="en-AU"/>
        </w:rPr>
        <w:fldChar w:fldCharType="end"/>
      </w:r>
      <w:r w:rsidRPr="00E90652">
        <w:rPr>
          <w:lang w:val="en-GB" w:eastAsia="en-AU"/>
        </w:rPr>
        <w:fldChar w:fldCharType="begin"/>
      </w:r>
      <w:r w:rsidRPr="00E90652">
        <w:rPr>
          <w:lang w:val="en-GB" w:eastAsia="en-AU"/>
        </w:rPr>
        <w:instrText xml:space="preserve"> REF _Ref480726395 \h </w:instrText>
      </w:r>
      <w:r w:rsidR="002439C8">
        <w:rPr>
          <w:lang w:val="en-GB" w:eastAsia="en-AU"/>
        </w:rPr>
        <w:instrText xml:space="preserve"> \* MERGEFORMAT </w:instrText>
      </w:r>
      <w:r w:rsidRPr="00E90652">
        <w:rPr>
          <w:lang w:val="en-GB" w:eastAsia="en-AU"/>
        </w:rPr>
      </w:r>
      <w:r w:rsidRPr="00E90652">
        <w:rPr>
          <w:lang w:val="en-GB" w:eastAsia="en-AU"/>
        </w:rPr>
        <w:fldChar w:fldCharType="separate"/>
      </w:r>
      <w:r w:rsidR="00251B46" w:rsidRPr="00CC4B66">
        <w:t xml:space="preserve">Table </w:t>
      </w:r>
      <w:r w:rsidR="00251B46">
        <w:rPr>
          <w:noProof/>
        </w:rPr>
        <w:t>G</w:t>
      </w:r>
      <w:r w:rsidR="00251B46" w:rsidRPr="00CC4B66">
        <w:rPr>
          <w:noProof/>
        </w:rPr>
        <w:noBreakHyphen/>
      </w:r>
      <w:r w:rsidR="00251B46">
        <w:rPr>
          <w:noProof/>
        </w:rPr>
        <w:t>1</w:t>
      </w:r>
      <w:r w:rsidRPr="00E90652">
        <w:rPr>
          <w:lang w:val="en-GB" w:eastAsia="en-AU"/>
        </w:rPr>
        <w:fldChar w:fldCharType="end"/>
      </w:r>
      <w:r w:rsidRPr="00E90652">
        <w:rPr>
          <w:lang w:val="en-GB" w:eastAsia="en-AU"/>
        </w:rPr>
        <w:t>).</w:t>
      </w:r>
      <w:r>
        <w:rPr>
          <w:lang w:val="en-GB" w:eastAsia="en-AU"/>
        </w:rPr>
        <w:t xml:space="preserve"> Other pesticides haloxyfop, MCPA, </w:t>
      </w:r>
      <w:r w:rsidR="00FE6E97">
        <w:rPr>
          <w:lang w:val="en-GB" w:eastAsia="en-AU"/>
        </w:rPr>
        <w:t>2,4</w:t>
      </w:r>
      <w:r w:rsidR="00FE6E97">
        <w:rPr>
          <w:lang w:val="en-GB" w:eastAsia="en-AU"/>
        </w:rPr>
        <w:noBreakHyphen/>
        <w:t>D</w:t>
      </w:r>
      <w:r>
        <w:rPr>
          <w:lang w:val="en-GB" w:eastAsia="en-AU"/>
        </w:rPr>
        <w:t xml:space="preserve"> and metsulfuron methyl were frequently detected at the river mouth, but were less frequently detected at further distance from the river mouth at High Island.</w:t>
      </w:r>
    </w:p>
    <w:p w14:paraId="3D16D309" w14:textId="77777777" w:rsidR="003D2111" w:rsidRDefault="003D2111" w:rsidP="002439C8">
      <w:pPr>
        <w:spacing w:line="276" w:lineRule="auto"/>
        <w:jc w:val="left"/>
        <w:rPr>
          <w:lang w:val="en-GB" w:eastAsia="en-AU"/>
        </w:rPr>
      </w:pPr>
    </w:p>
    <w:p w14:paraId="2FAAD850" w14:textId="44F62878" w:rsidR="003D2111" w:rsidRPr="00E90652" w:rsidRDefault="003D2111" w:rsidP="002439C8">
      <w:pPr>
        <w:spacing w:line="276" w:lineRule="auto"/>
        <w:jc w:val="left"/>
        <w:rPr>
          <w:highlight w:val="yellow"/>
          <w:lang w:val="en-GB" w:eastAsia="en-AU"/>
        </w:rPr>
      </w:pPr>
      <w:r>
        <w:rPr>
          <w:lang w:val="en-GB" w:eastAsia="en-AU"/>
        </w:rPr>
        <w:t xml:space="preserve">A similar pesticide profile was observed between the grab and passive samplers at High Island (atrazine, diuron, hexazinone and imidacloprid dominance). The other pesticides, </w:t>
      </w:r>
      <w:r w:rsidRPr="000C67BE">
        <w:rPr>
          <w:lang w:val="en-GB" w:eastAsia="en-AU"/>
        </w:rPr>
        <w:t>haloxyfop, MCPA</w:t>
      </w:r>
      <w:r>
        <w:rPr>
          <w:lang w:val="en-GB" w:eastAsia="en-AU"/>
        </w:rPr>
        <w:t xml:space="preserve"> and</w:t>
      </w:r>
      <w:r w:rsidRPr="000C67BE">
        <w:rPr>
          <w:lang w:val="en-GB" w:eastAsia="en-AU"/>
        </w:rPr>
        <w:t xml:space="preserve"> </w:t>
      </w:r>
      <w:r w:rsidR="00FE6E97">
        <w:rPr>
          <w:lang w:val="en-GB" w:eastAsia="en-AU"/>
        </w:rPr>
        <w:t>2,4</w:t>
      </w:r>
      <w:r w:rsidR="00FE6E97">
        <w:rPr>
          <w:lang w:val="en-GB" w:eastAsia="en-AU"/>
        </w:rPr>
        <w:noBreakHyphen/>
        <w:t>D</w:t>
      </w:r>
      <w:r w:rsidRPr="000C67BE">
        <w:rPr>
          <w:lang w:val="en-GB" w:eastAsia="en-AU"/>
        </w:rPr>
        <w:t xml:space="preserve"> </w:t>
      </w:r>
      <w:r>
        <w:rPr>
          <w:lang w:val="en-GB" w:eastAsia="en-AU"/>
        </w:rPr>
        <w:t>that were less frequently detected in grabs collected at High Island, were found during in many deployment period in the passive samplers, but at very low concentrations (~1</w:t>
      </w:r>
      <w:r w:rsidR="00941EB8" w:rsidRPr="004728B1">
        <w:t> </w:t>
      </w:r>
      <w:r>
        <w:rPr>
          <w:lang w:val="en-GB" w:eastAsia="en-AU"/>
        </w:rPr>
        <w:t>n</w:t>
      </w:r>
      <w:r w:rsidR="00FE6E97">
        <w:rPr>
          <w:lang w:val="en-GB" w:eastAsia="en-AU"/>
        </w:rPr>
        <w:t>g L</w:t>
      </w:r>
      <w:r w:rsidR="005C25EE" w:rsidRPr="00A209AA">
        <w:rPr>
          <w:vertAlign w:val="superscript"/>
          <w:lang w:val="en-AU"/>
        </w:rPr>
        <w:noBreakHyphen/>
        <w:t>1</w:t>
      </w:r>
      <w:r>
        <w:rPr>
          <w:lang w:val="en-GB" w:eastAsia="en-AU"/>
        </w:rPr>
        <w:t>).</w:t>
      </w:r>
    </w:p>
    <w:p w14:paraId="564A8B7B" w14:textId="77777777" w:rsidR="002B723D" w:rsidRPr="0099427D" w:rsidRDefault="002B723D" w:rsidP="002439C8">
      <w:pPr>
        <w:pStyle w:val="Heading3"/>
        <w:jc w:val="left"/>
      </w:pPr>
      <w:bookmarkStart w:id="463" w:name="_Toc14435709"/>
      <w:r>
        <w:t>Normanby Island</w:t>
      </w:r>
      <w:bookmarkEnd w:id="463"/>
    </w:p>
    <w:p w14:paraId="04D5D949" w14:textId="77777777" w:rsidR="00111044" w:rsidRDefault="002B723D" w:rsidP="002439C8">
      <w:pPr>
        <w:spacing w:line="276" w:lineRule="auto"/>
        <w:jc w:val="left"/>
        <w:rPr>
          <w:lang w:val="en-GB" w:eastAsia="en-AU"/>
        </w:rPr>
      </w:pPr>
      <w:r>
        <w:rPr>
          <w:lang w:val="en-GB" w:eastAsia="en-AU"/>
        </w:rPr>
        <w:t xml:space="preserve">There </w:t>
      </w:r>
      <w:r w:rsidR="007B1D20">
        <w:rPr>
          <w:lang w:val="en-GB" w:eastAsia="en-AU"/>
        </w:rPr>
        <w:t>was</w:t>
      </w:r>
      <w:r>
        <w:rPr>
          <w:lang w:val="en-GB" w:eastAsia="en-AU"/>
        </w:rPr>
        <w:t xml:space="preserve"> no </w:t>
      </w:r>
      <w:r>
        <w:rPr>
          <w:lang w:val="en-AU" w:eastAsia="en-AU"/>
        </w:rPr>
        <w:t>exceedance of guideline values</w:t>
      </w:r>
      <w:r>
        <w:rPr>
          <w:lang w:val="en-GB" w:eastAsia="en-AU"/>
        </w:rPr>
        <w:t xml:space="preserve"> in </w:t>
      </w:r>
      <w:r w:rsidR="00FE0063">
        <w:rPr>
          <w:lang w:val="en-GB" w:eastAsia="en-AU"/>
        </w:rPr>
        <w:t>Normanby</w:t>
      </w:r>
      <w:r>
        <w:rPr>
          <w:lang w:val="en-GB" w:eastAsia="en-AU"/>
        </w:rPr>
        <w:t xml:space="preserve"> Island site i</w:t>
      </w:r>
      <w:r w:rsidRPr="008756CF">
        <w:rPr>
          <w:lang w:val="en-GB" w:eastAsia="en-AU"/>
        </w:rPr>
        <w:t xml:space="preserve">n </w:t>
      </w:r>
      <w:r w:rsidR="001B73E5">
        <w:rPr>
          <w:lang w:val="en-GB" w:eastAsia="en-AU"/>
        </w:rPr>
        <w:t>2017–18</w:t>
      </w:r>
      <w:r>
        <w:rPr>
          <w:lang w:val="en-GB" w:eastAsia="en-AU"/>
        </w:rPr>
        <w:t xml:space="preserve">. </w:t>
      </w:r>
    </w:p>
    <w:p w14:paraId="1AFD72B4" w14:textId="77777777" w:rsidR="00111044" w:rsidRDefault="00111044" w:rsidP="002439C8">
      <w:pPr>
        <w:spacing w:line="276" w:lineRule="auto"/>
        <w:jc w:val="left"/>
        <w:rPr>
          <w:lang w:val="en-GB" w:eastAsia="en-AU"/>
        </w:rPr>
      </w:pPr>
    </w:p>
    <w:p w14:paraId="08262B2D" w14:textId="43A7C6E2" w:rsidR="002B723D" w:rsidRDefault="002B723D" w:rsidP="002439C8">
      <w:pPr>
        <w:spacing w:line="276" w:lineRule="auto"/>
        <w:jc w:val="left"/>
        <w:rPr>
          <w:lang w:val="en-AU" w:eastAsia="en-AU"/>
        </w:rPr>
      </w:pPr>
      <w:r w:rsidRPr="00111044">
        <w:rPr>
          <w:lang w:val="en-GB" w:eastAsia="en-AU"/>
        </w:rPr>
        <w:t>The m</w:t>
      </w:r>
      <w:r w:rsidRPr="00111044">
        <w:rPr>
          <w:lang w:val="en-AU"/>
        </w:rPr>
        <w:t xml:space="preserve">aximum concentration of PSII herbicides </w:t>
      </w:r>
      <w:r w:rsidR="00111044" w:rsidRPr="00111044">
        <w:rPr>
          <w:lang w:val="en-AU"/>
        </w:rPr>
        <w:t xml:space="preserve">at </w:t>
      </w:r>
      <w:r w:rsidR="005B4174" w:rsidRPr="00111044">
        <w:rPr>
          <w:lang w:val="en-AU"/>
        </w:rPr>
        <w:t>Normanby</w:t>
      </w:r>
      <w:r w:rsidRPr="00111044">
        <w:rPr>
          <w:lang w:val="en-AU"/>
        </w:rPr>
        <w:t xml:space="preserve"> Island in this monitoring year </w:t>
      </w:r>
      <w:r w:rsidRPr="00111044">
        <w:rPr>
          <w:lang w:val="en-AU" w:eastAsia="en-AU"/>
        </w:rPr>
        <w:t xml:space="preserve">was </w:t>
      </w:r>
      <w:r w:rsidR="00721284" w:rsidRPr="00111044">
        <w:rPr>
          <w:lang w:val="en-AU" w:eastAsia="en-AU"/>
        </w:rPr>
        <w:t>6</w:t>
      </w:r>
      <w:r w:rsidRPr="00111044">
        <w:rPr>
          <w:lang w:val="en-AU" w:eastAsia="en-AU"/>
        </w:rPr>
        <w:t>.</w:t>
      </w:r>
      <w:r w:rsidR="00721284" w:rsidRPr="00111044">
        <w:rPr>
          <w:lang w:val="en-AU" w:eastAsia="en-AU"/>
        </w:rPr>
        <w:t>4</w:t>
      </w:r>
      <w:r w:rsidR="00941EB8" w:rsidRPr="004728B1">
        <w:t> </w:t>
      </w:r>
      <w:r w:rsidRPr="00111044">
        <w:rPr>
          <w:lang w:val="en-AU" w:eastAsia="en-AU"/>
        </w:rPr>
        <w:t>n</w:t>
      </w:r>
      <w:r w:rsidR="00FE6E97">
        <w:rPr>
          <w:lang w:val="en-AU" w:eastAsia="en-AU"/>
        </w:rPr>
        <w:t>g L</w:t>
      </w:r>
      <w:r w:rsidR="005C25EE" w:rsidRPr="00A209AA">
        <w:rPr>
          <w:vertAlign w:val="superscript"/>
          <w:lang w:val="en-AU"/>
        </w:rPr>
        <w:noBreakHyphen/>
        <w:t>1</w:t>
      </w:r>
      <w:r w:rsidRPr="00111044">
        <w:rPr>
          <w:lang w:val="en-AU" w:eastAsia="en-AU"/>
        </w:rPr>
        <w:t xml:space="preserve"> of </w:t>
      </w:r>
      <w:r w:rsidR="00111044">
        <w:rPr>
          <w:lang w:val="en-AU" w:eastAsia="en-AU"/>
        </w:rPr>
        <w:t>d</w:t>
      </w:r>
      <w:r w:rsidR="00111044" w:rsidRPr="00111044">
        <w:rPr>
          <w:lang w:val="en-AU" w:eastAsia="en-AU"/>
        </w:rPr>
        <w:t xml:space="preserve">iuron </w:t>
      </w:r>
      <w:r w:rsidR="00721284" w:rsidRPr="00111044">
        <w:rPr>
          <w:lang w:val="en-AU" w:eastAsia="en-AU"/>
        </w:rPr>
        <w:t>in Mar</w:t>
      </w:r>
      <w:r w:rsidR="00111044">
        <w:rPr>
          <w:lang w:val="en-AU" w:eastAsia="en-AU"/>
        </w:rPr>
        <w:t>ch</w:t>
      </w:r>
      <w:r w:rsidR="00721284" w:rsidRPr="00111044">
        <w:rPr>
          <w:lang w:val="en-AU" w:eastAsia="en-AU"/>
        </w:rPr>
        <w:t xml:space="preserve"> 2018 during</w:t>
      </w:r>
      <w:r w:rsidRPr="00111044">
        <w:rPr>
          <w:lang w:val="en-AU" w:eastAsia="en-AU"/>
        </w:rPr>
        <w:t xml:space="preserve"> the wet season. </w:t>
      </w:r>
      <w:r w:rsidR="00721284" w:rsidRPr="00111044">
        <w:rPr>
          <w:lang w:val="en-AU" w:eastAsia="en-AU"/>
        </w:rPr>
        <w:t>Again</w:t>
      </w:r>
      <w:r w:rsidRPr="00111044">
        <w:rPr>
          <w:lang w:val="en-AU" w:eastAsia="en-AU"/>
        </w:rPr>
        <w:t xml:space="preserve">, the pesticide with the highest concentration </w:t>
      </w:r>
      <w:r w:rsidR="00111044">
        <w:rPr>
          <w:lang w:val="en-AU" w:eastAsia="en-AU"/>
        </w:rPr>
        <w:t>at</w:t>
      </w:r>
      <w:r w:rsidR="00111044" w:rsidRPr="00111044">
        <w:rPr>
          <w:lang w:val="en-AU" w:eastAsia="en-AU"/>
        </w:rPr>
        <w:t xml:space="preserve"> </w:t>
      </w:r>
      <w:r w:rsidR="00721284" w:rsidRPr="00111044">
        <w:rPr>
          <w:lang w:val="en-AU" w:eastAsia="en-AU"/>
        </w:rPr>
        <w:t xml:space="preserve">this site is </w:t>
      </w:r>
      <w:r w:rsidR="00111044">
        <w:rPr>
          <w:lang w:val="en-AU" w:eastAsia="en-AU"/>
        </w:rPr>
        <w:t>d</w:t>
      </w:r>
      <w:r w:rsidR="00111044" w:rsidRPr="00111044">
        <w:rPr>
          <w:lang w:val="en-AU" w:eastAsia="en-AU"/>
        </w:rPr>
        <w:t>iuron</w:t>
      </w:r>
      <w:r w:rsidRPr="00111044">
        <w:rPr>
          <w:lang w:val="en-AU" w:eastAsia="en-AU"/>
        </w:rPr>
        <w:t>.</w:t>
      </w:r>
    </w:p>
    <w:p w14:paraId="2D216E7E" w14:textId="77777777" w:rsidR="00941EB8" w:rsidRDefault="00941EB8" w:rsidP="002439C8">
      <w:pPr>
        <w:spacing w:line="276" w:lineRule="auto"/>
        <w:jc w:val="left"/>
        <w:rPr>
          <w:lang w:val="en-AU" w:eastAsia="en-AU"/>
        </w:rPr>
      </w:pPr>
    </w:p>
    <w:p w14:paraId="3B531146" w14:textId="7706254B" w:rsidR="002B723D" w:rsidRDefault="00941EB8" w:rsidP="002439C8">
      <w:pPr>
        <w:spacing w:line="276" w:lineRule="auto"/>
        <w:jc w:val="left"/>
        <w:rPr>
          <w:lang w:val="en-AU" w:eastAsia="en-AU"/>
        </w:rPr>
      </w:pPr>
      <w:r>
        <w:rPr>
          <w:lang w:val="en-AU" w:eastAsia="en-AU"/>
        </w:rPr>
        <w:t>At Normanby Island, the maximum concentrations of pesticides monitored in 2017–18</w:t>
      </w:r>
      <w:r w:rsidRPr="00D275DD">
        <w:rPr>
          <w:lang w:val="en-AU" w:eastAsia="en-AU"/>
        </w:rPr>
        <w:t xml:space="preserve"> were higher than in </w:t>
      </w:r>
      <w:r>
        <w:rPr>
          <w:lang w:val="en-AU" w:eastAsia="en-AU"/>
        </w:rPr>
        <w:t xml:space="preserve">2015–2016 and 2014–2015, </w:t>
      </w:r>
      <w:r w:rsidRPr="00D275DD">
        <w:rPr>
          <w:lang w:val="en-AU" w:eastAsia="en-AU"/>
        </w:rPr>
        <w:t xml:space="preserve">the </w:t>
      </w:r>
      <w:r>
        <w:rPr>
          <w:lang w:val="en-AU" w:eastAsia="en-AU"/>
        </w:rPr>
        <w:t xml:space="preserve">two recent </w:t>
      </w:r>
      <w:r w:rsidRPr="00D275DD">
        <w:rPr>
          <w:lang w:val="en-AU" w:eastAsia="en-AU"/>
        </w:rPr>
        <w:t>monitoring</w:t>
      </w:r>
      <w:r>
        <w:rPr>
          <w:lang w:val="en-AU" w:eastAsia="en-AU"/>
        </w:rPr>
        <w:t xml:space="preserve"> </w:t>
      </w:r>
      <w:r w:rsidRPr="00D275DD">
        <w:rPr>
          <w:lang w:val="en-AU" w:eastAsia="en-AU"/>
        </w:rPr>
        <w:t>year</w:t>
      </w:r>
      <w:r>
        <w:rPr>
          <w:lang w:val="en-AU" w:eastAsia="en-AU"/>
        </w:rPr>
        <w:t xml:space="preserve">s where the data are available. In 2016-2017, there was no data </w:t>
      </w:r>
      <w:r w:rsidRPr="00D275DD">
        <w:rPr>
          <w:lang w:val="en-AU" w:eastAsia="en-AU"/>
        </w:rPr>
        <w:t>(</w:t>
      </w:r>
      <w:r w:rsidRPr="007F03F5">
        <w:rPr>
          <w:lang w:val="en-AU" w:eastAsia="en-AU"/>
        </w:rPr>
        <w:fldChar w:fldCharType="begin"/>
      </w:r>
      <w:r w:rsidRPr="007F03F5">
        <w:rPr>
          <w:lang w:val="en-AU" w:eastAsia="en-AU"/>
        </w:rPr>
        <w:instrText xml:space="preserve"> REF _Ref535500572 \h </w:instrText>
      </w:r>
      <w:r w:rsidRPr="00BE05C8">
        <w:rPr>
          <w:lang w:val="en-AU" w:eastAsia="en-AU"/>
        </w:rPr>
        <w:instrText xml:space="preserve"> \* MERGEFORMAT </w:instrText>
      </w:r>
      <w:r w:rsidRPr="007F03F5">
        <w:rPr>
          <w:lang w:val="en-AU" w:eastAsia="en-AU"/>
        </w:rPr>
      </w:r>
      <w:r w:rsidRPr="007F03F5">
        <w:rPr>
          <w:lang w:val="en-AU" w:eastAsia="en-AU"/>
        </w:rPr>
        <w:fldChar w:fldCharType="separate"/>
      </w:r>
      <w:r w:rsidR="00251B46" w:rsidRPr="00210B7C">
        <w:t xml:space="preserve">Table </w:t>
      </w:r>
      <w:r w:rsidR="00251B46" w:rsidRPr="00251B46">
        <w:rPr>
          <w:noProof/>
        </w:rPr>
        <w:t>5</w:t>
      </w:r>
      <w:r w:rsidRPr="007F03F5">
        <w:rPr>
          <w:lang w:val="en-AU" w:eastAsia="en-AU"/>
        </w:rPr>
        <w:fldChar w:fldCharType="end"/>
      </w:r>
      <w:r w:rsidRPr="007F03F5">
        <w:rPr>
          <w:lang w:val="en-AU" w:eastAsia="en-AU"/>
        </w:rPr>
        <w:t>; f</w:t>
      </w:r>
      <w:r w:rsidRPr="00D275DD">
        <w:rPr>
          <w:lang w:val="en-AU" w:eastAsia="en-AU"/>
        </w:rPr>
        <w:t xml:space="preserve">or historical data, see </w:t>
      </w:r>
      <w:r w:rsidRPr="00D275DD">
        <w:rPr>
          <w:lang w:val="en-AU" w:eastAsia="en-AU"/>
        </w:rPr>
        <w:fldChar w:fldCharType="begin"/>
      </w:r>
      <w:r w:rsidRPr="00D275DD">
        <w:rPr>
          <w:lang w:val="en-AU" w:eastAsia="en-AU"/>
        </w:rPr>
        <w:instrText xml:space="preserve"> REF _Ref480739744 \h  \* MERGEFORMAT </w:instrText>
      </w:r>
      <w:r w:rsidRPr="00D275DD">
        <w:rPr>
          <w:lang w:val="en-AU" w:eastAsia="en-AU"/>
        </w:rPr>
      </w:r>
      <w:r w:rsidRPr="00D275DD">
        <w:rPr>
          <w:lang w:val="en-AU" w:eastAsia="en-AU"/>
        </w:rPr>
        <w:fldChar w:fldCharType="separate"/>
      </w:r>
      <w:r w:rsidR="00251B46" w:rsidRPr="00251B46">
        <w:rPr>
          <w:lang w:val="en-AU" w:eastAsia="en-AU"/>
        </w:rPr>
        <w:t>Figure H</w:t>
      </w:r>
      <w:r w:rsidR="00251B46" w:rsidRPr="00251B46">
        <w:rPr>
          <w:lang w:val="en-AU" w:eastAsia="en-AU"/>
        </w:rPr>
        <w:noBreakHyphen/>
        <w:t>1</w:t>
      </w:r>
      <w:r w:rsidRPr="00D275DD">
        <w:rPr>
          <w:lang w:val="en-AU" w:eastAsia="en-AU"/>
        </w:rPr>
        <w:fldChar w:fldCharType="end"/>
      </w:r>
      <w:r w:rsidRPr="00D275DD">
        <w:rPr>
          <w:lang w:val="en-AU" w:eastAsia="en-AU"/>
        </w:rPr>
        <w:t>).</w:t>
      </w:r>
    </w:p>
    <w:p w14:paraId="7FA1A364" w14:textId="77777777" w:rsidR="00941EB8" w:rsidRDefault="00941EB8" w:rsidP="002439C8">
      <w:pPr>
        <w:spacing w:line="276" w:lineRule="auto"/>
        <w:jc w:val="left"/>
        <w:rPr>
          <w:lang w:val="en-AU" w:eastAsia="en-AU"/>
        </w:rPr>
      </w:pPr>
    </w:p>
    <w:p w14:paraId="7787E2D1" w14:textId="77777777" w:rsidR="00941EB8" w:rsidRPr="000D55EA" w:rsidRDefault="00941EB8" w:rsidP="00941EB8">
      <w:pPr>
        <w:spacing w:line="276" w:lineRule="auto"/>
        <w:jc w:val="left"/>
        <w:rPr>
          <w:lang w:val="en-AU" w:eastAsia="en-AU"/>
        </w:rPr>
      </w:pPr>
      <w:r w:rsidRPr="00F67328">
        <w:lastRenderedPageBreak/>
        <w:t xml:space="preserve">The </w:t>
      </w:r>
      <w:r>
        <w:t>ms</w:t>
      </w:r>
      <w:r>
        <w:noBreakHyphen/>
        <w:t>PAF</w:t>
      </w:r>
      <w:r w:rsidRPr="00F67328">
        <w:t xml:space="preserve"> values in 2017–18 at this site met the desired very low risk category 5: protective of 99% of species (i.e. less than 1% of species are affected) for all deployments</w:t>
      </w:r>
      <w:r>
        <w:t>.</w:t>
      </w:r>
    </w:p>
    <w:p w14:paraId="4652FAB7" w14:textId="77777777" w:rsidR="00941EB8" w:rsidRDefault="00941EB8" w:rsidP="002439C8">
      <w:pPr>
        <w:spacing w:line="276" w:lineRule="auto"/>
        <w:jc w:val="left"/>
      </w:pPr>
    </w:p>
    <w:p w14:paraId="7CCA7F8B" w14:textId="3325E483" w:rsidR="009A3302" w:rsidRDefault="0022328F" w:rsidP="002439C8">
      <w:pPr>
        <w:spacing w:line="276" w:lineRule="auto"/>
        <w:jc w:val="left"/>
        <w:rPr>
          <w:lang w:val="en-AU" w:eastAsia="en-AU"/>
        </w:rPr>
      </w:pPr>
      <w:r w:rsidRPr="0022328F">
        <w:rPr>
          <w:noProof/>
          <w:lang w:val="en-AU" w:eastAsia="en-AU" w:bidi="ar-SA"/>
        </w:rPr>
        <w:drawing>
          <wp:inline distT="0" distB="0" distL="0" distR="0" wp14:anchorId="61C8DAF9" wp14:editId="51C5D601">
            <wp:extent cx="5501854" cy="3240000"/>
            <wp:effectExtent l="0" t="0" r="3810" b="0"/>
            <wp:docPr id="7170" name="Picture 7170" descr="Temporal trends in % of species affected by pesticides (indicated by the black bars) in Normanby Island in 2017-18, together with the flow rate of Mulgrave and Russell rivers. Flow data from DNRM Stream Gauging Network." title="Mulgrave and Russell River flows and Normanby Island site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QAEHS-Research\Mueller Group\Sampling - Consultancy  Projects\AQUATIC PROJECTS\REEF RESCUE MMP\2018\May 2019 revision\NEW Appendix F - May2019\NORMANBY 2017-18.emf"/>
                    <pic:cNvPicPr>
                      <a:picLocks noChangeAspect="1" noChangeArrowheads="1"/>
                    </pic:cNvPicPr>
                  </pic:nvPicPr>
                  <pic:blipFill>
                    <a:blip r:embed="rId50" cstate="print">
                      <a:extLst>
                        <a:ext uri="{28A0092B-C50C-407E-A947-70E740481C1C}">
                          <a14:useLocalDpi xmlns:a14="http://schemas.microsoft.com/office/drawing/2010/main" val="0"/>
                        </a:ext>
                      </a:extLst>
                    </a:blip>
                    <a:stretch>
                      <a:fillRect/>
                    </a:stretch>
                  </pic:blipFill>
                  <pic:spPr bwMode="auto">
                    <a:xfrm>
                      <a:off x="0" y="0"/>
                      <a:ext cx="5501854" cy="3240000"/>
                    </a:xfrm>
                    <a:prstGeom prst="rect">
                      <a:avLst/>
                    </a:prstGeom>
                    <a:noFill/>
                    <a:ln>
                      <a:noFill/>
                    </a:ln>
                  </pic:spPr>
                </pic:pic>
              </a:graphicData>
            </a:graphic>
          </wp:inline>
        </w:drawing>
      </w:r>
    </w:p>
    <w:p w14:paraId="03140C3B" w14:textId="77777777" w:rsidR="00165FBB" w:rsidRDefault="00165FBB" w:rsidP="002439C8">
      <w:pPr>
        <w:spacing w:line="276" w:lineRule="auto"/>
        <w:jc w:val="left"/>
        <w:rPr>
          <w:lang w:val="en-AU" w:eastAsia="en-AU"/>
        </w:rPr>
      </w:pPr>
    </w:p>
    <w:p w14:paraId="2924F62C" w14:textId="39CBF7DE" w:rsidR="00954FCA" w:rsidRPr="00CB093C" w:rsidRDefault="00721284" w:rsidP="00954FCA">
      <w:pPr>
        <w:pStyle w:val="Caption"/>
        <w:rPr>
          <w:rFonts w:cs="Arial"/>
          <w:i/>
          <w:vanish/>
          <w:color w:val="000000"/>
          <w:specVanish/>
        </w:rPr>
      </w:pPr>
      <w:bookmarkStart w:id="464" w:name="_Toc15042906"/>
      <w:r w:rsidRPr="0093001B">
        <w:rPr>
          <w:b w:val="0"/>
          <w:sz w:val="20"/>
        </w:rPr>
        <w:t xml:space="preserve">Figure </w:t>
      </w:r>
      <w:r w:rsidRPr="0093001B">
        <w:rPr>
          <w:b w:val="0"/>
          <w:sz w:val="20"/>
        </w:rPr>
        <w:fldChar w:fldCharType="begin"/>
      </w:r>
      <w:r w:rsidRPr="0093001B">
        <w:rPr>
          <w:b w:val="0"/>
          <w:sz w:val="20"/>
        </w:rPr>
        <w:instrText xml:space="preserve"> SEQ Figure \* ARABIC </w:instrText>
      </w:r>
      <w:r w:rsidRPr="0093001B">
        <w:rPr>
          <w:b w:val="0"/>
          <w:sz w:val="20"/>
        </w:rPr>
        <w:fldChar w:fldCharType="separate"/>
      </w:r>
      <w:r w:rsidR="00251B46">
        <w:rPr>
          <w:b w:val="0"/>
          <w:noProof/>
          <w:sz w:val="20"/>
        </w:rPr>
        <w:t>14</w:t>
      </w:r>
      <w:r w:rsidRPr="0093001B">
        <w:rPr>
          <w:b w:val="0"/>
          <w:sz w:val="20"/>
        </w:rPr>
        <w:fldChar w:fldCharType="end"/>
      </w:r>
      <w:r w:rsidRPr="0093001B">
        <w:rPr>
          <w:b w:val="0"/>
          <w:sz w:val="20"/>
        </w:rPr>
        <w:t xml:space="preserve">: Temporal trends in % of species affected by pesticides (indicated by the black bars) in </w:t>
      </w:r>
      <w:r w:rsidR="001F2265">
        <w:rPr>
          <w:b w:val="0"/>
          <w:sz w:val="20"/>
        </w:rPr>
        <w:t>Normanby</w:t>
      </w:r>
      <w:r w:rsidRPr="0093001B">
        <w:rPr>
          <w:b w:val="0"/>
          <w:sz w:val="20"/>
        </w:rPr>
        <w:t xml:space="preserve"> Island in 2017-18, together with the flow rate of Mulgrave and Russell rivers.</w:t>
      </w:r>
      <w:bookmarkEnd w:id="464"/>
    </w:p>
    <w:p w14:paraId="7F8C04E2" w14:textId="77777777" w:rsidR="00721284" w:rsidRPr="0093001B" w:rsidRDefault="00721284" w:rsidP="002439C8">
      <w:pPr>
        <w:pStyle w:val="Caption"/>
        <w:keepNext/>
        <w:spacing w:line="276" w:lineRule="auto"/>
        <w:rPr>
          <w:b w:val="0"/>
          <w:sz w:val="20"/>
        </w:rPr>
      </w:pPr>
      <w:r w:rsidRPr="0093001B">
        <w:rPr>
          <w:b w:val="0"/>
          <w:sz w:val="20"/>
        </w:rPr>
        <w:t xml:space="preserve"> Flow data </w:t>
      </w:r>
      <w:r w:rsidR="00B83A51">
        <w:rPr>
          <w:b w:val="0"/>
          <w:sz w:val="20"/>
        </w:rPr>
        <w:t>from</w:t>
      </w:r>
      <w:r w:rsidRPr="0093001B">
        <w:rPr>
          <w:b w:val="0"/>
          <w:sz w:val="20"/>
        </w:rPr>
        <w:t xml:space="preserve"> DNRM Stream Gauging Network.</w:t>
      </w:r>
    </w:p>
    <w:p w14:paraId="39A44903" w14:textId="77777777" w:rsidR="002B723D" w:rsidRDefault="002B723D" w:rsidP="002439C8">
      <w:pPr>
        <w:spacing w:line="276" w:lineRule="auto"/>
        <w:jc w:val="left"/>
        <w:rPr>
          <w:lang w:val="en-AU" w:eastAsia="en-AU"/>
        </w:rPr>
      </w:pPr>
    </w:p>
    <w:p w14:paraId="5AC2A0A4" w14:textId="77777777" w:rsidR="00255B18" w:rsidRPr="0099427D" w:rsidRDefault="00255B18" w:rsidP="002439C8">
      <w:pPr>
        <w:pStyle w:val="Heading3"/>
        <w:jc w:val="left"/>
      </w:pPr>
      <w:bookmarkStart w:id="465" w:name="_Toc14435710"/>
      <w:r>
        <w:t>Dunk Island</w:t>
      </w:r>
      <w:bookmarkEnd w:id="465"/>
    </w:p>
    <w:p w14:paraId="779991D6" w14:textId="77777777" w:rsidR="000D55EA" w:rsidRDefault="00255B18" w:rsidP="002439C8">
      <w:pPr>
        <w:spacing w:line="276" w:lineRule="auto"/>
        <w:jc w:val="left"/>
        <w:rPr>
          <w:lang w:val="en-GB" w:eastAsia="en-AU"/>
        </w:rPr>
      </w:pPr>
      <w:r>
        <w:rPr>
          <w:lang w:val="en-GB" w:eastAsia="en-AU"/>
        </w:rPr>
        <w:t xml:space="preserve">There is no </w:t>
      </w:r>
      <w:r>
        <w:rPr>
          <w:lang w:val="en-AU" w:eastAsia="en-AU"/>
        </w:rPr>
        <w:t>exceedances of guideline values</w:t>
      </w:r>
      <w:r>
        <w:rPr>
          <w:lang w:val="en-GB" w:eastAsia="en-AU"/>
        </w:rPr>
        <w:t xml:space="preserve"> </w:t>
      </w:r>
      <w:r w:rsidR="000D55EA">
        <w:rPr>
          <w:lang w:val="en-GB" w:eastAsia="en-AU"/>
        </w:rPr>
        <w:t xml:space="preserve">at </w:t>
      </w:r>
      <w:r>
        <w:rPr>
          <w:lang w:val="en-GB" w:eastAsia="en-AU"/>
        </w:rPr>
        <w:t xml:space="preserve">the </w:t>
      </w:r>
      <w:r w:rsidR="001563BA">
        <w:rPr>
          <w:lang w:val="en-GB" w:eastAsia="en-AU"/>
        </w:rPr>
        <w:t>Dunk</w:t>
      </w:r>
      <w:r>
        <w:rPr>
          <w:lang w:val="en-GB" w:eastAsia="en-AU"/>
        </w:rPr>
        <w:t xml:space="preserve"> Island site i</w:t>
      </w:r>
      <w:r w:rsidRPr="008756CF">
        <w:rPr>
          <w:lang w:val="en-GB" w:eastAsia="en-AU"/>
        </w:rPr>
        <w:t xml:space="preserve">n </w:t>
      </w:r>
      <w:r w:rsidR="001B73E5">
        <w:rPr>
          <w:lang w:val="en-GB" w:eastAsia="en-AU"/>
        </w:rPr>
        <w:t>2017–18</w:t>
      </w:r>
      <w:r>
        <w:rPr>
          <w:lang w:val="en-GB" w:eastAsia="en-AU"/>
        </w:rPr>
        <w:t xml:space="preserve">. </w:t>
      </w:r>
    </w:p>
    <w:p w14:paraId="597CABE9" w14:textId="77777777" w:rsidR="000D55EA" w:rsidRDefault="000D55EA" w:rsidP="002439C8">
      <w:pPr>
        <w:spacing w:line="276" w:lineRule="auto"/>
        <w:jc w:val="left"/>
        <w:rPr>
          <w:lang w:val="en-GB" w:eastAsia="en-AU"/>
        </w:rPr>
      </w:pPr>
    </w:p>
    <w:p w14:paraId="1EDBFC83" w14:textId="77777777" w:rsidR="00EC0A1A" w:rsidRPr="007B5109" w:rsidRDefault="00EC0A1A" w:rsidP="002439C8">
      <w:pPr>
        <w:pStyle w:val="ListParagraph"/>
        <w:numPr>
          <w:ilvl w:val="0"/>
          <w:numId w:val="31"/>
        </w:numPr>
        <w:spacing w:line="276" w:lineRule="auto"/>
        <w:jc w:val="left"/>
        <w:rPr>
          <w:lang w:val="en-GB" w:eastAsia="en-AU"/>
        </w:rPr>
      </w:pPr>
      <w:r>
        <w:rPr>
          <w:lang w:val="en-GB" w:eastAsia="en-AU"/>
        </w:rPr>
        <w:t>For passive samplers</w:t>
      </w:r>
    </w:p>
    <w:p w14:paraId="7872F285" w14:textId="5EFD4DB8" w:rsidR="00EC0A1A" w:rsidRDefault="00255B18" w:rsidP="002439C8">
      <w:pPr>
        <w:spacing w:line="276" w:lineRule="auto"/>
        <w:jc w:val="left"/>
        <w:rPr>
          <w:lang w:val="en-AU" w:eastAsia="en-AU"/>
        </w:rPr>
      </w:pPr>
      <w:r w:rsidRPr="000D55EA">
        <w:rPr>
          <w:lang w:val="en-GB" w:eastAsia="en-AU"/>
        </w:rPr>
        <w:lastRenderedPageBreak/>
        <w:t>The m</w:t>
      </w:r>
      <w:r w:rsidRPr="000D55EA">
        <w:rPr>
          <w:lang w:val="en-AU"/>
        </w:rPr>
        <w:t xml:space="preserve">aximum concentration of PSII herbicides </w:t>
      </w:r>
      <w:r w:rsidR="000D55EA" w:rsidRPr="000D55EA">
        <w:rPr>
          <w:lang w:val="en-AU"/>
        </w:rPr>
        <w:t xml:space="preserve">at </w:t>
      </w:r>
      <w:r w:rsidR="001563BA" w:rsidRPr="000D55EA">
        <w:rPr>
          <w:lang w:val="en-AU"/>
        </w:rPr>
        <w:t>Dunk</w:t>
      </w:r>
      <w:r w:rsidRPr="000D55EA">
        <w:rPr>
          <w:lang w:val="en-AU"/>
        </w:rPr>
        <w:t xml:space="preserve"> Island in this monitoring year </w:t>
      </w:r>
      <w:r w:rsidRPr="000D55EA">
        <w:rPr>
          <w:lang w:val="en-AU" w:eastAsia="en-AU"/>
        </w:rPr>
        <w:t xml:space="preserve">was </w:t>
      </w:r>
      <w:r w:rsidR="001563BA" w:rsidRPr="000D55EA">
        <w:rPr>
          <w:lang w:val="en-AU" w:eastAsia="en-AU"/>
        </w:rPr>
        <w:t>27.9</w:t>
      </w:r>
      <w:r w:rsidRPr="000D55EA">
        <w:rPr>
          <w:lang w:val="en-AU" w:eastAsia="en-AU"/>
        </w:rPr>
        <w:t xml:space="preserve"> n</w:t>
      </w:r>
      <w:r w:rsidR="00FE6E97">
        <w:rPr>
          <w:lang w:val="en-AU" w:eastAsia="en-AU"/>
        </w:rPr>
        <w:t>g L</w:t>
      </w:r>
      <w:r w:rsidR="005C25EE" w:rsidRPr="00A209AA">
        <w:rPr>
          <w:vertAlign w:val="superscript"/>
          <w:lang w:val="en-GB" w:eastAsia="en-AU"/>
        </w:rPr>
        <w:noBreakHyphen/>
        <w:t>1</w:t>
      </w:r>
      <w:r w:rsidRPr="000D55EA">
        <w:rPr>
          <w:lang w:val="en-AU" w:eastAsia="en-AU"/>
        </w:rPr>
        <w:t xml:space="preserve"> of </w:t>
      </w:r>
      <w:r w:rsidR="000D55EA" w:rsidRPr="000D55EA">
        <w:rPr>
          <w:lang w:val="en-AU" w:eastAsia="en-AU"/>
        </w:rPr>
        <w:t xml:space="preserve">diuron </w:t>
      </w:r>
      <w:r w:rsidRPr="000D55EA">
        <w:rPr>
          <w:lang w:val="en-AU" w:eastAsia="en-AU"/>
        </w:rPr>
        <w:t xml:space="preserve">in </w:t>
      </w:r>
      <w:r w:rsidR="00C276F9" w:rsidRPr="000D55EA">
        <w:rPr>
          <w:lang w:val="en-AU" w:eastAsia="en-AU"/>
        </w:rPr>
        <w:t>February</w:t>
      </w:r>
      <w:r w:rsidRPr="000D55EA">
        <w:rPr>
          <w:lang w:val="en-AU" w:eastAsia="en-AU"/>
        </w:rPr>
        <w:t xml:space="preserve"> 2018 during the wet season. </w:t>
      </w:r>
      <w:r w:rsidR="003B2772" w:rsidRPr="000D55EA">
        <w:rPr>
          <w:lang w:val="en-AU" w:eastAsia="en-AU"/>
        </w:rPr>
        <w:t>Diuron is still</w:t>
      </w:r>
      <w:r w:rsidRPr="000D55EA">
        <w:rPr>
          <w:lang w:val="en-AU" w:eastAsia="en-AU"/>
        </w:rPr>
        <w:t xml:space="preserve"> the </w:t>
      </w:r>
      <w:r w:rsidR="003B2772" w:rsidRPr="000D55EA">
        <w:rPr>
          <w:lang w:val="en-AU" w:eastAsia="en-AU"/>
        </w:rPr>
        <w:t xml:space="preserve">pesticide with the </w:t>
      </w:r>
      <w:r w:rsidRPr="000D55EA">
        <w:rPr>
          <w:lang w:val="en-AU" w:eastAsia="en-AU"/>
        </w:rPr>
        <w:t>highest concentration in this site.</w:t>
      </w:r>
      <w:r w:rsidR="00EC0A1A" w:rsidRPr="00EC0A1A">
        <w:rPr>
          <w:lang w:val="en-AU" w:eastAsia="en-AU"/>
        </w:rPr>
        <w:t xml:space="preserve"> </w:t>
      </w:r>
    </w:p>
    <w:p w14:paraId="6CCEDCB6" w14:textId="77777777" w:rsidR="00EC0A1A" w:rsidRDefault="00EC0A1A" w:rsidP="002439C8">
      <w:pPr>
        <w:spacing w:line="276" w:lineRule="auto"/>
        <w:jc w:val="left"/>
        <w:rPr>
          <w:lang w:val="en-AU" w:eastAsia="en-AU"/>
        </w:rPr>
      </w:pPr>
    </w:p>
    <w:p w14:paraId="56F630D2" w14:textId="77777777" w:rsidR="00EC0A1A" w:rsidRDefault="00EC0A1A" w:rsidP="002439C8">
      <w:pPr>
        <w:spacing w:line="276" w:lineRule="auto"/>
        <w:jc w:val="left"/>
        <w:rPr>
          <w:lang w:val="en-AU" w:eastAsia="en-AU"/>
        </w:rPr>
      </w:pPr>
      <w:r>
        <w:rPr>
          <w:lang w:val="en-AU" w:eastAsia="en-AU"/>
        </w:rPr>
        <w:t xml:space="preserve">At Dunk Island, the maximum concentrations of pesticides monitored in 2017–18 </w:t>
      </w:r>
      <w:r w:rsidRPr="00D275DD">
        <w:rPr>
          <w:lang w:val="en-AU" w:eastAsia="en-AU"/>
        </w:rPr>
        <w:t xml:space="preserve">were higher than </w:t>
      </w:r>
      <w:r>
        <w:rPr>
          <w:lang w:val="en-AU" w:eastAsia="en-AU"/>
        </w:rPr>
        <w:t xml:space="preserve">in </w:t>
      </w:r>
      <w:r w:rsidRPr="00D275DD">
        <w:rPr>
          <w:lang w:val="en-AU" w:eastAsia="en-AU"/>
        </w:rPr>
        <w:t xml:space="preserve">the </w:t>
      </w:r>
      <w:r>
        <w:rPr>
          <w:lang w:val="en-AU" w:eastAsia="en-AU"/>
        </w:rPr>
        <w:t xml:space="preserve">previous two </w:t>
      </w:r>
      <w:r w:rsidRPr="00D275DD">
        <w:rPr>
          <w:lang w:val="en-AU" w:eastAsia="en-AU"/>
        </w:rPr>
        <w:t>year</w:t>
      </w:r>
      <w:r>
        <w:rPr>
          <w:lang w:val="en-AU" w:eastAsia="en-AU"/>
        </w:rPr>
        <w:t xml:space="preserve">s. The concentrations in 2015–2016 and 2014–2015 were the lowest on record since 2009–2010 </w:t>
      </w:r>
      <w:r w:rsidRPr="00D275DD">
        <w:rPr>
          <w:lang w:val="en-AU" w:eastAsia="en-AU"/>
        </w:rPr>
        <w:t>(</w:t>
      </w:r>
      <w:r w:rsidRPr="007F03F5">
        <w:rPr>
          <w:lang w:val="en-AU" w:eastAsia="en-AU"/>
        </w:rPr>
        <w:fldChar w:fldCharType="begin"/>
      </w:r>
      <w:r w:rsidRPr="007F03F5">
        <w:rPr>
          <w:lang w:val="en-AU" w:eastAsia="en-AU"/>
        </w:rPr>
        <w:instrText xml:space="preserve"> REF _Ref535500572 \h </w:instrText>
      </w:r>
      <w:r w:rsidRPr="00BE05C8">
        <w:rPr>
          <w:lang w:val="en-AU" w:eastAsia="en-AU"/>
        </w:rPr>
        <w:instrText xml:space="preserve"> \* MERGEFORMAT </w:instrText>
      </w:r>
      <w:r w:rsidRPr="007F03F5">
        <w:rPr>
          <w:lang w:val="en-AU" w:eastAsia="en-AU"/>
        </w:rPr>
      </w:r>
      <w:r w:rsidRPr="007F03F5">
        <w:rPr>
          <w:lang w:val="en-AU" w:eastAsia="en-AU"/>
        </w:rPr>
        <w:fldChar w:fldCharType="separate"/>
      </w:r>
      <w:r w:rsidR="00251B46" w:rsidRPr="00210B7C">
        <w:t xml:space="preserve">Table </w:t>
      </w:r>
      <w:r w:rsidR="00251B46" w:rsidRPr="00251B46">
        <w:rPr>
          <w:noProof/>
        </w:rPr>
        <w:t>5</w:t>
      </w:r>
      <w:r w:rsidRPr="007F03F5">
        <w:rPr>
          <w:lang w:val="en-AU" w:eastAsia="en-AU"/>
        </w:rPr>
        <w:fldChar w:fldCharType="end"/>
      </w:r>
      <w:r w:rsidRPr="007F03F5">
        <w:rPr>
          <w:lang w:val="en-AU" w:eastAsia="en-AU"/>
        </w:rPr>
        <w:t>; f</w:t>
      </w:r>
      <w:r w:rsidRPr="00D275DD">
        <w:rPr>
          <w:lang w:val="en-AU" w:eastAsia="en-AU"/>
        </w:rPr>
        <w:t xml:space="preserve">or historical data, see </w:t>
      </w:r>
      <w:r w:rsidRPr="00D275DD">
        <w:rPr>
          <w:lang w:val="en-AU" w:eastAsia="en-AU"/>
        </w:rPr>
        <w:fldChar w:fldCharType="begin"/>
      </w:r>
      <w:r w:rsidRPr="00D275DD">
        <w:rPr>
          <w:lang w:val="en-AU" w:eastAsia="en-AU"/>
        </w:rPr>
        <w:instrText xml:space="preserve"> REF _Ref480739744 \h  \* MERGEFORMAT </w:instrText>
      </w:r>
      <w:r w:rsidRPr="00D275DD">
        <w:rPr>
          <w:lang w:val="en-AU" w:eastAsia="en-AU"/>
        </w:rPr>
      </w:r>
      <w:r w:rsidRPr="00D275DD">
        <w:rPr>
          <w:lang w:val="en-AU" w:eastAsia="en-AU"/>
        </w:rPr>
        <w:fldChar w:fldCharType="separate"/>
      </w:r>
      <w:r w:rsidR="00251B46" w:rsidRPr="00251B46">
        <w:rPr>
          <w:lang w:val="en-AU" w:eastAsia="en-AU"/>
        </w:rPr>
        <w:t>Figure H</w:t>
      </w:r>
      <w:r w:rsidR="00251B46" w:rsidRPr="00251B46">
        <w:rPr>
          <w:lang w:val="en-AU" w:eastAsia="en-AU"/>
        </w:rPr>
        <w:noBreakHyphen/>
        <w:t>1</w:t>
      </w:r>
      <w:r w:rsidRPr="00D275DD">
        <w:rPr>
          <w:lang w:val="en-AU" w:eastAsia="en-AU"/>
        </w:rPr>
        <w:fldChar w:fldCharType="end"/>
      </w:r>
      <w:r w:rsidRPr="00D275DD">
        <w:rPr>
          <w:lang w:val="en-AU" w:eastAsia="en-AU"/>
        </w:rPr>
        <w:t xml:space="preserve">). </w:t>
      </w:r>
    </w:p>
    <w:p w14:paraId="3DBBC81F" w14:textId="77777777" w:rsidR="00255B18" w:rsidRDefault="00255B18" w:rsidP="002439C8">
      <w:pPr>
        <w:spacing w:line="276" w:lineRule="auto"/>
        <w:jc w:val="left"/>
        <w:rPr>
          <w:lang w:val="en-AU" w:eastAsia="en-AU"/>
        </w:rPr>
      </w:pPr>
    </w:p>
    <w:p w14:paraId="013E6965" w14:textId="77777777" w:rsidR="00941EB8" w:rsidRDefault="00941EB8" w:rsidP="00941EB8">
      <w:pPr>
        <w:spacing w:line="276" w:lineRule="auto"/>
        <w:jc w:val="left"/>
        <w:rPr>
          <w:lang w:val="en-AU" w:eastAsia="en-AU"/>
        </w:rPr>
      </w:pPr>
      <w:r w:rsidRPr="001A490D">
        <w:rPr>
          <w:lang w:val="en-AU" w:eastAsia="en-AU"/>
        </w:rPr>
        <w:t xml:space="preserve">The </w:t>
      </w:r>
      <w:r>
        <w:rPr>
          <w:lang w:val="en-AU" w:eastAsia="en-AU"/>
        </w:rPr>
        <w:t>ms</w:t>
      </w:r>
      <w:r>
        <w:rPr>
          <w:lang w:val="en-AU" w:eastAsia="en-AU"/>
        </w:rPr>
        <w:noBreakHyphen/>
        <w:t>PAF</w:t>
      </w:r>
      <w:r w:rsidRPr="001A490D">
        <w:rPr>
          <w:lang w:val="en-AU" w:eastAsia="en-AU"/>
        </w:rPr>
        <w:t xml:space="preserve"> values in 2017–18 at this site met the desired very low risk category 5: protective of 99% of species (i.e. less than 1% of species are affected) for all </w:t>
      </w:r>
      <w:r>
        <w:rPr>
          <w:lang w:val="en-AU" w:eastAsia="en-AU"/>
        </w:rPr>
        <w:t xml:space="preserve">passive sampler </w:t>
      </w:r>
      <w:r w:rsidRPr="001A490D">
        <w:rPr>
          <w:lang w:val="en-AU" w:eastAsia="en-AU"/>
        </w:rPr>
        <w:t>deployments.</w:t>
      </w:r>
    </w:p>
    <w:p w14:paraId="5E326D09" w14:textId="510C7849" w:rsidR="00721284" w:rsidRDefault="0022328F" w:rsidP="002439C8">
      <w:pPr>
        <w:spacing w:line="276" w:lineRule="auto"/>
        <w:jc w:val="left"/>
        <w:rPr>
          <w:lang w:val="en-AU" w:eastAsia="en-AU"/>
        </w:rPr>
      </w:pPr>
      <w:r w:rsidRPr="0022328F">
        <w:rPr>
          <w:noProof/>
          <w:lang w:val="en-AU" w:eastAsia="en-AU" w:bidi="ar-SA"/>
        </w:rPr>
        <w:drawing>
          <wp:inline distT="0" distB="0" distL="0" distR="0" wp14:anchorId="295A05EC" wp14:editId="695F1A28">
            <wp:extent cx="5423920" cy="3240000"/>
            <wp:effectExtent l="0" t="0" r="0" b="0"/>
            <wp:docPr id="7171" name="Picture 7171" descr="Temporal trends in % of species affected by pesticides (indicated by the black bars) in Dunk Island in 2017–18, together with the flow rate of Tully river. Flow data from DNRM Stream Gauging Network." title="Tully River flows and Dunk Island site pesticide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QAEHS-Research\Mueller Group\Sampling - Consultancy  Projects\AQUATIC PROJECTS\REEF RESCUE MMP\2018\May 2019 revision\NEW Appendix F - May2019\TULLY DUNK - 2017-18 FLOOD.emf"/>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423920" cy="3240000"/>
                    </a:xfrm>
                    <a:prstGeom prst="rect">
                      <a:avLst/>
                    </a:prstGeom>
                    <a:noFill/>
                    <a:ln>
                      <a:noFill/>
                    </a:ln>
                  </pic:spPr>
                </pic:pic>
              </a:graphicData>
            </a:graphic>
          </wp:inline>
        </w:drawing>
      </w:r>
    </w:p>
    <w:p w14:paraId="7F5A94D4" w14:textId="77777777" w:rsidR="00165FBB" w:rsidRDefault="00165FBB" w:rsidP="002439C8">
      <w:pPr>
        <w:spacing w:line="276" w:lineRule="auto"/>
        <w:jc w:val="left"/>
        <w:rPr>
          <w:lang w:val="en-AU" w:eastAsia="en-AU"/>
        </w:rPr>
      </w:pPr>
    </w:p>
    <w:p w14:paraId="1128155B" w14:textId="687E28AA" w:rsidR="00954FCA" w:rsidRPr="00CB093C" w:rsidRDefault="003B2772" w:rsidP="00954FCA">
      <w:pPr>
        <w:pStyle w:val="Caption"/>
        <w:rPr>
          <w:rFonts w:cs="Arial"/>
          <w:i/>
          <w:vanish/>
          <w:color w:val="000000"/>
          <w:specVanish/>
        </w:rPr>
      </w:pPr>
      <w:bookmarkStart w:id="466" w:name="_Toc15042907"/>
      <w:r w:rsidRPr="0093001B">
        <w:rPr>
          <w:b w:val="0"/>
          <w:sz w:val="20"/>
        </w:rPr>
        <w:t xml:space="preserve">Figure </w:t>
      </w:r>
      <w:r w:rsidRPr="0093001B">
        <w:rPr>
          <w:b w:val="0"/>
          <w:sz w:val="20"/>
        </w:rPr>
        <w:fldChar w:fldCharType="begin"/>
      </w:r>
      <w:r w:rsidRPr="0093001B">
        <w:rPr>
          <w:b w:val="0"/>
          <w:sz w:val="20"/>
        </w:rPr>
        <w:instrText xml:space="preserve"> SEQ Figure \* ARABIC </w:instrText>
      </w:r>
      <w:r w:rsidRPr="0093001B">
        <w:rPr>
          <w:b w:val="0"/>
          <w:sz w:val="20"/>
        </w:rPr>
        <w:fldChar w:fldCharType="separate"/>
      </w:r>
      <w:r w:rsidR="00251B46">
        <w:rPr>
          <w:b w:val="0"/>
          <w:noProof/>
          <w:sz w:val="20"/>
        </w:rPr>
        <w:t>15</w:t>
      </w:r>
      <w:r w:rsidRPr="0093001B">
        <w:rPr>
          <w:b w:val="0"/>
          <w:sz w:val="20"/>
        </w:rPr>
        <w:fldChar w:fldCharType="end"/>
      </w:r>
      <w:r w:rsidRPr="0093001B">
        <w:rPr>
          <w:b w:val="0"/>
          <w:sz w:val="20"/>
        </w:rPr>
        <w:t xml:space="preserve">: Temporal trends in % of species affected by pesticides (indicated by the black bars) in </w:t>
      </w:r>
      <w:r>
        <w:rPr>
          <w:b w:val="0"/>
          <w:sz w:val="20"/>
        </w:rPr>
        <w:t>Dunk</w:t>
      </w:r>
      <w:r w:rsidRPr="0093001B">
        <w:rPr>
          <w:b w:val="0"/>
          <w:sz w:val="20"/>
        </w:rPr>
        <w:t xml:space="preserve"> </w:t>
      </w:r>
      <w:r>
        <w:rPr>
          <w:b w:val="0"/>
          <w:sz w:val="20"/>
        </w:rPr>
        <w:t>I</w:t>
      </w:r>
      <w:r w:rsidRPr="0093001B">
        <w:rPr>
          <w:b w:val="0"/>
          <w:sz w:val="20"/>
        </w:rPr>
        <w:t xml:space="preserve">sland in </w:t>
      </w:r>
      <w:r w:rsidR="001B73E5">
        <w:rPr>
          <w:b w:val="0"/>
          <w:sz w:val="20"/>
        </w:rPr>
        <w:t>2017–18</w:t>
      </w:r>
      <w:r w:rsidRPr="0093001B">
        <w:rPr>
          <w:b w:val="0"/>
          <w:sz w:val="20"/>
        </w:rPr>
        <w:t xml:space="preserve">, together with the flow rate of </w:t>
      </w:r>
      <w:r>
        <w:rPr>
          <w:b w:val="0"/>
          <w:sz w:val="20"/>
        </w:rPr>
        <w:t>Tully river</w:t>
      </w:r>
      <w:r w:rsidRPr="0093001B">
        <w:rPr>
          <w:b w:val="0"/>
          <w:sz w:val="20"/>
        </w:rPr>
        <w:t>.</w:t>
      </w:r>
      <w:bookmarkEnd w:id="466"/>
    </w:p>
    <w:p w14:paraId="4F8DDE77" w14:textId="77777777" w:rsidR="003B2772" w:rsidRPr="0093001B" w:rsidRDefault="003B2772" w:rsidP="002439C8">
      <w:pPr>
        <w:pStyle w:val="Caption"/>
        <w:keepNext/>
        <w:spacing w:line="276" w:lineRule="auto"/>
        <w:rPr>
          <w:b w:val="0"/>
          <w:sz w:val="20"/>
        </w:rPr>
      </w:pPr>
      <w:r w:rsidRPr="0093001B">
        <w:rPr>
          <w:b w:val="0"/>
          <w:sz w:val="20"/>
        </w:rPr>
        <w:t xml:space="preserve"> Flow data </w:t>
      </w:r>
      <w:r w:rsidR="000D55EA">
        <w:rPr>
          <w:b w:val="0"/>
          <w:sz w:val="20"/>
        </w:rPr>
        <w:t>from</w:t>
      </w:r>
      <w:r w:rsidRPr="0093001B">
        <w:rPr>
          <w:b w:val="0"/>
          <w:sz w:val="20"/>
        </w:rPr>
        <w:t xml:space="preserve"> DNRM Stream Gauging Network.</w:t>
      </w:r>
    </w:p>
    <w:p w14:paraId="109C6029" w14:textId="77777777" w:rsidR="00721284" w:rsidRDefault="00721284" w:rsidP="002439C8">
      <w:pPr>
        <w:spacing w:line="276" w:lineRule="auto"/>
        <w:jc w:val="left"/>
        <w:rPr>
          <w:lang w:val="en-AU" w:eastAsia="en-AU"/>
        </w:rPr>
      </w:pPr>
    </w:p>
    <w:p w14:paraId="29A552F6" w14:textId="77777777" w:rsidR="00EC0A1A" w:rsidRPr="00A82BD5" w:rsidRDefault="00EC0A1A" w:rsidP="002439C8">
      <w:pPr>
        <w:pStyle w:val="ListParagraph"/>
        <w:numPr>
          <w:ilvl w:val="0"/>
          <w:numId w:val="30"/>
        </w:numPr>
        <w:spacing w:line="276" w:lineRule="auto"/>
        <w:jc w:val="left"/>
        <w:rPr>
          <w:lang w:val="en-GB" w:eastAsia="en-AU"/>
        </w:rPr>
      </w:pPr>
      <w:r>
        <w:rPr>
          <w:lang w:val="en-GB" w:eastAsia="en-AU"/>
        </w:rPr>
        <w:t>For grab samples along the transect</w:t>
      </w:r>
    </w:p>
    <w:p w14:paraId="466C8301" w14:textId="77777777" w:rsidR="00EC0A1A" w:rsidRDefault="00EC0A1A" w:rsidP="002439C8">
      <w:pPr>
        <w:spacing w:line="276" w:lineRule="auto"/>
        <w:jc w:val="left"/>
        <w:rPr>
          <w:lang w:val="en-GB" w:eastAsia="en-AU"/>
        </w:rPr>
      </w:pPr>
      <w:r w:rsidRPr="00BD4731">
        <w:rPr>
          <w:lang w:val="en-GB" w:eastAsia="en-AU"/>
        </w:rPr>
        <w:t xml:space="preserve">In the Tully region, a grab sampling </w:t>
      </w:r>
      <w:r w:rsidR="00B353E9">
        <w:rPr>
          <w:lang w:val="en-GB" w:eastAsia="en-AU"/>
        </w:rPr>
        <w:t>campaign</w:t>
      </w:r>
      <w:r w:rsidRPr="00BD4731">
        <w:rPr>
          <w:lang w:val="en-GB" w:eastAsia="en-AU"/>
        </w:rPr>
        <w:t xml:space="preserve"> was undertaken </w:t>
      </w:r>
      <w:r>
        <w:rPr>
          <w:lang w:val="en-GB" w:eastAsia="en-AU"/>
        </w:rPr>
        <w:t>during</w:t>
      </w:r>
      <w:r w:rsidRPr="00BD4731">
        <w:rPr>
          <w:lang w:val="en-GB" w:eastAsia="en-AU"/>
        </w:rPr>
        <w:t xml:space="preserve"> the wet season, with samples collected from three sites</w:t>
      </w:r>
      <w:r w:rsidR="00D15E43">
        <w:rPr>
          <w:lang w:val="en-GB" w:eastAsia="en-AU"/>
        </w:rPr>
        <w:t>,</w:t>
      </w:r>
      <w:r w:rsidRPr="00BD4731">
        <w:rPr>
          <w:lang w:val="en-GB" w:eastAsia="en-AU"/>
        </w:rPr>
        <w:t>Tully River mouth, Bedarra Island directly offshore from the Tully River and Dunk Island</w:t>
      </w:r>
      <w:r w:rsidR="00B353E9">
        <w:rPr>
          <w:lang w:val="en-GB" w:eastAsia="en-AU"/>
        </w:rPr>
        <w:t>,</w:t>
      </w:r>
      <w:r w:rsidRPr="00BD4731">
        <w:rPr>
          <w:lang w:val="en-GB" w:eastAsia="en-AU"/>
        </w:rPr>
        <w:t xml:space="preserve"> which lies to the north of the Tully</w:t>
      </w:r>
      <w:r w:rsidR="00D15E43">
        <w:rPr>
          <w:lang w:val="en-GB" w:eastAsia="en-AU"/>
        </w:rPr>
        <w:t xml:space="preserve"> (Figure 3</w:t>
      </w:r>
      <w:r w:rsidRPr="00BD4731">
        <w:rPr>
          <w:lang w:val="en-GB" w:eastAsia="en-AU"/>
        </w:rPr>
        <w:t xml:space="preserve">). </w:t>
      </w:r>
    </w:p>
    <w:p w14:paraId="4BEA9CD2" w14:textId="77777777" w:rsidR="00492D65" w:rsidRDefault="00492D65" w:rsidP="002439C8">
      <w:pPr>
        <w:spacing w:line="276" w:lineRule="auto"/>
        <w:jc w:val="left"/>
        <w:rPr>
          <w:lang w:val="en-GB" w:eastAsia="en-AU"/>
        </w:rPr>
      </w:pPr>
    </w:p>
    <w:p w14:paraId="028F0DDE" w14:textId="77777777" w:rsidR="00EC0A1A" w:rsidRDefault="00EC0A1A" w:rsidP="002439C8">
      <w:pPr>
        <w:spacing w:line="276" w:lineRule="auto"/>
        <w:jc w:val="left"/>
        <w:rPr>
          <w:lang w:val="en-GB" w:eastAsia="en-AU"/>
        </w:rPr>
      </w:pPr>
      <w:r w:rsidRPr="00BD4731">
        <w:rPr>
          <w:lang w:val="en-GB" w:eastAsia="en-AU"/>
        </w:rPr>
        <w:t xml:space="preserve">The samples were collected </w:t>
      </w:r>
      <w:r w:rsidR="00B353E9" w:rsidRPr="00BD4731">
        <w:rPr>
          <w:lang w:val="en-GB" w:eastAsia="en-AU"/>
        </w:rPr>
        <w:t>on three</w:t>
      </w:r>
      <w:r w:rsidR="00B353E9">
        <w:rPr>
          <w:lang w:val="en-GB" w:eastAsia="en-AU"/>
        </w:rPr>
        <w:t xml:space="preserve"> main </w:t>
      </w:r>
      <w:r w:rsidR="00B353E9" w:rsidRPr="00BD4731">
        <w:rPr>
          <w:lang w:val="en-GB" w:eastAsia="en-AU"/>
        </w:rPr>
        <w:t>occasions</w:t>
      </w:r>
      <w:r w:rsidR="00B353E9">
        <w:rPr>
          <w:lang w:val="en-GB" w:eastAsia="en-AU"/>
        </w:rPr>
        <w:t>,</w:t>
      </w:r>
      <w:r w:rsidR="00B353E9" w:rsidRPr="00BD4731">
        <w:rPr>
          <w:lang w:val="en-GB" w:eastAsia="en-AU"/>
        </w:rPr>
        <w:t xml:space="preserve"> </w:t>
      </w:r>
      <w:r>
        <w:rPr>
          <w:lang w:val="en-GB" w:eastAsia="en-AU"/>
        </w:rPr>
        <w:t>during base flow in June and October 2017 and during the</w:t>
      </w:r>
      <w:r w:rsidRPr="00BD4731">
        <w:rPr>
          <w:lang w:val="en-GB" w:eastAsia="en-AU"/>
        </w:rPr>
        <w:t xml:space="preserve"> major flow events in January/February 201</w:t>
      </w:r>
      <w:r>
        <w:rPr>
          <w:lang w:val="en-GB" w:eastAsia="en-AU"/>
        </w:rPr>
        <w:t>8</w:t>
      </w:r>
      <w:r w:rsidRPr="00BD4731">
        <w:rPr>
          <w:lang w:val="en-GB" w:eastAsia="en-AU"/>
        </w:rPr>
        <w:t xml:space="preserve"> </w:t>
      </w:r>
      <w:r>
        <w:rPr>
          <w:lang w:val="en-GB" w:eastAsia="en-AU"/>
        </w:rPr>
        <w:t>and March 2018</w:t>
      </w:r>
      <w:r w:rsidRPr="00BD4731">
        <w:rPr>
          <w:lang w:val="en-GB" w:eastAsia="en-AU"/>
        </w:rPr>
        <w:t xml:space="preserve">. </w:t>
      </w:r>
      <w:r>
        <w:rPr>
          <w:lang w:val="en-GB" w:eastAsia="en-AU"/>
        </w:rPr>
        <w:t xml:space="preserve">Additionally, four ‘event’ passive samplers to capture shorter-term peaks in flood plume pesticide concentrations, were deployed at Dunk Island over the same time period. </w:t>
      </w:r>
    </w:p>
    <w:p w14:paraId="4513AE80" w14:textId="77777777" w:rsidR="006E77B4" w:rsidRDefault="006E77B4" w:rsidP="002439C8">
      <w:pPr>
        <w:spacing w:line="276" w:lineRule="auto"/>
        <w:jc w:val="left"/>
        <w:rPr>
          <w:lang w:val="en-GB" w:eastAsia="en-AU"/>
        </w:rPr>
      </w:pPr>
    </w:p>
    <w:p w14:paraId="1F1A4ED4" w14:textId="77777777" w:rsidR="00EC0A1A" w:rsidRDefault="00EC0A1A" w:rsidP="002439C8">
      <w:pPr>
        <w:spacing w:line="276" w:lineRule="auto"/>
        <w:jc w:val="left"/>
        <w:rPr>
          <w:lang w:val="en-GB" w:eastAsia="en-AU"/>
        </w:rPr>
      </w:pPr>
      <w:r>
        <w:rPr>
          <w:lang w:val="en-GB" w:eastAsia="en-AU"/>
        </w:rPr>
        <w:t xml:space="preserve">The highest concentrations were detected in the grab sample collected </w:t>
      </w:r>
      <w:r w:rsidR="00610900">
        <w:rPr>
          <w:lang w:val="en-GB" w:eastAsia="en-AU"/>
        </w:rPr>
        <w:t xml:space="preserve">at the Tully River mouth </w:t>
      </w:r>
      <w:r>
        <w:rPr>
          <w:lang w:val="en-GB" w:eastAsia="en-AU"/>
        </w:rPr>
        <w:t xml:space="preserve">following </w:t>
      </w:r>
      <w:r w:rsidR="00D15E43">
        <w:rPr>
          <w:lang w:val="en-GB" w:eastAsia="en-AU"/>
        </w:rPr>
        <w:t>the</w:t>
      </w:r>
      <w:r w:rsidR="00492D65">
        <w:rPr>
          <w:lang w:val="en-GB" w:eastAsia="en-AU"/>
        </w:rPr>
        <w:t xml:space="preserve"> early-February 2018 flow </w:t>
      </w:r>
      <w:r w:rsidRPr="00610900">
        <w:rPr>
          <w:lang w:val="en-GB" w:eastAsia="en-AU"/>
        </w:rPr>
        <w:t>(</w:t>
      </w:r>
      <w:r w:rsidRPr="00610900">
        <w:fldChar w:fldCharType="begin"/>
      </w:r>
      <w:r w:rsidRPr="00610900">
        <w:instrText xml:space="preserve"> REF _Ref480726395 \h  \* MERGEFORMAT </w:instrText>
      </w:r>
      <w:r w:rsidRPr="00610900">
        <w:fldChar w:fldCharType="separate"/>
      </w:r>
      <w:r w:rsidR="00251B46" w:rsidRPr="00CC4B66">
        <w:t xml:space="preserve">Table </w:t>
      </w:r>
      <w:r w:rsidR="00251B46">
        <w:rPr>
          <w:noProof/>
        </w:rPr>
        <w:t>G</w:t>
      </w:r>
      <w:r w:rsidR="00251B46" w:rsidRPr="00CC4B66">
        <w:rPr>
          <w:noProof/>
        </w:rPr>
        <w:noBreakHyphen/>
      </w:r>
      <w:r w:rsidR="00251B46">
        <w:rPr>
          <w:noProof/>
        </w:rPr>
        <w:t>1</w:t>
      </w:r>
      <w:r w:rsidRPr="00610900">
        <w:fldChar w:fldCharType="end"/>
      </w:r>
      <w:r w:rsidRPr="00036ADF">
        <w:rPr>
          <w:lang w:val="en-GB" w:eastAsia="en-AU"/>
        </w:rPr>
        <w:t xml:space="preserve">). </w:t>
      </w:r>
      <w:r>
        <w:rPr>
          <w:lang w:val="en-GB" w:eastAsia="en-AU"/>
        </w:rPr>
        <w:t>Similarly to the Russell Mulgrave transect, the pesticide profile at the river mouth site was dominated by (C</w:t>
      </w:r>
      <w:r w:rsidRPr="00315C22">
        <w:rPr>
          <w:vertAlign w:val="subscript"/>
          <w:lang w:val="en-GB" w:eastAsia="en-AU"/>
        </w:rPr>
        <w:t>max</w:t>
      </w:r>
      <w:r>
        <w:rPr>
          <w:lang w:val="en-GB" w:eastAsia="en-AU"/>
        </w:rPr>
        <w:t xml:space="preserve">): </w:t>
      </w:r>
    </w:p>
    <w:p w14:paraId="4F4EDBD4" w14:textId="0FA93533" w:rsidR="00EC0A1A" w:rsidRPr="00315C22" w:rsidRDefault="00EC0A1A" w:rsidP="002439C8">
      <w:pPr>
        <w:pStyle w:val="ListParagraph"/>
        <w:numPr>
          <w:ilvl w:val="0"/>
          <w:numId w:val="22"/>
        </w:numPr>
        <w:spacing w:line="276" w:lineRule="auto"/>
        <w:jc w:val="left"/>
        <w:rPr>
          <w:lang w:val="en-GB" w:eastAsia="en-AU"/>
        </w:rPr>
      </w:pPr>
      <w:r w:rsidRPr="00315C22">
        <w:rPr>
          <w:lang w:val="en-GB" w:eastAsia="en-AU"/>
        </w:rPr>
        <w:t>diuron 198</w:t>
      </w:r>
      <w:r w:rsidR="00961C35">
        <w:rPr>
          <w:lang w:val="en-GB" w:eastAsia="en-AU"/>
        </w:rPr>
        <w:t> ng L</w:t>
      </w:r>
      <w:r w:rsidR="00A209AA" w:rsidRPr="00A209AA">
        <w:rPr>
          <w:vertAlign w:val="superscript"/>
          <w:lang w:val="en-GB" w:eastAsia="en-AU"/>
        </w:rPr>
        <w:noBreakHyphen/>
        <w:t>1</w:t>
      </w:r>
      <w:r w:rsidRPr="00315C22">
        <w:rPr>
          <w:lang w:val="en-GB" w:eastAsia="en-AU"/>
        </w:rPr>
        <w:t xml:space="preserve"> </w:t>
      </w:r>
    </w:p>
    <w:p w14:paraId="1F54326D" w14:textId="3C95E957" w:rsidR="00EC0A1A" w:rsidRPr="00315C22" w:rsidRDefault="00EC0A1A" w:rsidP="002439C8">
      <w:pPr>
        <w:pStyle w:val="ListParagraph"/>
        <w:numPr>
          <w:ilvl w:val="0"/>
          <w:numId w:val="22"/>
        </w:numPr>
        <w:spacing w:line="276" w:lineRule="auto"/>
        <w:jc w:val="left"/>
        <w:rPr>
          <w:lang w:val="en-GB" w:eastAsia="en-AU"/>
        </w:rPr>
      </w:pPr>
      <w:r w:rsidRPr="00315C22">
        <w:rPr>
          <w:lang w:val="en-GB" w:eastAsia="en-AU"/>
        </w:rPr>
        <w:t>atrazine 154</w:t>
      </w:r>
      <w:r w:rsidR="00961C35">
        <w:rPr>
          <w:lang w:val="en-GB" w:eastAsia="en-AU"/>
        </w:rPr>
        <w:t> ng L</w:t>
      </w:r>
      <w:r w:rsidR="00A209AA" w:rsidRPr="00A209AA">
        <w:rPr>
          <w:vertAlign w:val="superscript"/>
          <w:lang w:val="en-GB" w:eastAsia="en-AU"/>
        </w:rPr>
        <w:noBreakHyphen/>
        <w:t>1</w:t>
      </w:r>
      <w:r w:rsidRPr="00315C22">
        <w:rPr>
          <w:lang w:val="en-GB" w:eastAsia="en-AU"/>
        </w:rPr>
        <w:t xml:space="preserve"> </w:t>
      </w:r>
    </w:p>
    <w:p w14:paraId="7C1F5457" w14:textId="62E47895" w:rsidR="00EC0A1A" w:rsidRPr="00E26079" w:rsidRDefault="00EC0A1A" w:rsidP="002439C8">
      <w:pPr>
        <w:pStyle w:val="ListParagraph"/>
        <w:numPr>
          <w:ilvl w:val="0"/>
          <w:numId w:val="22"/>
        </w:numPr>
        <w:spacing w:line="276" w:lineRule="auto"/>
        <w:jc w:val="left"/>
        <w:rPr>
          <w:lang w:val="en-GB" w:eastAsia="en-AU"/>
        </w:rPr>
      </w:pPr>
      <w:r w:rsidRPr="00E26079">
        <w:rPr>
          <w:lang w:val="en-GB" w:eastAsia="en-AU"/>
        </w:rPr>
        <w:t>hexazinone 159</w:t>
      </w:r>
      <w:r w:rsidR="00961C35">
        <w:rPr>
          <w:lang w:val="en-GB" w:eastAsia="en-AU"/>
        </w:rPr>
        <w:t> ng L</w:t>
      </w:r>
      <w:r w:rsidR="00A209AA" w:rsidRPr="00A209AA">
        <w:rPr>
          <w:vertAlign w:val="superscript"/>
          <w:lang w:val="en-GB" w:eastAsia="en-AU"/>
        </w:rPr>
        <w:noBreakHyphen/>
        <w:t>1</w:t>
      </w:r>
      <w:r w:rsidRPr="00E26079">
        <w:rPr>
          <w:lang w:val="en-GB" w:eastAsia="en-AU"/>
        </w:rPr>
        <w:t xml:space="preserve"> </w:t>
      </w:r>
    </w:p>
    <w:p w14:paraId="58F37827" w14:textId="0B56791D" w:rsidR="00EC0A1A" w:rsidRPr="00E91FA2" w:rsidRDefault="00EC0A1A" w:rsidP="002439C8">
      <w:pPr>
        <w:pStyle w:val="ListParagraph"/>
        <w:numPr>
          <w:ilvl w:val="0"/>
          <w:numId w:val="22"/>
        </w:numPr>
        <w:spacing w:line="276" w:lineRule="auto"/>
        <w:jc w:val="left"/>
        <w:rPr>
          <w:lang w:val="en-GB" w:eastAsia="en-AU"/>
        </w:rPr>
      </w:pPr>
      <w:r w:rsidRPr="00E91FA2">
        <w:rPr>
          <w:lang w:val="en-GB" w:eastAsia="en-AU"/>
        </w:rPr>
        <w:t>imidacloprid 83</w:t>
      </w:r>
      <w:r w:rsidR="00961C35">
        <w:rPr>
          <w:lang w:val="en-GB" w:eastAsia="en-AU"/>
        </w:rPr>
        <w:t> ng L</w:t>
      </w:r>
      <w:r w:rsidR="00A209AA" w:rsidRPr="00A209AA">
        <w:rPr>
          <w:vertAlign w:val="superscript"/>
          <w:lang w:val="en-GB" w:eastAsia="en-AU"/>
        </w:rPr>
        <w:noBreakHyphen/>
        <w:t>1</w:t>
      </w:r>
      <w:r w:rsidRPr="00E91FA2">
        <w:rPr>
          <w:lang w:val="en-GB" w:eastAsia="en-AU"/>
        </w:rPr>
        <w:t xml:space="preserve"> </w:t>
      </w:r>
    </w:p>
    <w:p w14:paraId="0F555566" w14:textId="7B523801" w:rsidR="00EC0A1A" w:rsidRDefault="00EC0A1A" w:rsidP="002439C8">
      <w:pPr>
        <w:pStyle w:val="ListParagraph"/>
        <w:numPr>
          <w:ilvl w:val="0"/>
          <w:numId w:val="22"/>
        </w:numPr>
        <w:spacing w:line="276" w:lineRule="auto"/>
        <w:jc w:val="left"/>
        <w:rPr>
          <w:lang w:val="en-GB" w:eastAsia="en-AU"/>
        </w:rPr>
      </w:pPr>
      <w:r w:rsidRPr="00E91FA2">
        <w:rPr>
          <w:lang w:val="en-GB" w:eastAsia="en-AU"/>
        </w:rPr>
        <w:t>imazapic C</w:t>
      </w:r>
      <w:r w:rsidRPr="00E91FA2">
        <w:rPr>
          <w:vertAlign w:val="subscript"/>
          <w:lang w:val="en-GB" w:eastAsia="en-AU"/>
        </w:rPr>
        <w:t>max</w:t>
      </w:r>
      <w:r w:rsidRPr="00E91FA2">
        <w:rPr>
          <w:lang w:val="en-GB" w:eastAsia="en-AU"/>
        </w:rPr>
        <w:t xml:space="preserve"> 15</w:t>
      </w:r>
      <w:r w:rsidR="00961C35">
        <w:rPr>
          <w:lang w:val="en-GB" w:eastAsia="en-AU"/>
        </w:rPr>
        <w:t> ng L</w:t>
      </w:r>
      <w:r w:rsidR="00A209AA" w:rsidRPr="00A209AA">
        <w:rPr>
          <w:vertAlign w:val="superscript"/>
          <w:lang w:val="en-GB" w:eastAsia="en-AU"/>
        </w:rPr>
        <w:noBreakHyphen/>
        <w:t>1</w:t>
      </w:r>
    </w:p>
    <w:p w14:paraId="57B9ECBD" w14:textId="0E32CA6C" w:rsidR="00EC0A1A" w:rsidRPr="00315C22" w:rsidRDefault="00EC0A1A" w:rsidP="002439C8">
      <w:pPr>
        <w:pStyle w:val="ListParagraph"/>
        <w:numPr>
          <w:ilvl w:val="0"/>
          <w:numId w:val="22"/>
        </w:numPr>
        <w:spacing w:line="276" w:lineRule="auto"/>
        <w:jc w:val="left"/>
        <w:rPr>
          <w:lang w:val="en-GB" w:eastAsia="en-AU"/>
        </w:rPr>
      </w:pPr>
      <w:r w:rsidRPr="00315C22">
        <w:rPr>
          <w:lang w:val="en-GB" w:eastAsia="en-AU"/>
        </w:rPr>
        <w:t xml:space="preserve">metolachlor, </w:t>
      </w:r>
      <w:r w:rsidR="00FE6E97">
        <w:rPr>
          <w:lang w:val="en-GB" w:eastAsia="en-AU"/>
        </w:rPr>
        <w:t>2,4</w:t>
      </w:r>
      <w:r w:rsidR="00FE6E97">
        <w:rPr>
          <w:lang w:val="en-GB" w:eastAsia="en-AU"/>
        </w:rPr>
        <w:noBreakHyphen/>
        <w:t>D</w:t>
      </w:r>
      <w:r w:rsidRPr="00315C22">
        <w:rPr>
          <w:lang w:val="en-GB" w:eastAsia="en-AU"/>
        </w:rPr>
        <w:t xml:space="preserve"> and haloxyfop </w:t>
      </w:r>
      <w:r>
        <w:rPr>
          <w:lang w:val="en-GB" w:eastAsia="en-AU"/>
        </w:rPr>
        <w:t xml:space="preserve">were </w:t>
      </w:r>
      <w:r w:rsidRPr="00315C22">
        <w:rPr>
          <w:lang w:val="en-GB" w:eastAsia="en-AU"/>
        </w:rPr>
        <w:t xml:space="preserve">also frequently detected. </w:t>
      </w:r>
    </w:p>
    <w:p w14:paraId="12BC01D4" w14:textId="77777777" w:rsidR="001C115A" w:rsidRPr="00940379" w:rsidRDefault="001C115A" w:rsidP="002439C8">
      <w:pPr>
        <w:spacing w:line="276" w:lineRule="auto"/>
        <w:jc w:val="left"/>
      </w:pPr>
    </w:p>
    <w:p w14:paraId="519EDC75" w14:textId="2B0B9DBD" w:rsidR="004E215D" w:rsidRDefault="00610900" w:rsidP="002439C8">
      <w:pPr>
        <w:spacing w:line="276" w:lineRule="auto"/>
        <w:jc w:val="left"/>
        <w:rPr>
          <w:lang w:val="en-GB" w:eastAsia="en-AU"/>
        </w:rPr>
      </w:pPr>
      <w:r w:rsidRPr="00940379">
        <w:rPr>
          <w:lang w:val="en-GB" w:eastAsia="en-AU"/>
        </w:rPr>
        <w:t xml:space="preserve">The </w:t>
      </w:r>
      <w:r w:rsidR="004E7139" w:rsidRPr="00940379">
        <w:rPr>
          <w:lang w:val="en-GB" w:eastAsia="en-AU"/>
        </w:rPr>
        <w:t>mixture</w:t>
      </w:r>
      <w:r w:rsidRPr="00940379">
        <w:rPr>
          <w:lang w:val="en-GB" w:eastAsia="en-AU"/>
        </w:rPr>
        <w:t xml:space="preserve"> </w:t>
      </w:r>
      <w:r w:rsidR="005E2B71">
        <w:rPr>
          <w:lang w:val="en-GB" w:eastAsia="en-AU"/>
        </w:rPr>
        <w:t>ms</w:t>
      </w:r>
      <w:r w:rsidR="005E2B71">
        <w:rPr>
          <w:lang w:val="en-GB" w:eastAsia="en-AU"/>
        </w:rPr>
        <w:noBreakHyphen/>
        <w:t>PAF</w:t>
      </w:r>
      <w:r w:rsidRPr="00940379">
        <w:rPr>
          <w:lang w:val="en-GB" w:eastAsia="en-AU"/>
        </w:rPr>
        <w:t xml:space="preserve"> </w:t>
      </w:r>
      <w:r w:rsidR="004E7139" w:rsidRPr="00940379">
        <w:rPr>
          <w:lang w:val="en-GB" w:eastAsia="en-AU"/>
        </w:rPr>
        <w:t xml:space="preserve">assessment returned </w:t>
      </w:r>
      <w:r w:rsidR="00940379" w:rsidRPr="00940379">
        <w:rPr>
          <w:lang w:val="en-GB" w:eastAsia="en-AU"/>
        </w:rPr>
        <w:t>a</w:t>
      </w:r>
      <w:r w:rsidR="004E7139" w:rsidRPr="00940379">
        <w:rPr>
          <w:lang w:val="en-GB" w:eastAsia="en-AU"/>
        </w:rPr>
        <w:t xml:space="preserve"> moderate risk of</w:t>
      </w:r>
      <w:r w:rsidRPr="00940379">
        <w:rPr>
          <w:lang w:val="en-GB" w:eastAsia="en-AU"/>
        </w:rPr>
        <w:t xml:space="preserve"> </w:t>
      </w:r>
      <w:r w:rsidR="004E7139" w:rsidRPr="00940379">
        <w:rPr>
          <w:lang w:val="en-GB" w:eastAsia="en-AU"/>
        </w:rPr>
        <w:t>exposure</w:t>
      </w:r>
      <w:r w:rsidR="00940379" w:rsidRPr="00940379">
        <w:rPr>
          <w:lang w:val="en-GB" w:eastAsia="en-AU"/>
        </w:rPr>
        <w:t xml:space="preserve"> for the sample following the flood </w:t>
      </w:r>
      <w:r w:rsidR="004E7139" w:rsidRPr="00940379">
        <w:rPr>
          <w:lang w:val="en-GB" w:eastAsia="en-AU"/>
        </w:rPr>
        <w:t xml:space="preserve">with </w:t>
      </w:r>
      <w:r w:rsidRPr="00940379">
        <w:rPr>
          <w:lang w:val="en-GB" w:eastAsia="en-AU"/>
        </w:rPr>
        <w:t xml:space="preserve">8% </w:t>
      </w:r>
      <w:r w:rsidR="004E7139" w:rsidRPr="00940379">
        <w:rPr>
          <w:lang w:val="en-GB" w:eastAsia="en-AU"/>
        </w:rPr>
        <w:t xml:space="preserve">of </w:t>
      </w:r>
      <w:r w:rsidRPr="00940379">
        <w:rPr>
          <w:lang w:val="en-GB" w:eastAsia="en-AU"/>
        </w:rPr>
        <w:t xml:space="preserve">species affected </w:t>
      </w:r>
      <w:r w:rsidR="004E7139" w:rsidRPr="00940379">
        <w:rPr>
          <w:lang w:val="en-GB" w:eastAsia="en-AU"/>
        </w:rPr>
        <w:t xml:space="preserve">at the Tully River mouth </w:t>
      </w:r>
      <w:r w:rsidRPr="00940379">
        <w:rPr>
          <w:lang w:val="en-GB" w:eastAsia="en-AU"/>
        </w:rPr>
        <w:t xml:space="preserve">(category 3: </w:t>
      </w:r>
      <w:r w:rsidRPr="00940379">
        <w:rPr>
          <w:lang w:val="en-AU" w:eastAsia="en-AU"/>
        </w:rPr>
        <w:t xml:space="preserve">protective of </w:t>
      </w:r>
      <w:r w:rsidRPr="00940379">
        <w:t>&gt;90% but &lt;95% of species (or 5 to &lt;10% of species affected)</w:t>
      </w:r>
      <w:r w:rsidRPr="00940379">
        <w:rPr>
          <w:lang w:val="en-GB" w:eastAsia="en-AU"/>
        </w:rPr>
        <w:t xml:space="preserve"> (</w:t>
      </w:r>
      <w:r w:rsidRPr="00940379">
        <w:fldChar w:fldCharType="begin"/>
      </w:r>
      <w:r w:rsidRPr="00940379">
        <w:instrText xml:space="preserve"> REF _Ref480726395 \h  \* MERGEFORMAT </w:instrText>
      </w:r>
      <w:r w:rsidRPr="00940379">
        <w:fldChar w:fldCharType="separate"/>
      </w:r>
      <w:r w:rsidR="00251B46" w:rsidRPr="00CC4B66">
        <w:t xml:space="preserve">Table </w:t>
      </w:r>
      <w:r w:rsidR="00251B46">
        <w:rPr>
          <w:noProof/>
        </w:rPr>
        <w:t>G</w:t>
      </w:r>
      <w:r w:rsidR="00251B46" w:rsidRPr="00CC4B66">
        <w:rPr>
          <w:noProof/>
        </w:rPr>
        <w:noBreakHyphen/>
      </w:r>
      <w:r w:rsidR="00251B46">
        <w:rPr>
          <w:noProof/>
        </w:rPr>
        <w:t>1</w:t>
      </w:r>
      <w:r w:rsidRPr="00940379">
        <w:fldChar w:fldCharType="end"/>
      </w:r>
      <w:r w:rsidRPr="00940379">
        <w:rPr>
          <w:lang w:val="en-GB" w:eastAsia="en-AU"/>
        </w:rPr>
        <w:t xml:space="preserve">). Follow-up samples on 12 </w:t>
      </w:r>
      <w:r w:rsidR="001C115A" w:rsidRPr="00940379">
        <w:rPr>
          <w:lang w:val="en-GB" w:eastAsia="en-AU"/>
        </w:rPr>
        <w:t xml:space="preserve">and 14 </w:t>
      </w:r>
      <w:r w:rsidRPr="00940379">
        <w:rPr>
          <w:lang w:val="en-GB" w:eastAsia="en-AU"/>
        </w:rPr>
        <w:t>March returned</w:t>
      </w:r>
      <w:r w:rsidR="004E7139" w:rsidRPr="00940379">
        <w:rPr>
          <w:lang w:val="en-GB" w:eastAsia="en-AU"/>
        </w:rPr>
        <w:t xml:space="preserve"> </w:t>
      </w:r>
      <w:r w:rsidR="001C115A" w:rsidRPr="00940379">
        <w:rPr>
          <w:lang w:val="en-GB" w:eastAsia="en-AU"/>
        </w:rPr>
        <w:t>low</w:t>
      </w:r>
      <w:r w:rsidR="004E7139" w:rsidRPr="00940379">
        <w:rPr>
          <w:lang w:val="en-GB" w:eastAsia="en-AU"/>
        </w:rPr>
        <w:t xml:space="preserve"> risk </w:t>
      </w:r>
      <w:r w:rsidR="001C115A" w:rsidRPr="00940379">
        <w:rPr>
          <w:lang w:val="en-GB" w:eastAsia="en-AU"/>
        </w:rPr>
        <w:t>assessments with</w:t>
      </w:r>
      <w:r w:rsidR="004E7139" w:rsidRPr="00940379">
        <w:rPr>
          <w:lang w:val="en-GB" w:eastAsia="en-AU"/>
        </w:rPr>
        <w:t xml:space="preserve"> 3</w:t>
      </w:r>
      <w:r w:rsidR="001C115A" w:rsidRPr="00940379">
        <w:rPr>
          <w:lang w:val="en-GB" w:eastAsia="en-AU"/>
        </w:rPr>
        <w:t xml:space="preserve"> and 2</w:t>
      </w:r>
      <w:r w:rsidR="004E7139" w:rsidRPr="00940379">
        <w:rPr>
          <w:lang w:val="en-GB" w:eastAsia="en-AU"/>
        </w:rPr>
        <w:t xml:space="preserve">% </w:t>
      </w:r>
      <w:r w:rsidR="001C115A" w:rsidRPr="00940379">
        <w:rPr>
          <w:lang w:val="en-GB" w:eastAsia="en-AU"/>
        </w:rPr>
        <w:t xml:space="preserve">of </w:t>
      </w:r>
      <w:r w:rsidR="004E7139" w:rsidRPr="00940379">
        <w:rPr>
          <w:lang w:val="en-GB" w:eastAsia="en-AU"/>
        </w:rPr>
        <w:t xml:space="preserve">species </w:t>
      </w:r>
      <w:r w:rsidR="001C115A" w:rsidRPr="00940379">
        <w:rPr>
          <w:lang w:val="en-GB" w:eastAsia="en-AU"/>
        </w:rPr>
        <w:t xml:space="preserve">continuing to be affected, respectively (category 4: </w:t>
      </w:r>
      <w:r w:rsidR="001C115A" w:rsidRPr="00940379">
        <w:t>protective of &gt;95% but &lt;99% of species (or 1 to &lt;5% of species affected)</w:t>
      </w:r>
      <w:r w:rsidR="001C115A" w:rsidRPr="00940379">
        <w:rPr>
          <w:lang w:val="en-GB" w:eastAsia="en-AU"/>
        </w:rPr>
        <w:t>.</w:t>
      </w:r>
      <w:r w:rsidR="004E7139" w:rsidRPr="00940379">
        <w:rPr>
          <w:lang w:val="en-GB" w:eastAsia="en-AU"/>
        </w:rPr>
        <w:t xml:space="preserve"> </w:t>
      </w:r>
      <w:r w:rsidR="001C115A" w:rsidRPr="00940379">
        <w:rPr>
          <w:lang w:val="en-GB" w:eastAsia="en-AU"/>
        </w:rPr>
        <w:t>The 20 March</w:t>
      </w:r>
      <w:r w:rsidR="00940379">
        <w:rPr>
          <w:lang w:val="en-GB" w:eastAsia="en-AU"/>
        </w:rPr>
        <w:t xml:space="preserve"> sample saw pesticide </w:t>
      </w:r>
      <w:r w:rsidR="00940379" w:rsidRPr="00940379">
        <w:rPr>
          <w:lang w:val="en-GB" w:eastAsia="en-AU"/>
        </w:rPr>
        <w:t xml:space="preserve">risk returned to meeting the </w:t>
      </w:r>
      <w:r w:rsidR="00940379" w:rsidRPr="00940379">
        <w:t>very low risk category 5: protective of 99% of species (i.e. less than 1% of species are affected). This shows that species were potentially affected for over a month</w:t>
      </w:r>
      <w:r w:rsidR="00940379">
        <w:t xml:space="preserve"> in these waters</w:t>
      </w:r>
      <w:r w:rsidR="00940379" w:rsidRPr="00940379">
        <w:t>.</w:t>
      </w:r>
    </w:p>
    <w:p w14:paraId="567C686B" w14:textId="77777777" w:rsidR="00610900" w:rsidRDefault="00610900" w:rsidP="002439C8">
      <w:pPr>
        <w:spacing w:line="276" w:lineRule="auto"/>
        <w:jc w:val="left"/>
        <w:rPr>
          <w:lang w:val="en-GB" w:eastAsia="en-AU"/>
        </w:rPr>
      </w:pPr>
    </w:p>
    <w:p w14:paraId="7DBEAAA2" w14:textId="1496645A" w:rsidR="00EC0A1A" w:rsidRDefault="00EC0A1A" w:rsidP="002439C8">
      <w:pPr>
        <w:spacing w:line="276" w:lineRule="auto"/>
        <w:jc w:val="left"/>
        <w:rPr>
          <w:lang w:val="en-GB" w:eastAsia="en-AU"/>
        </w:rPr>
      </w:pPr>
      <w:r>
        <w:rPr>
          <w:lang w:val="en-GB" w:eastAsia="en-AU"/>
        </w:rPr>
        <w:t xml:space="preserve">The highest </w:t>
      </w:r>
      <w:r w:rsidR="005E2B71">
        <w:rPr>
          <w:lang w:val="en-GB" w:eastAsia="en-AU"/>
        </w:rPr>
        <w:t>ms</w:t>
      </w:r>
      <w:r w:rsidR="005E2B71">
        <w:rPr>
          <w:lang w:val="en-GB" w:eastAsia="en-AU"/>
        </w:rPr>
        <w:noBreakHyphen/>
        <w:t>PAF</w:t>
      </w:r>
      <w:r>
        <w:rPr>
          <w:lang w:val="en-GB" w:eastAsia="en-AU"/>
        </w:rPr>
        <w:t xml:space="preserve"> value observed at Bedarra Island also followed th</w:t>
      </w:r>
      <w:r w:rsidR="00940379">
        <w:rPr>
          <w:lang w:val="en-GB" w:eastAsia="en-AU"/>
        </w:rPr>
        <w:t>e early-February flow event with 2% of species affected (</w:t>
      </w:r>
      <w:r w:rsidR="00940379" w:rsidRPr="00940379">
        <w:rPr>
          <w:lang w:val="en-GB" w:eastAsia="en-AU"/>
        </w:rPr>
        <w:t xml:space="preserve">category 4: </w:t>
      </w:r>
      <w:r w:rsidR="00940379" w:rsidRPr="00940379">
        <w:t>protective of &gt;95% but &lt;99% of species</w:t>
      </w:r>
      <w:r>
        <w:rPr>
          <w:lang w:val="en-GB" w:eastAsia="en-AU"/>
        </w:rPr>
        <w:t xml:space="preserve">) </w:t>
      </w:r>
      <w:r w:rsidR="00940379">
        <w:rPr>
          <w:lang w:val="en-GB" w:eastAsia="en-AU"/>
        </w:rPr>
        <w:t xml:space="preserve">Dunk Island met the very low risk category for all grab samples </w:t>
      </w:r>
      <w:r w:rsidR="00D15E43">
        <w:rPr>
          <w:lang w:val="en-GB" w:eastAsia="en-AU"/>
        </w:rPr>
        <w:t>(further away)</w:t>
      </w:r>
      <w:r w:rsidR="00940379">
        <w:rPr>
          <w:lang w:val="en-GB" w:eastAsia="en-AU"/>
        </w:rPr>
        <w:t xml:space="preserve">. </w:t>
      </w:r>
      <w:r w:rsidRPr="00FB65B2">
        <w:rPr>
          <w:lang w:val="en-GB" w:eastAsia="en-AU"/>
        </w:rPr>
        <w:t xml:space="preserve">Both the Bedarra and Dunk Islands grab samples had a very similar pesticide profile but lower concentrations </w:t>
      </w:r>
      <w:r>
        <w:rPr>
          <w:lang w:val="en-GB" w:eastAsia="en-AU"/>
        </w:rPr>
        <w:t xml:space="preserve">and frequencies of detections </w:t>
      </w:r>
      <w:r w:rsidRPr="00FB65B2">
        <w:rPr>
          <w:lang w:val="en-GB" w:eastAsia="en-AU"/>
        </w:rPr>
        <w:t>than at the river mouth (</w:t>
      </w:r>
      <w:r w:rsidRPr="00FB65B2">
        <w:fldChar w:fldCharType="begin"/>
      </w:r>
      <w:r w:rsidRPr="00FB65B2">
        <w:instrText xml:space="preserve"> REF _Ref480726395 \h  \* MERGEFORMAT </w:instrText>
      </w:r>
      <w:r w:rsidRPr="00FB65B2">
        <w:fldChar w:fldCharType="separate"/>
      </w:r>
      <w:r w:rsidR="00251B46" w:rsidRPr="00CC4B66">
        <w:t xml:space="preserve">Table </w:t>
      </w:r>
      <w:r w:rsidR="00251B46">
        <w:rPr>
          <w:noProof/>
        </w:rPr>
        <w:t>G</w:t>
      </w:r>
      <w:r w:rsidR="00251B46" w:rsidRPr="00CC4B66">
        <w:rPr>
          <w:noProof/>
        </w:rPr>
        <w:noBreakHyphen/>
      </w:r>
      <w:r w:rsidR="00251B46">
        <w:rPr>
          <w:noProof/>
        </w:rPr>
        <w:t>1</w:t>
      </w:r>
      <w:r w:rsidRPr="00FB65B2">
        <w:fldChar w:fldCharType="end"/>
      </w:r>
      <w:r w:rsidRPr="00FB65B2">
        <w:rPr>
          <w:lang w:val="en-GB" w:eastAsia="en-AU"/>
        </w:rPr>
        <w:t xml:space="preserve">). </w:t>
      </w:r>
    </w:p>
    <w:p w14:paraId="16A4F9EC" w14:textId="77777777" w:rsidR="00EC0A1A" w:rsidRDefault="00EC0A1A" w:rsidP="002439C8">
      <w:pPr>
        <w:spacing w:line="276" w:lineRule="auto"/>
        <w:jc w:val="left"/>
        <w:rPr>
          <w:lang w:val="en-AU" w:eastAsia="en-AU"/>
        </w:rPr>
      </w:pPr>
    </w:p>
    <w:p w14:paraId="521489F5" w14:textId="77777777" w:rsidR="00D15E43" w:rsidRPr="00BE05C8" w:rsidRDefault="00D15E43" w:rsidP="002439C8">
      <w:pPr>
        <w:spacing w:line="276" w:lineRule="auto"/>
        <w:jc w:val="left"/>
        <w:rPr>
          <w:lang w:val="en-GB"/>
        </w:rPr>
      </w:pPr>
      <w:r>
        <w:rPr>
          <w:lang w:val="en-GB" w:eastAsia="en-AU"/>
        </w:rPr>
        <w:t>Concentrations and pesticide profiles in both the event and fixed passive samplers overall closely reflected one another. But as expected, grab sampling during major flow events provided the opportunity to catch the peak concentrations of pesticides while passive sampling provided the average concentrations during the sampling period.</w:t>
      </w:r>
    </w:p>
    <w:p w14:paraId="78FD50D2" w14:textId="77777777" w:rsidR="00D15E43" w:rsidRDefault="00D15E43" w:rsidP="002439C8">
      <w:pPr>
        <w:spacing w:line="276" w:lineRule="auto"/>
        <w:jc w:val="left"/>
        <w:rPr>
          <w:lang w:val="en-AU" w:eastAsia="en-AU"/>
        </w:rPr>
      </w:pPr>
    </w:p>
    <w:p w14:paraId="291279CF" w14:textId="77777777" w:rsidR="00D15E43" w:rsidRDefault="00D15E43" w:rsidP="002439C8">
      <w:pPr>
        <w:spacing w:line="276" w:lineRule="auto"/>
        <w:jc w:val="left"/>
        <w:rPr>
          <w:color w:val="0070C0"/>
          <w:lang w:val="en-GB" w:eastAsia="en-AU"/>
        </w:rPr>
      </w:pPr>
      <w:r>
        <w:rPr>
          <w:lang w:val="en-GB" w:eastAsia="en-AU"/>
        </w:rPr>
        <w:t>Water type frequency data collected at each of the transect sites indicated the Tully River mouth site was almost continually impacted by primary plume water types (colour class 4 and above) for the entire wet season, with the month of March experiencing the greatest impacts of colour class 1 and 2. Water type frequencies at the Bedarra Island and Dunk Island locations indicated these sites were less impacted by primary plumes over the wet season, with primary plume water types encountered over the month of March only, coinciding with the major rainfall on the basin and the largest river flow event of the season.</w:t>
      </w:r>
    </w:p>
    <w:p w14:paraId="44D7B4DE" w14:textId="77777777" w:rsidR="00D141AC" w:rsidRPr="0099427D" w:rsidRDefault="00D141AC" w:rsidP="002439C8">
      <w:pPr>
        <w:pStyle w:val="Heading3"/>
        <w:jc w:val="left"/>
      </w:pPr>
      <w:bookmarkStart w:id="467" w:name="_Toc14435711"/>
      <w:r>
        <w:t>Lucinda</w:t>
      </w:r>
      <w:bookmarkEnd w:id="467"/>
    </w:p>
    <w:p w14:paraId="22428B1B" w14:textId="77777777" w:rsidR="00E10B33" w:rsidRDefault="00D141AC" w:rsidP="002439C8">
      <w:pPr>
        <w:spacing w:line="276" w:lineRule="auto"/>
        <w:jc w:val="left"/>
        <w:rPr>
          <w:lang w:val="en-GB" w:eastAsia="en-AU"/>
        </w:rPr>
      </w:pPr>
      <w:r>
        <w:rPr>
          <w:lang w:val="en-GB" w:eastAsia="en-AU"/>
        </w:rPr>
        <w:t xml:space="preserve">There </w:t>
      </w:r>
      <w:r w:rsidR="00C76B81">
        <w:rPr>
          <w:lang w:val="en-GB" w:eastAsia="en-AU"/>
        </w:rPr>
        <w:t>was</w:t>
      </w:r>
      <w:r>
        <w:rPr>
          <w:lang w:val="en-GB" w:eastAsia="en-AU"/>
        </w:rPr>
        <w:t xml:space="preserve"> no </w:t>
      </w:r>
      <w:r>
        <w:rPr>
          <w:lang w:val="en-AU" w:eastAsia="en-AU"/>
        </w:rPr>
        <w:t>exceedance of guideline values</w:t>
      </w:r>
      <w:r>
        <w:rPr>
          <w:lang w:val="en-GB" w:eastAsia="en-AU"/>
        </w:rPr>
        <w:t xml:space="preserve"> </w:t>
      </w:r>
      <w:r w:rsidR="00C76B81">
        <w:rPr>
          <w:lang w:val="en-GB" w:eastAsia="en-AU"/>
        </w:rPr>
        <w:t>at</w:t>
      </w:r>
      <w:r>
        <w:rPr>
          <w:lang w:val="en-GB" w:eastAsia="en-AU"/>
        </w:rPr>
        <w:t xml:space="preserve"> the Lucinda site i</w:t>
      </w:r>
      <w:r w:rsidRPr="008756CF">
        <w:rPr>
          <w:lang w:val="en-GB" w:eastAsia="en-AU"/>
        </w:rPr>
        <w:t xml:space="preserve">n </w:t>
      </w:r>
      <w:r w:rsidR="001B73E5">
        <w:rPr>
          <w:lang w:val="en-GB" w:eastAsia="en-AU"/>
        </w:rPr>
        <w:t>2017–18</w:t>
      </w:r>
      <w:r>
        <w:rPr>
          <w:lang w:val="en-GB" w:eastAsia="en-AU"/>
        </w:rPr>
        <w:t xml:space="preserve">. </w:t>
      </w:r>
    </w:p>
    <w:p w14:paraId="6DDF5835" w14:textId="77777777" w:rsidR="00E10B33" w:rsidRDefault="00E10B33" w:rsidP="002439C8">
      <w:pPr>
        <w:spacing w:line="276" w:lineRule="auto"/>
        <w:jc w:val="left"/>
        <w:rPr>
          <w:lang w:val="en-GB" w:eastAsia="en-AU"/>
        </w:rPr>
      </w:pPr>
    </w:p>
    <w:p w14:paraId="2C47DB72" w14:textId="59938795" w:rsidR="00D141AC" w:rsidRDefault="00D141AC" w:rsidP="002439C8">
      <w:pPr>
        <w:spacing w:line="276" w:lineRule="auto"/>
        <w:jc w:val="left"/>
        <w:rPr>
          <w:lang w:val="en-AU" w:eastAsia="en-AU"/>
        </w:rPr>
      </w:pPr>
      <w:r w:rsidRPr="00E10B33">
        <w:rPr>
          <w:lang w:val="en-GB" w:eastAsia="en-AU"/>
        </w:rPr>
        <w:t>The m</w:t>
      </w:r>
      <w:r w:rsidRPr="00E10B33">
        <w:rPr>
          <w:lang w:val="en-AU"/>
        </w:rPr>
        <w:t xml:space="preserve">aximum concentration of PSII herbicides </w:t>
      </w:r>
      <w:r w:rsidR="00E10B33">
        <w:rPr>
          <w:lang w:val="en-AU"/>
        </w:rPr>
        <w:t>at</w:t>
      </w:r>
      <w:r w:rsidR="00E10B33" w:rsidRPr="00E10B33">
        <w:rPr>
          <w:lang w:val="en-AU"/>
        </w:rPr>
        <w:t xml:space="preserve"> </w:t>
      </w:r>
      <w:r w:rsidR="00C76B81">
        <w:rPr>
          <w:lang w:val="en-AU"/>
        </w:rPr>
        <w:t xml:space="preserve">Lucinda </w:t>
      </w:r>
      <w:r w:rsidRPr="00E10B33">
        <w:rPr>
          <w:lang w:val="en-AU"/>
        </w:rPr>
        <w:t xml:space="preserve">in this monitoring year </w:t>
      </w:r>
      <w:r w:rsidRPr="00E10B33">
        <w:rPr>
          <w:lang w:val="en-AU" w:eastAsia="en-AU"/>
        </w:rPr>
        <w:t>was 9.4 n</w:t>
      </w:r>
      <w:r w:rsidR="00FE6E97">
        <w:rPr>
          <w:lang w:val="en-AU" w:eastAsia="en-AU"/>
        </w:rPr>
        <w:t>g L</w:t>
      </w:r>
      <w:r w:rsidR="005C25EE" w:rsidRPr="00A209AA">
        <w:rPr>
          <w:vertAlign w:val="superscript"/>
          <w:lang w:val="en-GB" w:eastAsia="en-AU"/>
        </w:rPr>
        <w:noBreakHyphen/>
        <w:t>1</w:t>
      </w:r>
      <w:r w:rsidRPr="00E10B33">
        <w:rPr>
          <w:lang w:val="en-AU" w:eastAsia="en-AU"/>
        </w:rPr>
        <w:t xml:space="preserve"> of </w:t>
      </w:r>
      <w:r w:rsidR="00E10B33">
        <w:rPr>
          <w:lang w:val="en-AU" w:eastAsia="en-AU"/>
        </w:rPr>
        <w:t>a</w:t>
      </w:r>
      <w:r w:rsidR="00E10B33" w:rsidRPr="00E10B33">
        <w:rPr>
          <w:lang w:val="en-AU" w:eastAsia="en-AU"/>
        </w:rPr>
        <w:t xml:space="preserve">trazine </w:t>
      </w:r>
      <w:r w:rsidRPr="00E10B33">
        <w:rPr>
          <w:lang w:val="en-AU" w:eastAsia="en-AU"/>
        </w:rPr>
        <w:t xml:space="preserve">in </w:t>
      </w:r>
      <w:r w:rsidR="00F53806" w:rsidRPr="00E10B33">
        <w:rPr>
          <w:lang w:val="en-AU" w:eastAsia="en-AU"/>
        </w:rPr>
        <w:t>November</w:t>
      </w:r>
      <w:r w:rsidRPr="00E10B33">
        <w:rPr>
          <w:lang w:val="en-AU" w:eastAsia="en-AU"/>
        </w:rPr>
        <w:t xml:space="preserve"> 201</w:t>
      </w:r>
      <w:r w:rsidR="00B713FC" w:rsidRPr="00E10B33">
        <w:rPr>
          <w:lang w:val="en-AU" w:eastAsia="en-AU"/>
        </w:rPr>
        <w:t>7 at</w:t>
      </w:r>
      <w:r w:rsidRPr="00E10B33">
        <w:rPr>
          <w:lang w:val="en-AU" w:eastAsia="en-AU"/>
        </w:rPr>
        <w:t xml:space="preserve"> the</w:t>
      </w:r>
      <w:r w:rsidR="00B713FC" w:rsidRPr="00E10B33">
        <w:rPr>
          <w:lang w:val="en-AU" w:eastAsia="en-AU"/>
        </w:rPr>
        <w:t xml:space="preserve"> start of the</w:t>
      </w:r>
      <w:r w:rsidRPr="00E10B33">
        <w:rPr>
          <w:lang w:val="en-AU" w:eastAsia="en-AU"/>
        </w:rPr>
        <w:t xml:space="preserve"> wet season. </w:t>
      </w:r>
      <w:r w:rsidR="00B713FC" w:rsidRPr="00E10B33">
        <w:rPr>
          <w:lang w:val="en-AU" w:eastAsia="en-AU"/>
        </w:rPr>
        <w:t xml:space="preserve">At this site, </w:t>
      </w:r>
      <w:r w:rsidR="00E10B33">
        <w:rPr>
          <w:lang w:val="en-AU" w:eastAsia="en-AU"/>
        </w:rPr>
        <w:t>a</w:t>
      </w:r>
      <w:r w:rsidR="00E10B33" w:rsidRPr="00E10B33">
        <w:rPr>
          <w:lang w:val="en-AU" w:eastAsia="en-AU"/>
        </w:rPr>
        <w:t xml:space="preserve">trazine </w:t>
      </w:r>
      <w:r w:rsidR="00B713FC" w:rsidRPr="00E10B33">
        <w:rPr>
          <w:lang w:val="en-AU" w:eastAsia="en-AU"/>
        </w:rPr>
        <w:t xml:space="preserve">and </w:t>
      </w:r>
      <w:r w:rsidR="00E10B33">
        <w:rPr>
          <w:lang w:val="en-AU" w:eastAsia="en-AU"/>
        </w:rPr>
        <w:t>d</w:t>
      </w:r>
      <w:r w:rsidR="00E10B33" w:rsidRPr="00E10B33">
        <w:rPr>
          <w:lang w:val="en-AU" w:eastAsia="en-AU"/>
        </w:rPr>
        <w:t xml:space="preserve">iuron </w:t>
      </w:r>
      <w:r w:rsidR="00B713FC" w:rsidRPr="00E10B33">
        <w:rPr>
          <w:lang w:val="en-AU" w:eastAsia="en-AU"/>
        </w:rPr>
        <w:t>are</w:t>
      </w:r>
      <w:r w:rsidRPr="00E10B33">
        <w:rPr>
          <w:lang w:val="en-AU" w:eastAsia="en-AU"/>
        </w:rPr>
        <w:t xml:space="preserve"> the</w:t>
      </w:r>
      <w:r w:rsidR="00B713FC" w:rsidRPr="00E10B33">
        <w:rPr>
          <w:lang w:val="en-AU" w:eastAsia="en-AU"/>
        </w:rPr>
        <w:t xml:space="preserve"> two</w:t>
      </w:r>
      <w:r w:rsidRPr="00E10B33">
        <w:rPr>
          <w:lang w:val="en-AU" w:eastAsia="en-AU"/>
        </w:rPr>
        <w:t xml:space="preserve"> pesticide</w:t>
      </w:r>
      <w:r w:rsidR="009348D0">
        <w:rPr>
          <w:lang w:val="en-AU" w:eastAsia="en-AU"/>
        </w:rPr>
        <w:t>s</w:t>
      </w:r>
      <w:r w:rsidRPr="00E10B33">
        <w:rPr>
          <w:lang w:val="en-AU" w:eastAsia="en-AU"/>
        </w:rPr>
        <w:t xml:space="preserve"> with the highest concentration</w:t>
      </w:r>
      <w:r w:rsidR="00B713FC" w:rsidRPr="00E10B33">
        <w:rPr>
          <w:lang w:val="en-AU" w:eastAsia="en-AU"/>
        </w:rPr>
        <w:t>s</w:t>
      </w:r>
      <w:r w:rsidRPr="00E10B33">
        <w:rPr>
          <w:lang w:val="en-AU" w:eastAsia="en-AU"/>
        </w:rPr>
        <w:t>.</w:t>
      </w:r>
    </w:p>
    <w:p w14:paraId="01E8C328" w14:textId="77777777" w:rsidR="00EC50DD" w:rsidRDefault="00EC50DD" w:rsidP="002439C8">
      <w:pPr>
        <w:spacing w:line="276" w:lineRule="auto"/>
        <w:jc w:val="left"/>
        <w:rPr>
          <w:lang w:val="en-AU" w:eastAsia="en-AU"/>
        </w:rPr>
      </w:pPr>
    </w:p>
    <w:p w14:paraId="75939D02" w14:textId="77777777" w:rsidR="00EC50DD" w:rsidRDefault="00EC50DD" w:rsidP="00EC50DD">
      <w:pPr>
        <w:spacing w:line="276" w:lineRule="auto"/>
        <w:jc w:val="left"/>
        <w:rPr>
          <w:lang w:val="en-AU" w:eastAsia="en-AU"/>
        </w:rPr>
      </w:pPr>
      <w:r>
        <w:rPr>
          <w:lang w:val="en-AU" w:eastAsia="en-AU"/>
        </w:rPr>
        <w:t xml:space="preserve">At Lucinda, the maximum concentrations of pesticides monitored in 2017–18 </w:t>
      </w:r>
      <w:r w:rsidRPr="00D275DD">
        <w:rPr>
          <w:lang w:val="en-AU" w:eastAsia="en-AU"/>
        </w:rPr>
        <w:t xml:space="preserve">were higher than </w:t>
      </w:r>
      <w:r>
        <w:rPr>
          <w:lang w:val="en-AU" w:eastAsia="en-AU"/>
        </w:rPr>
        <w:t xml:space="preserve">in </w:t>
      </w:r>
      <w:r w:rsidRPr="00D275DD">
        <w:rPr>
          <w:lang w:val="en-AU" w:eastAsia="en-AU"/>
        </w:rPr>
        <w:t xml:space="preserve">the </w:t>
      </w:r>
      <w:r>
        <w:rPr>
          <w:lang w:val="en-AU" w:eastAsia="en-AU"/>
        </w:rPr>
        <w:t xml:space="preserve">previous </w:t>
      </w:r>
      <w:r w:rsidRPr="00D275DD">
        <w:rPr>
          <w:lang w:val="en-AU" w:eastAsia="en-AU"/>
        </w:rPr>
        <w:t>year</w:t>
      </w:r>
      <w:r>
        <w:rPr>
          <w:lang w:val="en-AU" w:eastAsia="en-AU"/>
        </w:rPr>
        <w:t xml:space="preserve">s, hence the highest since the monitoring started in 2014–2015 </w:t>
      </w:r>
      <w:r w:rsidRPr="00D275DD">
        <w:rPr>
          <w:lang w:val="en-AU" w:eastAsia="en-AU"/>
        </w:rPr>
        <w:t>(</w:t>
      </w:r>
      <w:r w:rsidRPr="007F03F5">
        <w:rPr>
          <w:lang w:val="en-AU" w:eastAsia="en-AU"/>
        </w:rPr>
        <w:fldChar w:fldCharType="begin"/>
      </w:r>
      <w:r w:rsidRPr="007F03F5">
        <w:rPr>
          <w:lang w:val="en-AU" w:eastAsia="en-AU"/>
        </w:rPr>
        <w:instrText xml:space="preserve"> REF _Ref535500572 \h </w:instrText>
      </w:r>
      <w:r w:rsidRPr="00BE05C8">
        <w:rPr>
          <w:lang w:val="en-AU" w:eastAsia="en-AU"/>
        </w:rPr>
        <w:instrText xml:space="preserve"> \* MERGEFORMAT </w:instrText>
      </w:r>
      <w:r w:rsidRPr="007F03F5">
        <w:rPr>
          <w:lang w:val="en-AU" w:eastAsia="en-AU"/>
        </w:rPr>
      </w:r>
      <w:r w:rsidRPr="007F03F5">
        <w:rPr>
          <w:lang w:val="en-AU" w:eastAsia="en-AU"/>
        </w:rPr>
        <w:fldChar w:fldCharType="separate"/>
      </w:r>
      <w:r w:rsidR="00251B46" w:rsidRPr="00210B7C">
        <w:t xml:space="preserve">Table </w:t>
      </w:r>
      <w:r w:rsidR="00251B46" w:rsidRPr="00251B46">
        <w:rPr>
          <w:noProof/>
        </w:rPr>
        <w:t>5</w:t>
      </w:r>
      <w:r w:rsidRPr="007F03F5">
        <w:rPr>
          <w:lang w:val="en-AU" w:eastAsia="en-AU"/>
        </w:rPr>
        <w:fldChar w:fldCharType="end"/>
      </w:r>
      <w:r w:rsidRPr="007F03F5">
        <w:rPr>
          <w:lang w:val="en-AU" w:eastAsia="en-AU"/>
        </w:rPr>
        <w:t>; f</w:t>
      </w:r>
      <w:r w:rsidRPr="00D275DD">
        <w:rPr>
          <w:lang w:val="en-AU" w:eastAsia="en-AU"/>
        </w:rPr>
        <w:t xml:space="preserve">or historical data, see </w:t>
      </w:r>
      <w:r w:rsidRPr="00D275DD">
        <w:rPr>
          <w:lang w:val="en-AU" w:eastAsia="en-AU"/>
        </w:rPr>
        <w:fldChar w:fldCharType="begin"/>
      </w:r>
      <w:r w:rsidRPr="00D275DD">
        <w:rPr>
          <w:lang w:val="en-AU" w:eastAsia="en-AU"/>
        </w:rPr>
        <w:instrText xml:space="preserve"> REF _Ref480739744 \h  \* MERGEFORMAT </w:instrText>
      </w:r>
      <w:r w:rsidRPr="00D275DD">
        <w:rPr>
          <w:lang w:val="en-AU" w:eastAsia="en-AU"/>
        </w:rPr>
      </w:r>
      <w:r w:rsidRPr="00D275DD">
        <w:rPr>
          <w:lang w:val="en-AU" w:eastAsia="en-AU"/>
        </w:rPr>
        <w:fldChar w:fldCharType="separate"/>
      </w:r>
      <w:r w:rsidR="00251B46" w:rsidRPr="00251B46">
        <w:rPr>
          <w:lang w:val="en-AU" w:eastAsia="en-AU"/>
        </w:rPr>
        <w:t>Figure H</w:t>
      </w:r>
      <w:r w:rsidR="00251B46" w:rsidRPr="00251B46">
        <w:rPr>
          <w:lang w:val="en-AU" w:eastAsia="en-AU"/>
        </w:rPr>
        <w:noBreakHyphen/>
        <w:t>1</w:t>
      </w:r>
      <w:r w:rsidRPr="00D275DD">
        <w:rPr>
          <w:lang w:val="en-AU" w:eastAsia="en-AU"/>
        </w:rPr>
        <w:fldChar w:fldCharType="end"/>
      </w:r>
      <w:r w:rsidRPr="00D275DD">
        <w:rPr>
          <w:lang w:val="en-AU" w:eastAsia="en-AU"/>
        </w:rPr>
        <w:t xml:space="preserve">). </w:t>
      </w:r>
    </w:p>
    <w:p w14:paraId="3AFB5B79" w14:textId="77777777" w:rsidR="00EC50DD" w:rsidRDefault="00EC50DD" w:rsidP="00EC50DD">
      <w:pPr>
        <w:spacing w:line="276" w:lineRule="auto"/>
        <w:jc w:val="left"/>
        <w:rPr>
          <w:lang w:val="en-AU" w:eastAsia="en-AU"/>
        </w:rPr>
      </w:pPr>
    </w:p>
    <w:p w14:paraId="57F113A3" w14:textId="77777777" w:rsidR="00EC50DD" w:rsidRDefault="00EC50DD" w:rsidP="00EC50DD">
      <w:pPr>
        <w:spacing w:line="276" w:lineRule="auto"/>
        <w:jc w:val="left"/>
        <w:rPr>
          <w:lang w:val="en-AU" w:eastAsia="en-AU"/>
        </w:rPr>
      </w:pPr>
      <w:r>
        <w:rPr>
          <w:lang w:val="en-AU" w:eastAsia="en-AU"/>
        </w:rPr>
        <w:t>T</w:t>
      </w:r>
      <w:r>
        <w:t xml:space="preserve">he </w:t>
      </w:r>
      <w:r>
        <w:rPr>
          <w:lang w:val="en-AU" w:eastAsia="en-AU"/>
        </w:rPr>
        <w:t>ms</w:t>
      </w:r>
      <w:r>
        <w:rPr>
          <w:lang w:val="en-AU" w:eastAsia="en-AU"/>
        </w:rPr>
        <w:noBreakHyphen/>
        <w:t>PAF</w:t>
      </w:r>
      <w:r w:rsidRPr="000D3ED3">
        <w:rPr>
          <w:lang w:val="en-AU" w:eastAsia="en-AU"/>
        </w:rPr>
        <w:t xml:space="preserve"> values </w:t>
      </w:r>
      <w:r w:rsidRPr="001A490D">
        <w:rPr>
          <w:lang w:val="en-AU" w:eastAsia="en-AU"/>
        </w:rPr>
        <w:t xml:space="preserve">met the desired very low risk category 5: protective of 99% of species (i.e. less than 1% of species are affected) for all </w:t>
      </w:r>
      <w:r>
        <w:rPr>
          <w:lang w:val="en-AU" w:eastAsia="en-AU"/>
        </w:rPr>
        <w:t xml:space="preserve">passive sampler </w:t>
      </w:r>
      <w:r w:rsidRPr="001A490D">
        <w:rPr>
          <w:lang w:val="en-AU" w:eastAsia="en-AU"/>
        </w:rPr>
        <w:t>deployments</w:t>
      </w:r>
      <w:r>
        <w:rPr>
          <w:lang w:val="en-AU" w:eastAsia="en-AU"/>
        </w:rPr>
        <w:t xml:space="preserve">. </w:t>
      </w:r>
    </w:p>
    <w:p w14:paraId="2FA7F7C1" w14:textId="77777777" w:rsidR="00EC50DD" w:rsidRDefault="00EC50DD" w:rsidP="002439C8">
      <w:pPr>
        <w:spacing w:line="276" w:lineRule="auto"/>
        <w:jc w:val="left"/>
        <w:rPr>
          <w:lang w:val="en-AU" w:eastAsia="en-AU"/>
        </w:rPr>
      </w:pPr>
    </w:p>
    <w:p w14:paraId="5BBA775C" w14:textId="77777777" w:rsidR="00721284" w:rsidRDefault="0022328F" w:rsidP="002439C8">
      <w:pPr>
        <w:spacing w:line="276" w:lineRule="auto"/>
        <w:jc w:val="left"/>
        <w:rPr>
          <w:lang w:val="en-AU" w:eastAsia="en-AU"/>
        </w:rPr>
      </w:pPr>
      <w:r w:rsidRPr="0022328F">
        <w:rPr>
          <w:noProof/>
          <w:lang w:val="en-AU" w:eastAsia="en-AU" w:bidi="ar-SA"/>
        </w:rPr>
        <w:drawing>
          <wp:inline distT="0" distB="0" distL="0" distR="0" wp14:anchorId="4A5E1606" wp14:editId="2F2FF87A">
            <wp:extent cx="5454348" cy="3240000"/>
            <wp:effectExtent l="0" t="0" r="0" b="0"/>
            <wp:docPr id="7185" name="Picture 7185" descr="Temporal trends in % of species affected by pesticides (indicated by the black bars) in Lucinda in 2017-18, together with the flow rate of Herbert river. Flow data provided by DNRM Stream Gauging Network." title="Herbert River flows and Lucinda site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QAEHS-Research\Mueller Group\Sampling - Consultancy  Projects\AQUATIC PROJECTS\REEF RESCUE MMP\2018\May 2019 revision\NEW Appendix F - May2019\LUCINDA - 2017-18.emf"/>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454348" cy="3240000"/>
                    </a:xfrm>
                    <a:prstGeom prst="rect">
                      <a:avLst/>
                    </a:prstGeom>
                    <a:noFill/>
                    <a:ln>
                      <a:noFill/>
                    </a:ln>
                  </pic:spPr>
                </pic:pic>
              </a:graphicData>
            </a:graphic>
          </wp:inline>
        </w:drawing>
      </w:r>
    </w:p>
    <w:p w14:paraId="1B81E130" w14:textId="77777777" w:rsidR="00F82C5B" w:rsidRDefault="00DE58EA" w:rsidP="002439C8">
      <w:pPr>
        <w:spacing w:line="276" w:lineRule="auto"/>
        <w:jc w:val="left"/>
        <w:rPr>
          <w:lang w:val="en-AU" w:eastAsia="en-AU"/>
        </w:rPr>
      </w:pPr>
      <w:r w:rsidRPr="00DE58EA">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4AEAFE83" w14:textId="70D42F8F" w:rsidR="00954FCA" w:rsidRPr="00CB093C" w:rsidRDefault="00F82C5B" w:rsidP="00954FCA">
      <w:pPr>
        <w:pStyle w:val="Caption"/>
        <w:rPr>
          <w:rFonts w:cs="Arial"/>
          <w:i/>
          <w:vanish/>
          <w:color w:val="000000"/>
          <w:specVanish/>
        </w:rPr>
      </w:pPr>
      <w:bookmarkStart w:id="468" w:name="_Toc15042908"/>
      <w:r w:rsidRPr="0093001B">
        <w:rPr>
          <w:b w:val="0"/>
          <w:sz w:val="20"/>
        </w:rPr>
        <w:t xml:space="preserve">Figure </w:t>
      </w:r>
      <w:r w:rsidRPr="0093001B">
        <w:rPr>
          <w:b w:val="0"/>
          <w:sz w:val="20"/>
        </w:rPr>
        <w:fldChar w:fldCharType="begin"/>
      </w:r>
      <w:r w:rsidRPr="0093001B">
        <w:rPr>
          <w:b w:val="0"/>
          <w:sz w:val="20"/>
        </w:rPr>
        <w:instrText xml:space="preserve"> SEQ Figure \* ARABIC </w:instrText>
      </w:r>
      <w:r w:rsidRPr="0093001B">
        <w:rPr>
          <w:b w:val="0"/>
          <w:sz w:val="20"/>
        </w:rPr>
        <w:fldChar w:fldCharType="separate"/>
      </w:r>
      <w:r w:rsidR="00251B46">
        <w:rPr>
          <w:b w:val="0"/>
          <w:noProof/>
          <w:sz w:val="20"/>
        </w:rPr>
        <w:t>16</w:t>
      </w:r>
      <w:r w:rsidRPr="0093001B">
        <w:rPr>
          <w:b w:val="0"/>
          <w:sz w:val="20"/>
        </w:rPr>
        <w:fldChar w:fldCharType="end"/>
      </w:r>
      <w:r w:rsidRPr="0093001B">
        <w:rPr>
          <w:b w:val="0"/>
          <w:sz w:val="20"/>
        </w:rPr>
        <w:t xml:space="preserve">: Temporal trends in % of species affected by pesticides (indicated by the black bars) in </w:t>
      </w:r>
      <w:r>
        <w:rPr>
          <w:b w:val="0"/>
          <w:sz w:val="20"/>
        </w:rPr>
        <w:t>Lucinda</w:t>
      </w:r>
      <w:r w:rsidRPr="0093001B">
        <w:rPr>
          <w:b w:val="0"/>
          <w:sz w:val="20"/>
        </w:rPr>
        <w:t xml:space="preserve"> in 2017-18, together with the flow rate of </w:t>
      </w:r>
      <w:r w:rsidR="00165FBB">
        <w:rPr>
          <w:b w:val="0"/>
          <w:sz w:val="20"/>
        </w:rPr>
        <w:t>Herbert R</w:t>
      </w:r>
      <w:r>
        <w:rPr>
          <w:b w:val="0"/>
          <w:sz w:val="20"/>
        </w:rPr>
        <w:t>iver</w:t>
      </w:r>
      <w:r w:rsidRPr="0093001B">
        <w:rPr>
          <w:b w:val="0"/>
          <w:sz w:val="20"/>
        </w:rPr>
        <w:t>.</w:t>
      </w:r>
      <w:bookmarkEnd w:id="468"/>
    </w:p>
    <w:p w14:paraId="60A89CF7" w14:textId="39E41DDE" w:rsidR="00F82C5B" w:rsidRPr="0093001B" w:rsidRDefault="00F82C5B" w:rsidP="002439C8">
      <w:pPr>
        <w:pStyle w:val="Caption"/>
        <w:keepNext/>
        <w:spacing w:line="276" w:lineRule="auto"/>
        <w:rPr>
          <w:b w:val="0"/>
          <w:sz w:val="20"/>
        </w:rPr>
      </w:pPr>
      <w:r w:rsidRPr="0093001B">
        <w:rPr>
          <w:b w:val="0"/>
          <w:sz w:val="20"/>
        </w:rPr>
        <w:t xml:space="preserve"> Flow data provided by DNRM Stream Gauging Network.</w:t>
      </w:r>
    </w:p>
    <w:p w14:paraId="3F9AA837" w14:textId="77777777" w:rsidR="00F82C5B" w:rsidRDefault="00F82C5B" w:rsidP="002439C8">
      <w:pPr>
        <w:spacing w:line="276" w:lineRule="auto"/>
        <w:jc w:val="left"/>
        <w:rPr>
          <w:lang w:val="en-AU" w:eastAsia="en-AU"/>
        </w:rPr>
      </w:pPr>
    </w:p>
    <w:p w14:paraId="7D1072CF" w14:textId="77777777" w:rsidR="00767691" w:rsidRPr="0099427D" w:rsidRDefault="00767691" w:rsidP="002439C8">
      <w:pPr>
        <w:pStyle w:val="Heading3"/>
        <w:jc w:val="left"/>
      </w:pPr>
      <w:bookmarkStart w:id="469" w:name="_Toc535848717"/>
      <w:bookmarkStart w:id="470" w:name="_Toc335638578"/>
      <w:bookmarkStart w:id="471" w:name="_Toc335641188"/>
      <w:bookmarkStart w:id="472" w:name="_Toc335638579"/>
      <w:bookmarkStart w:id="473" w:name="_Toc335641189"/>
      <w:bookmarkStart w:id="474" w:name="_Toc335638580"/>
      <w:bookmarkStart w:id="475" w:name="_Toc335641190"/>
      <w:bookmarkStart w:id="476" w:name="_Toc335638581"/>
      <w:bookmarkStart w:id="477" w:name="_Toc335641191"/>
      <w:bookmarkStart w:id="478" w:name="_Toc335638582"/>
      <w:bookmarkStart w:id="479" w:name="_Toc335641192"/>
      <w:bookmarkStart w:id="480" w:name="_Toc335638583"/>
      <w:bookmarkStart w:id="481" w:name="_Toc335641193"/>
      <w:bookmarkStart w:id="482" w:name="_Toc335638584"/>
      <w:bookmarkStart w:id="483" w:name="_Toc335641194"/>
      <w:bookmarkStart w:id="484" w:name="_Toc335638585"/>
      <w:bookmarkStart w:id="485" w:name="_Toc335641195"/>
      <w:bookmarkStart w:id="486" w:name="_Toc335638586"/>
      <w:bookmarkStart w:id="487" w:name="_Toc335641196"/>
      <w:bookmarkStart w:id="488" w:name="_Toc335638587"/>
      <w:bookmarkStart w:id="489" w:name="_Toc335641197"/>
      <w:bookmarkStart w:id="490" w:name="_Toc335638588"/>
      <w:bookmarkStart w:id="491" w:name="_Toc335641198"/>
      <w:bookmarkStart w:id="492" w:name="_Toc335638589"/>
      <w:bookmarkStart w:id="493" w:name="_Toc335641199"/>
      <w:bookmarkStart w:id="494" w:name="_Toc14435712"/>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r>
        <w:t>Factors influencing the pesticide concentrations in the Wet Tropics</w:t>
      </w:r>
      <w:bookmarkEnd w:id="494"/>
    </w:p>
    <w:p w14:paraId="7B116DE6" w14:textId="77777777" w:rsidR="004213A7" w:rsidRPr="00D275DD" w:rsidRDefault="004213A7" w:rsidP="002439C8">
      <w:pPr>
        <w:spacing w:line="276" w:lineRule="auto"/>
        <w:jc w:val="left"/>
        <w:rPr>
          <w:lang w:val="en-AU" w:eastAsia="en-AU"/>
        </w:rPr>
      </w:pPr>
      <w:r>
        <w:rPr>
          <w:lang w:val="en-AU" w:eastAsia="en-AU"/>
        </w:rPr>
        <w:t>Wet season r</w:t>
      </w:r>
      <w:r w:rsidRPr="00CE3793">
        <w:rPr>
          <w:lang w:val="en-AU" w:eastAsia="en-AU"/>
        </w:rPr>
        <w:t xml:space="preserve">ainfall in the Wet Tropics </w:t>
      </w:r>
      <w:r>
        <w:rPr>
          <w:lang w:val="en-AU" w:eastAsia="en-AU"/>
        </w:rPr>
        <w:t xml:space="preserve">in </w:t>
      </w:r>
      <w:r w:rsidR="001B73E5">
        <w:rPr>
          <w:lang w:val="en-AU" w:eastAsia="en-AU"/>
        </w:rPr>
        <w:t>2017–18</w:t>
      </w:r>
      <w:r w:rsidRPr="00CE3793">
        <w:rPr>
          <w:lang w:val="en-AU" w:eastAsia="en-AU"/>
        </w:rPr>
        <w:t xml:space="preserve"> </w:t>
      </w:r>
      <w:r>
        <w:rPr>
          <w:lang w:val="en-AU" w:eastAsia="en-AU"/>
        </w:rPr>
        <w:t>typically</w:t>
      </w:r>
      <w:r w:rsidRPr="00CE3793">
        <w:rPr>
          <w:lang w:val="en-AU" w:eastAsia="en-AU"/>
        </w:rPr>
        <w:t xml:space="preserve"> </w:t>
      </w:r>
      <w:r>
        <w:rPr>
          <w:lang w:val="en-AU" w:eastAsia="en-AU"/>
        </w:rPr>
        <w:t>met the</w:t>
      </w:r>
      <w:r w:rsidRPr="00CE3793">
        <w:rPr>
          <w:lang w:val="en-AU" w:eastAsia="en-AU"/>
        </w:rPr>
        <w:t xml:space="preserve"> </w:t>
      </w:r>
      <w:r>
        <w:rPr>
          <w:lang w:val="en-AU" w:eastAsia="en-AU"/>
        </w:rPr>
        <w:t xml:space="preserve">long term </w:t>
      </w:r>
      <w:r w:rsidRPr="00CE3793">
        <w:rPr>
          <w:lang w:val="en-AU" w:eastAsia="en-AU"/>
        </w:rPr>
        <w:t>wet season average</w:t>
      </w:r>
      <w:r>
        <w:rPr>
          <w:lang w:val="en-AU" w:eastAsia="en-AU"/>
        </w:rPr>
        <w:t>,</w:t>
      </w:r>
      <w:r w:rsidRPr="00CE3793">
        <w:rPr>
          <w:lang w:val="en-AU" w:eastAsia="en-AU"/>
        </w:rPr>
        <w:t xml:space="preserve"> </w:t>
      </w:r>
      <w:r>
        <w:rPr>
          <w:lang w:val="en-AU" w:eastAsia="en-AU"/>
        </w:rPr>
        <w:t>and increased in comparison to rainfall in the 2016</w:t>
      </w:r>
      <w:r w:rsidR="00E26079">
        <w:rPr>
          <w:lang w:val="en-AU" w:eastAsia="en-AU"/>
        </w:rPr>
        <w:t>–20</w:t>
      </w:r>
      <w:r>
        <w:rPr>
          <w:lang w:val="en-AU" w:eastAsia="en-AU"/>
        </w:rPr>
        <w:t>17 wet season. Rainfall in the dry season was considered very much above average. Consequently, the annual regional river discharge was increased by 1.7 times when compared with the previous monitoring year, continuing a trend of increase since the 2013</w:t>
      </w:r>
      <w:r w:rsidR="00E26079">
        <w:rPr>
          <w:lang w:val="en-AU" w:eastAsia="en-AU"/>
        </w:rPr>
        <w:t>–20</w:t>
      </w:r>
      <w:r>
        <w:rPr>
          <w:lang w:val="en-AU" w:eastAsia="en-AU"/>
        </w:rPr>
        <w:t xml:space="preserve">14 monitoring year (Figure 7). Overall total discharge from the entire region </w:t>
      </w:r>
      <w:r w:rsidRPr="00CE3793">
        <w:rPr>
          <w:lang w:val="en-AU" w:eastAsia="en-AU"/>
        </w:rPr>
        <w:t xml:space="preserve">was </w:t>
      </w:r>
      <w:r>
        <w:rPr>
          <w:lang w:val="en-AU" w:eastAsia="en-AU"/>
        </w:rPr>
        <w:t xml:space="preserve">only marginally higher than the long term median (by 1.3 times). </w:t>
      </w:r>
    </w:p>
    <w:p w14:paraId="66B216C0" w14:textId="77777777" w:rsidR="004213A7" w:rsidRDefault="004213A7" w:rsidP="002439C8">
      <w:pPr>
        <w:spacing w:line="276" w:lineRule="auto"/>
        <w:jc w:val="left"/>
        <w:rPr>
          <w:lang w:val="en-AU" w:eastAsia="en-AU"/>
        </w:rPr>
      </w:pPr>
    </w:p>
    <w:p w14:paraId="591FA9E0" w14:textId="77777777" w:rsidR="004213A7" w:rsidRDefault="004213A7" w:rsidP="002439C8">
      <w:pPr>
        <w:spacing w:line="276" w:lineRule="auto"/>
        <w:jc w:val="left"/>
        <w:rPr>
          <w:lang w:val="en-AU" w:eastAsia="en-AU"/>
        </w:rPr>
      </w:pPr>
      <w:r>
        <w:rPr>
          <w:lang w:val="en-AU" w:eastAsia="en-AU"/>
        </w:rPr>
        <w:t>T</w:t>
      </w:r>
      <w:r w:rsidRPr="004E28CA">
        <w:rPr>
          <w:lang w:val="en-AU" w:eastAsia="en-AU"/>
        </w:rPr>
        <w:t xml:space="preserve">he rivers in the Wet Tropics generally flowed year-round with </w:t>
      </w:r>
      <w:r>
        <w:rPr>
          <w:lang w:val="en-AU" w:eastAsia="en-AU"/>
        </w:rPr>
        <w:t xml:space="preserve">small </w:t>
      </w:r>
      <w:r w:rsidRPr="004E28CA">
        <w:rPr>
          <w:lang w:val="en-AU" w:eastAsia="en-AU"/>
        </w:rPr>
        <w:t xml:space="preserve">flow events occurring regularly throughout the dry season. In the wet season, a relatively small first flush event occurred in most Wet Tropics rivers in </w:t>
      </w:r>
      <w:r>
        <w:rPr>
          <w:lang w:val="en-AU" w:eastAsia="en-AU"/>
        </w:rPr>
        <w:t>October</w:t>
      </w:r>
      <w:r w:rsidRPr="004E28CA">
        <w:rPr>
          <w:lang w:val="en-AU" w:eastAsia="en-AU"/>
        </w:rPr>
        <w:t xml:space="preserve">, followed by </w:t>
      </w:r>
      <w:r>
        <w:rPr>
          <w:lang w:val="en-AU" w:eastAsia="en-AU"/>
        </w:rPr>
        <w:t>the first wet season</w:t>
      </w:r>
      <w:r w:rsidRPr="004E28CA">
        <w:rPr>
          <w:lang w:val="en-AU" w:eastAsia="en-AU"/>
        </w:rPr>
        <w:t xml:space="preserve"> rainfall</w:t>
      </w:r>
      <w:r>
        <w:rPr>
          <w:lang w:val="en-AU" w:eastAsia="en-AU"/>
        </w:rPr>
        <w:t xml:space="preserve"> event</w:t>
      </w:r>
      <w:r w:rsidRPr="004E28CA">
        <w:rPr>
          <w:lang w:val="en-AU" w:eastAsia="en-AU"/>
        </w:rPr>
        <w:t xml:space="preserve"> </w:t>
      </w:r>
      <w:r>
        <w:rPr>
          <w:lang w:val="en-AU" w:eastAsia="en-AU"/>
        </w:rPr>
        <w:t>in</w:t>
      </w:r>
      <w:r w:rsidRPr="004E28CA">
        <w:rPr>
          <w:lang w:val="en-AU" w:eastAsia="en-AU"/>
        </w:rPr>
        <w:t xml:space="preserve"> January 201</w:t>
      </w:r>
      <w:r>
        <w:rPr>
          <w:lang w:val="en-AU" w:eastAsia="en-AU"/>
        </w:rPr>
        <w:t>8</w:t>
      </w:r>
      <w:r w:rsidRPr="004E28CA">
        <w:rPr>
          <w:lang w:val="en-AU" w:eastAsia="en-AU"/>
        </w:rPr>
        <w:t xml:space="preserve"> that resulted in flow events in the</w:t>
      </w:r>
      <w:r>
        <w:rPr>
          <w:lang w:val="en-AU" w:eastAsia="en-AU"/>
        </w:rPr>
        <w:t xml:space="preserve"> rivers</w:t>
      </w:r>
      <w:r w:rsidRPr="004E28CA">
        <w:rPr>
          <w:lang w:val="en-AU" w:eastAsia="en-AU"/>
        </w:rPr>
        <w:t xml:space="preserve"> </w:t>
      </w:r>
      <w:r>
        <w:rPr>
          <w:lang w:val="en-AU" w:eastAsia="en-AU"/>
        </w:rPr>
        <w:t xml:space="preserve">(Mossman, </w:t>
      </w:r>
      <w:r w:rsidRPr="004E28CA">
        <w:rPr>
          <w:lang w:val="en-AU" w:eastAsia="en-AU"/>
        </w:rPr>
        <w:t>Russell, Mulgrave, Tully and Herbert Rivers</w:t>
      </w:r>
      <w:r>
        <w:rPr>
          <w:lang w:val="en-AU" w:eastAsia="en-AU"/>
        </w:rPr>
        <w:t>)</w:t>
      </w:r>
      <w:r w:rsidRPr="004E28CA">
        <w:rPr>
          <w:lang w:val="en-AU" w:eastAsia="en-AU"/>
        </w:rPr>
        <w:t>.</w:t>
      </w:r>
      <w:r>
        <w:rPr>
          <w:lang w:val="en-AU" w:eastAsia="en-AU"/>
        </w:rPr>
        <w:t xml:space="preserve"> Subsequent widespread high rainfall events in March triggered the largest flow events of the season in all rivers.</w:t>
      </w:r>
      <w:r w:rsidRPr="004E28CA">
        <w:rPr>
          <w:lang w:val="en-AU" w:eastAsia="en-AU"/>
        </w:rPr>
        <w:t xml:space="preserve"> </w:t>
      </w:r>
    </w:p>
    <w:p w14:paraId="2EC4E652" w14:textId="77777777" w:rsidR="004213A7" w:rsidRDefault="004213A7" w:rsidP="002439C8">
      <w:pPr>
        <w:spacing w:line="276" w:lineRule="auto"/>
        <w:jc w:val="left"/>
        <w:rPr>
          <w:lang w:val="en-AU" w:eastAsia="en-AU"/>
        </w:rPr>
      </w:pPr>
    </w:p>
    <w:p w14:paraId="52C49980" w14:textId="3671E981" w:rsidR="004213A7" w:rsidRDefault="004213A7" w:rsidP="002439C8">
      <w:pPr>
        <w:spacing w:line="276" w:lineRule="auto"/>
        <w:jc w:val="left"/>
        <w:rPr>
          <w:lang w:val="en-AU" w:eastAsia="en-AU"/>
        </w:rPr>
      </w:pPr>
      <w:r>
        <w:rPr>
          <w:lang w:val="en-AU" w:eastAsia="en-AU"/>
        </w:rPr>
        <w:t>Rainfall in the adjacent basins likely contributed to an increase in the frequency of colour class 4 and above water types impacting passive sampling sites at High Island, Dunk Island and Lucinda. Despite this brief increase, overall the Wet Tropics sites experienced the lowest water type f</w:t>
      </w:r>
      <w:r w:rsidR="00EC50DD">
        <w:rPr>
          <w:lang w:val="en-AU" w:eastAsia="en-AU"/>
        </w:rPr>
        <w:t>requencies of all regions (0.19–</w:t>
      </w:r>
      <w:r>
        <w:rPr>
          <w:lang w:val="en-AU" w:eastAsia="en-AU"/>
        </w:rPr>
        <w:t xml:space="preserve">1.0), with three sites encountering only tertiary water types for at least half of the wet season. </w:t>
      </w:r>
    </w:p>
    <w:p w14:paraId="5B41A8CD" w14:textId="77777777" w:rsidR="004213A7" w:rsidRDefault="004213A7" w:rsidP="002439C8">
      <w:pPr>
        <w:spacing w:line="276" w:lineRule="auto"/>
        <w:jc w:val="left"/>
        <w:rPr>
          <w:lang w:val="en-AU" w:eastAsia="en-AU"/>
        </w:rPr>
      </w:pPr>
    </w:p>
    <w:p w14:paraId="00F5B07F" w14:textId="346E23FA" w:rsidR="004213A7" w:rsidRDefault="004213A7" w:rsidP="002439C8">
      <w:pPr>
        <w:spacing w:line="276" w:lineRule="auto"/>
        <w:jc w:val="left"/>
        <w:rPr>
          <w:lang w:val="en-AU" w:eastAsia="en-AU"/>
        </w:rPr>
      </w:pPr>
      <w:r w:rsidRPr="00547201">
        <w:rPr>
          <w:lang w:val="en-AU" w:eastAsia="en-AU"/>
        </w:rPr>
        <w:t xml:space="preserve">Land use in the Wet Tropics differs between its northern and southern </w:t>
      </w:r>
      <w:r>
        <w:rPr>
          <w:lang w:val="en-AU" w:eastAsia="en-AU"/>
        </w:rPr>
        <w:t>basin</w:t>
      </w:r>
      <w:r w:rsidRPr="00547201">
        <w:rPr>
          <w:lang w:val="en-AU" w:eastAsia="en-AU"/>
        </w:rPr>
        <w:t xml:space="preserve">s with the northern Daintree and Mossman River </w:t>
      </w:r>
      <w:r>
        <w:rPr>
          <w:lang w:val="en-AU" w:eastAsia="en-AU"/>
        </w:rPr>
        <w:t>basin</w:t>
      </w:r>
      <w:r w:rsidRPr="00547201">
        <w:rPr>
          <w:lang w:val="en-AU" w:eastAsia="en-AU"/>
        </w:rPr>
        <w:t xml:space="preserve">s largely comprised of national parks and state forests. Large areas of land are used for sugarcane growing in the southern </w:t>
      </w:r>
      <w:r>
        <w:rPr>
          <w:lang w:val="en-AU" w:eastAsia="en-AU"/>
        </w:rPr>
        <w:t>basin</w:t>
      </w:r>
      <w:r w:rsidRPr="00547201">
        <w:rPr>
          <w:lang w:val="en-AU" w:eastAsia="en-AU"/>
        </w:rPr>
        <w:t xml:space="preserve">s clustered around Cairns, Innisfail, Tully and Ingham (ABS, 2013). </w:t>
      </w:r>
      <w:r w:rsidR="007076BD">
        <w:rPr>
          <w:lang w:val="en-AU" w:eastAsia="en-AU"/>
        </w:rPr>
        <w:t>T</w:t>
      </w:r>
      <w:r>
        <w:rPr>
          <w:lang w:val="en-AU" w:eastAsia="en-AU"/>
        </w:rPr>
        <w:t>his regional variation in land use</w:t>
      </w:r>
      <w:r w:rsidR="007076BD">
        <w:rPr>
          <w:lang w:val="en-AU" w:eastAsia="en-AU"/>
        </w:rPr>
        <w:t xml:space="preserve"> may lead to the difference in pesticide concentrations measured in each site although</w:t>
      </w:r>
      <w:r>
        <w:rPr>
          <w:lang w:val="en-AU" w:eastAsia="en-AU"/>
        </w:rPr>
        <w:t xml:space="preserve"> t</w:t>
      </w:r>
      <w:r w:rsidRPr="00547201">
        <w:rPr>
          <w:lang w:val="en-AU" w:eastAsia="en-AU"/>
        </w:rPr>
        <w:t>he PSII herbicide profiles (</w:t>
      </w:r>
      <w:r w:rsidRPr="00547201">
        <w:rPr>
          <w:lang w:val="en-AU" w:eastAsia="en-AU"/>
        </w:rPr>
        <w:fldChar w:fldCharType="begin"/>
      </w:r>
      <w:r w:rsidRPr="00547201">
        <w:rPr>
          <w:lang w:val="en-AU" w:eastAsia="en-AU"/>
        </w:rPr>
        <w:instrText xml:space="preserve"> REF _Ref480739744 \h </w:instrText>
      </w:r>
      <w:r w:rsidR="002439C8">
        <w:rPr>
          <w:lang w:val="en-AU" w:eastAsia="en-AU"/>
        </w:rPr>
        <w:instrText xml:space="preserve"> \* MERGEFORMAT </w:instrText>
      </w:r>
      <w:r w:rsidRPr="00547201">
        <w:rPr>
          <w:lang w:val="en-AU" w:eastAsia="en-AU"/>
        </w:rPr>
      </w:r>
      <w:r w:rsidRPr="00547201">
        <w:rPr>
          <w:lang w:val="en-AU" w:eastAsia="en-AU"/>
        </w:rPr>
        <w:fldChar w:fldCharType="separate"/>
      </w:r>
      <w:r w:rsidR="00251B46">
        <w:t xml:space="preserve">Figure </w:t>
      </w:r>
      <w:r w:rsidR="00251B46">
        <w:rPr>
          <w:noProof/>
        </w:rPr>
        <w:t>H</w:t>
      </w:r>
      <w:r w:rsidR="00251B46">
        <w:rPr>
          <w:noProof/>
        </w:rPr>
        <w:noBreakHyphen/>
        <w:t>1</w:t>
      </w:r>
      <w:r w:rsidRPr="00547201">
        <w:rPr>
          <w:lang w:val="en-AU" w:eastAsia="en-AU"/>
        </w:rPr>
        <w:fldChar w:fldCharType="end"/>
      </w:r>
      <w:r w:rsidRPr="00547201">
        <w:rPr>
          <w:lang w:val="en-AU" w:eastAsia="en-AU"/>
        </w:rPr>
        <w:t xml:space="preserve"> to </w:t>
      </w:r>
      <w:r w:rsidRPr="00547201">
        <w:rPr>
          <w:lang w:val="en-AU" w:eastAsia="en-AU"/>
        </w:rPr>
        <w:fldChar w:fldCharType="begin"/>
      </w:r>
      <w:r w:rsidRPr="00547201">
        <w:rPr>
          <w:lang w:val="en-AU" w:eastAsia="en-AU"/>
        </w:rPr>
        <w:instrText xml:space="preserve"> REF _Ref480739746 \h </w:instrText>
      </w:r>
      <w:r w:rsidR="002439C8">
        <w:rPr>
          <w:lang w:val="en-AU" w:eastAsia="en-AU"/>
        </w:rPr>
        <w:instrText xml:space="preserve"> \* MERGEFORMAT </w:instrText>
      </w:r>
      <w:r w:rsidRPr="00547201">
        <w:rPr>
          <w:lang w:val="en-AU" w:eastAsia="en-AU"/>
        </w:rPr>
      </w:r>
      <w:r w:rsidRPr="00547201">
        <w:rPr>
          <w:lang w:val="en-AU" w:eastAsia="en-AU"/>
        </w:rPr>
        <w:fldChar w:fldCharType="separate"/>
      </w:r>
      <w:r w:rsidR="00251B46">
        <w:t xml:space="preserve">Figure </w:t>
      </w:r>
      <w:r w:rsidR="00251B46">
        <w:rPr>
          <w:noProof/>
        </w:rPr>
        <w:t>H</w:t>
      </w:r>
      <w:r w:rsidR="00251B46">
        <w:rPr>
          <w:noProof/>
        </w:rPr>
        <w:noBreakHyphen/>
        <w:t>5</w:t>
      </w:r>
      <w:r w:rsidRPr="00547201">
        <w:rPr>
          <w:lang w:val="en-AU" w:eastAsia="en-AU"/>
        </w:rPr>
        <w:fldChar w:fldCharType="end"/>
      </w:r>
      <w:r w:rsidRPr="00547201">
        <w:rPr>
          <w:lang w:val="en-AU" w:eastAsia="en-AU"/>
        </w:rPr>
        <w:t xml:space="preserve">) </w:t>
      </w:r>
      <w:r>
        <w:rPr>
          <w:lang w:val="en-AU" w:eastAsia="en-AU"/>
        </w:rPr>
        <w:t xml:space="preserve">remained very similar (dominated by diuron, atrazine and hexazinone) across all sites. </w:t>
      </w:r>
      <w:r w:rsidR="00CB608B">
        <w:rPr>
          <w:lang w:val="en-AU" w:eastAsia="en-AU"/>
        </w:rPr>
        <w:t>The actual amount of pesticide uses and the level of river mixing may influence the actual pesticide concentrations measured.</w:t>
      </w:r>
    </w:p>
    <w:p w14:paraId="6C809A74" w14:textId="77777777" w:rsidR="004213A7" w:rsidRDefault="004213A7" w:rsidP="002439C8">
      <w:pPr>
        <w:spacing w:line="276" w:lineRule="auto"/>
        <w:jc w:val="left"/>
        <w:rPr>
          <w:lang w:val="en-AU" w:eastAsia="en-AU"/>
        </w:rPr>
      </w:pPr>
    </w:p>
    <w:p w14:paraId="1CB23554" w14:textId="77777777" w:rsidR="004213A7" w:rsidRPr="000825F1" w:rsidRDefault="004213A7" w:rsidP="002439C8">
      <w:pPr>
        <w:spacing w:line="276" w:lineRule="auto"/>
        <w:jc w:val="left"/>
        <w:rPr>
          <w:color w:val="0070C0"/>
          <w:lang w:val="en-AU" w:eastAsia="en-AU"/>
        </w:rPr>
      </w:pPr>
      <w:r>
        <w:rPr>
          <w:lang w:val="en-AU" w:eastAsia="en-AU"/>
        </w:rPr>
        <w:t>There appears to be a seasonal change in herbicide profile across the sites within the region. In the wet season, diuron contributes approximately 50% and atrazine approximately 20% to the total pesticide concentration whereas in the dry season, the contribution of diuron drops to between 30 and 40%, and atrazine increases to an average contribution of 35%.</w:t>
      </w:r>
      <w:r w:rsidRPr="00B10C44">
        <w:rPr>
          <w:lang w:val="en-AU" w:eastAsia="en-AU"/>
        </w:rPr>
        <w:t xml:space="preserve"> </w:t>
      </w:r>
      <w:r w:rsidR="004205C2">
        <w:rPr>
          <w:lang w:val="en-AU" w:eastAsia="en-AU"/>
        </w:rPr>
        <w:t xml:space="preserve">Such change could be due to the difference between the half-lives of the two herbicides in the marine environment </w:t>
      </w:r>
      <w:r w:rsidR="008C7A35">
        <w:rPr>
          <w:lang w:val="en-AU" w:eastAsia="en-AU"/>
        </w:rPr>
        <w:fldChar w:fldCharType="begin"/>
      </w:r>
      <w:r w:rsidR="008C7A35">
        <w:rPr>
          <w:lang w:val="en-AU" w:eastAsia="en-AU"/>
        </w:rPr>
        <w:instrText xml:space="preserve"> ADDIN EN.CITE &lt;EndNote&gt;&lt;Cite&gt;&lt;Author&gt;Mercurio&lt;/Author&gt;&lt;Year&gt;2015&lt;/Year&gt;&lt;RecNum&gt;112&lt;/RecNum&gt;&lt;DisplayText&gt;(Mercurio et al., 2015)&lt;/DisplayText&gt;&lt;record&gt;&lt;rec-number&gt;112&lt;/rec-number&gt;&lt;foreign-keys&gt;&lt;key app="EN" db-id="xtpvpwz0ufxa2me5tv6v2prn2ez5p9atsvtr" timestamp="1551418468"&gt;112&lt;/key&gt;&lt;/foreign-keys&gt;&lt;ref-type name="Journal Article"&gt;17&lt;/ref-type&gt;&lt;contributors&gt;&lt;authors&gt;&lt;author&gt;Mercurio, Philip&lt;/author&gt;&lt;author&gt;Mueller, Jochen F.&lt;/author&gt;&lt;author&gt;Eaglesham, Geoff&lt;/author&gt;&lt;author&gt;Flores, Florita&lt;/author&gt;&lt;author&gt;Negri, Andrew P.&lt;/author&gt;&lt;/authors&gt;&lt;/contributors&gt;&lt;titles&gt;&lt;title&gt;Herbicide Persistence in Seawater Simulation Experiments&lt;/title&gt;&lt;secondary-title&gt;PLOS ONE&lt;/secondary-title&gt;&lt;/titles&gt;&lt;periodical&gt;&lt;full-title&gt;PLoS ONE&lt;/full-title&gt;&lt;/periodical&gt;&lt;pages&gt;e0136391&lt;/pages&gt;&lt;volume&gt;10&lt;/volume&gt;&lt;number&gt;8&lt;/number&gt;&lt;dates&gt;&lt;year&gt;2015&lt;/year&gt;&lt;/dates&gt;&lt;publisher&gt;Public Library of Science&lt;/publisher&gt;&lt;urls&gt;&lt;related-urls&gt;&lt;url&gt;https://doi.org/10.1371/journal.pone.0136391&lt;/url&gt;&lt;/related-urls&gt;&lt;/urls&gt;&lt;electronic-resource-num&gt;10.1371/journal.pone.0136391&lt;/electronic-resource-num&gt;&lt;/record&gt;&lt;/Cite&gt;&lt;/EndNote&gt;</w:instrText>
      </w:r>
      <w:r w:rsidR="008C7A35">
        <w:rPr>
          <w:lang w:val="en-AU" w:eastAsia="en-AU"/>
        </w:rPr>
        <w:fldChar w:fldCharType="separate"/>
      </w:r>
      <w:r w:rsidR="008C7A35">
        <w:rPr>
          <w:noProof/>
          <w:lang w:val="en-AU" w:eastAsia="en-AU"/>
        </w:rPr>
        <w:t>(Mercurio et al., 2015)</w:t>
      </w:r>
      <w:r w:rsidR="008C7A35">
        <w:rPr>
          <w:lang w:val="en-AU" w:eastAsia="en-AU"/>
        </w:rPr>
        <w:fldChar w:fldCharType="end"/>
      </w:r>
      <w:r w:rsidR="004205C2">
        <w:rPr>
          <w:lang w:val="en-AU" w:eastAsia="en-AU"/>
        </w:rPr>
        <w:t xml:space="preserve">. </w:t>
      </w:r>
    </w:p>
    <w:p w14:paraId="7BB486CB" w14:textId="77777777" w:rsidR="004213A7" w:rsidRPr="000825F1" w:rsidRDefault="004213A7" w:rsidP="002439C8">
      <w:pPr>
        <w:spacing w:line="276" w:lineRule="auto"/>
        <w:jc w:val="left"/>
        <w:rPr>
          <w:color w:val="0070C0"/>
          <w:lang w:val="en-GB" w:eastAsia="en-AU"/>
        </w:rPr>
      </w:pPr>
    </w:p>
    <w:p w14:paraId="57A40B30" w14:textId="77777777" w:rsidR="0059608E" w:rsidRPr="0099427D" w:rsidRDefault="0059608E" w:rsidP="002439C8">
      <w:pPr>
        <w:pStyle w:val="Heading2"/>
        <w:jc w:val="left"/>
      </w:pPr>
      <w:bookmarkStart w:id="495" w:name="_Toc455069470"/>
      <w:bookmarkStart w:id="496" w:name="_Toc455070120"/>
      <w:bookmarkStart w:id="497" w:name="_Toc455070392"/>
      <w:bookmarkStart w:id="498" w:name="_Toc455151779"/>
      <w:bookmarkStart w:id="499" w:name="_Toc455069471"/>
      <w:bookmarkStart w:id="500" w:name="_Toc455070121"/>
      <w:bookmarkStart w:id="501" w:name="_Toc455070393"/>
      <w:bookmarkStart w:id="502" w:name="_Toc455151780"/>
      <w:bookmarkStart w:id="503" w:name="_Toc461457774"/>
      <w:bookmarkStart w:id="504" w:name="_Toc14435713"/>
      <w:bookmarkEnd w:id="495"/>
      <w:bookmarkEnd w:id="496"/>
      <w:bookmarkEnd w:id="497"/>
      <w:bookmarkEnd w:id="498"/>
      <w:bookmarkEnd w:id="499"/>
      <w:bookmarkEnd w:id="500"/>
      <w:bookmarkEnd w:id="501"/>
      <w:bookmarkEnd w:id="502"/>
      <w:r w:rsidRPr="0099427D">
        <w:t>Burdekin Region</w:t>
      </w:r>
      <w:bookmarkEnd w:id="503"/>
      <w:bookmarkEnd w:id="504"/>
    </w:p>
    <w:p w14:paraId="4B4E0A93" w14:textId="77777777" w:rsidR="007C14E8" w:rsidRPr="0099427D" w:rsidRDefault="007C14E8" w:rsidP="002439C8">
      <w:pPr>
        <w:pStyle w:val="Heading3"/>
        <w:jc w:val="left"/>
      </w:pPr>
      <w:bookmarkStart w:id="505" w:name="_Toc14435714"/>
      <w:r>
        <w:t>Barratta Creek passive sampling</w:t>
      </w:r>
      <w:bookmarkEnd w:id="505"/>
    </w:p>
    <w:p w14:paraId="0BF896F3" w14:textId="77777777" w:rsidR="00D2427D" w:rsidRDefault="0053426E" w:rsidP="002439C8">
      <w:pPr>
        <w:spacing w:line="276" w:lineRule="auto"/>
        <w:jc w:val="left"/>
        <w:rPr>
          <w:lang w:val="en-AU" w:eastAsia="en-AU"/>
        </w:rPr>
      </w:pPr>
      <w:r>
        <w:rPr>
          <w:lang w:val="en-AU"/>
        </w:rPr>
        <w:t>No exceedance</w:t>
      </w:r>
      <w:r w:rsidR="00CE313C">
        <w:rPr>
          <w:lang w:val="en-AU"/>
        </w:rPr>
        <w:t>s</w:t>
      </w:r>
      <w:r>
        <w:rPr>
          <w:lang w:val="en-AU"/>
        </w:rPr>
        <w:t xml:space="preserve"> </w:t>
      </w:r>
      <w:r w:rsidR="00006F48">
        <w:rPr>
          <w:lang w:val="en-AU"/>
        </w:rPr>
        <w:t xml:space="preserve">of pesticide concentration </w:t>
      </w:r>
      <w:r w:rsidR="00117A94">
        <w:rPr>
          <w:lang w:val="en-AU"/>
        </w:rPr>
        <w:t xml:space="preserve">were </w:t>
      </w:r>
      <w:r>
        <w:rPr>
          <w:lang w:val="en-AU"/>
        </w:rPr>
        <w:t xml:space="preserve">detected </w:t>
      </w:r>
      <w:r w:rsidR="00132D30">
        <w:rPr>
          <w:lang w:val="en-AU"/>
        </w:rPr>
        <w:t>at Barratta Creek</w:t>
      </w:r>
      <w:r w:rsidR="00006F48">
        <w:rPr>
          <w:lang w:val="en-AU"/>
        </w:rPr>
        <w:t xml:space="preserve"> in </w:t>
      </w:r>
      <w:r w:rsidR="001B73E5">
        <w:rPr>
          <w:lang w:val="en-AU"/>
        </w:rPr>
        <w:t>2017–18</w:t>
      </w:r>
      <w:r w:rsidR="00006F48">
        <w:rPr>
          <w:lang w:val="en-AU"/>
        </w:rPr>
        <w:t>.</w:t>
      </w:r>
      <w:r w:rsidR="00006F48">
        <w:rPr>
          <w:lang w:val="en-AU" w:eastAsia="en-AU"/>
        </w:rPr>
        <w:t xml:space="preserve"> </w:t>
      </w:r>
    </w:p>
    <w:p w14:paraId="5AC3B12E" w14:textId="77777777" w:rsidR="00D2427D" w:rsidRDefault="00D2427D" w:rsidP="002439C8">
      <w:pPr>
        <w:spacing w:line="276" w:lineRule="auto"/>
        <w:jc w:val="left"/>
        <w:rPr>
          <w:lang w:val="en-AU" w:eastAsia="en-AU"/>
        </w:rPr>
      </w:pPr>
    </w:p>
    <w:p w14:paraId="207127CD" w14:textId="2EFC124F" w:rsidR="0053426E" w:rsidRDefault="0053426E" w:rsidP="00C454D8">
      <w:pPr>
        <w:spacing w:line="276" w:lineRule="auto"/>
        <w:rPr>
          <w:lang w:val="en-AU" w:eastAsia="en-AU"/>
        </w:rPr>
      </w:pPr>
      <w:r>
        <w:rPr>
          <w:lang w:val="en-AU" w:eastAsia="en-AU"/>
        </w:rPr>
        <w:t xml:space="preserve">Similarly to the previous monitoring year, </w:t>
      </w:r>
      <w:r w:rsidR="00147778">
        <w:rPr>
          <w:lang w:val="en-AU" w:eastAsia="en-AU"/>
        </w:rPr>
        <w:t>m</w:t>
      </w:r>
      <w:r w:rsidRPr="00DF31DE">
        <w:rPr>
          <w:lang w:val="en-AU" w:eastAsia="en-AU"/>
        </w:rPr>
        <w:t>ost</w:t>
      </w:r>
      <w:r w:rsidR="00147778">
        <w:rPr>
          <w:lang w:val="en-AU" w:eastAsia="en-AU"/>
        </w:rPr>
        <w:t xml:space="preserve"> of</w:t>
      </w:r>
      <w:r w:rsidRPr="00DF31DE">
        <w:rPr>
          <w:lang w:val="en-AU" w:eastAsia="en-AU"/>
        </w:rPr>
        <w:t xml:space="preserve"> the PSII herbicides (and metabolites) monitored in this program </w:t>
      </w:r>
      <w:r>
        <w:rPr>
          <w:lang w:val="en-AU" w:eastAsia="en-AU"/>
        </w:rPr>
        <w:t xml:space="preserve">(with the exception of </w:t>
      </w:r>
      <w:r w:rsidRPr="00DF31DE">
        <w:rPr>
          <w:lang w:val="en-AU" w:eastAsia="en-AU"/>
        </w:rPr>
        <w:t>fluometuron, prometryn and terbutryn</w:t>
      </w:r>
      <w:r>
        <w:rPr>
          <w:lang w:val="en-AU" w:eastAsia="en-AU"/>
        </w:rPr>
        <w:t xml:space="preserve">) </w:t>
      </w:r>
      <w:r w:rsidRPr="00DF31DE">
        <w:rPr>
          <w:lang w:val="en-AU" w:eastAsia="en-AU"/>
        </w:rPr>
        <w:t xml:space="preserve">were </w:t>
      </w:r>
      <w:r>
        <w:rPr>
          <w:lang w:val="en-AU" w:eastAsia="en-AU"/>
        </w:rPr>
        <w:t>detected</w:t>
      </w:r>
      <w:r w:rsidR="00C454D8">
        <w:rPr>
          <w:lang w:val="en-AU" w:eastAsia="en-AU"/>
        </w:rPr>
        <w:t xml:space="preserve"> (Appendix F</w:t>
      </w:r>
      <w:r>
        <w:rPr>
          <w:lang w:val="en-AU" w:eastAsia="en-AU"/>
        </w:rPr>
        <w:t>).</w:t>
      </w:r>
    </w:p>
    <w:p w14:paraId="17FC4848" w14:textId="77777777" w:rsidR="00EC50DD" w:rsidRDefault="00EC50DD" w:rsidP="002439C8">
      <w:pPr>
        <w:spacing w:line="276" w:lineRule="auto"/>
        <w:jc w:val="left"/>
        <w:rPr>
          <w:lang w:val="en-AU" w:eastAsia="en-AU"/>
        </w:rPr>
      </w:pPr>
    </w:p>
    <w:p w14:paraId="3010A124" w14:textId="446DC10E" w:rsidR="0053426E" w:rsidRPr="00DF31DE" w:rsidRDefault="0053426E" w:rsidP="002439C8">
      <w:pPr>
        <w:spacing w:line="276" w:lineRule="auto"/>
        <w:jc w:val="left"/>
        <w:rPr>
          <w:lang w:val="en-AU" w:eastAsia="en-AU"/>
        </w:rPr>
      </w:pPr>
      <w:r w:rsidRPr="00DF31DE">
        <w:rPr>
          <w:lang w:val="en-AU" w:eastAsia="en-AU"/>
        </w:rPr>
        <w:t xml:space="preserve">Historically, atrazine and atrazine metabolites have typically dominated the pesticide profile at Burdekin sites, including those sites monitored in previous years but no longer in the current program (e.g. Cape Cleveland; </w:t>
      </w:r>
      <w:r w:rsidRPr="00DF31DE">
        <w:rPr>
          <w:lang w:val="en-AU" w:eastAsia="en-AU"/>
        </w:rPr>
        <w:fldChar w:fldCharType="begin"/>
      </w:r>
      <w:r>
        <w:rPr>
          <w:lang w:val="en-AU" w:eastAsia="en-AU"/>
        </w:rPr>
        <w:instrText xml:space="preserve"> ADDIN EN.CITE &lt;EndNote&gt;&lt;Cite&gt;&lt;Author&gt;Gallen&lt;/Author&gt;&lt;Year&gt;2016&lt;/Year&gt;&lt;RecNum&gt;32&lt;/RecNum&gt;&lt;DisplayText&gt;(Gallen et al., 2016)&lt;/DisplayText&gt;&lt;record&gt;&lt;rec-number&gt;32&lt;/rec-number&gt;&lt;foreign-keys&gt;&lt;key app="EN" db-id="xtpvpwz0ufxa2me5tv6v2prn2ez5p9atsvtr" timestamp="1539144943"&gt;32&lt;/key&gt;&lt;/foreign-keys&gt;&lt;ref-type name="Report"&gt;27&lt;/ref-type&gt;&lt;contributors&gt;&lt;authors&gt;&lt;author&gt;Gallen, C.&lt;/author&gt;&lt;author&gt;Thompson, K.&lt;/author&gt;&lt;author&gt;Paxman, C.&lt;/author&gt;&lt;author&gt;Devlin, M.&lt;/author&gt;&lt;author&gt;Mueller, J.&lt;/author&gt;&lt;/authors&gt;&lt;/contributors&gt;&lt;titles&gt;&lt;title&gt;Marine Monitoring Program.  Annual Report for inshore pesticide monitoring: 2014 to 2015. Report for the Great Barrier Reef Marine Park Authority&lt;/title&gt;&lt;/titles&gt;&lt;dates&gt;&lt;year&gt;2016&lt;/year&gt;&lt;/dates&gt;&lt;publisher&gt;The University of Queensland, The National Research Centre for Environmental Toxicology (Entox), Brisbane&lt;/publisher&gt;&lt;urls&gt;&lt;/urls&gt;&lt;/record&gt;&lt;/Cite&gt;&lt;/EndNote&gt;</w:instrText>
      </w:r>
      <w:r w:rsidRPr="00DF31DE">
        <w:rPr>
          <w:lang w:val="en-AU" w:eastAsia="en-AU"/>
        </w:rPr>
        <w:fldChar w:fldCharType="separate"/>
      </w:r>
      <w:r w:rsidRPr="00DF31DE">
        <w:rPr>
          <w:noProof/>
          <w:lang w:val="en-AU" w:eastAsia="en-AU"/>
        </w:rPr>
        <w:t>(Gallen et al., 2016)</w:t>
      </w:r>
      <w:r w:rsidRPr="00DF31DE">
        <w:rPr>
          <w:lang w:val="en-AU" w:eastAsia="en-AU"/>
        </w:rPr>
        <w:fldChar w:fldCharType="end"/>
      </w:r>
      <w:r w:rsidRPr="00DF31DE">
        <w:rPr>
          <w:lang w:val="en-AU" w:eastAsia="en-AU"/>
        </w:rPr>
        <w:t>). The same atrazine-dominated profile was observed at Barratta Creek in 201</w:t>
      </w:r>
      <w:r>
        <w:rPr>
          <w:lang w:val="en-AU" w:eastAsia="en-AU"/>
        </w:rPr>
        <w:t>7</w:t>
      </w:r>
      <w:r w:rsidRPr="00DF31DE">
        <w:rPr>
          <w:lang w:val="en-AU" w:eastAsia="en-AU"/>
        </w:rPr>
        <w:t>-1</w:t>
      </w:r>
      <w:r>
        <w:rPr>
          <w:lang w:val="en-AU" w:eastAsia="en-AU"/>
        </w:rPr>
        <w:t>8</w:t>
      </w:r>
      <w:r w:rsidR="00147778">
        <w:rPr>
          <w:lang w:val="en-AU" w:eastAsia="en-AU"/>
        </w:rPr>
        <w:t>.</w:t>
      </w:r>
      <w:r w:rsidRPr="00DF31DE">
        <w:rPr>
          <w:lang w:val="en-AU" w:eastAsia="en-AU"/>
        </w:rPr>
        <w:t xml:space="preserve"> </w:t>
      </w:r>
      <w:r w:rsidR="00147778">
        <w:rPr>
          <w:lang w:val="en-AU" w:eastAsia="en-AU"/>
        </w:rPr>
        <w:t>I</w:t>
      </w:r>
      <w:r w:rsidRPr="00DF31DE">
        <w:rPr>
          <w:lang w:val="en-AU" w:eastAsia="en-AU"/>
        </w:rPr>
        <w:t xml:space="preserve">n contrast to </w:t>
      </w:r>
      <w:r w:rsidR="00147778">
        <w:rPr>
          <w:lang w:val="en-AU" w:eastAsia="en-AU"/>
        </w:rPr>
        <w:t>the pesticide profiles of</w:t>
      </w:r>
      <w:r w:rsidRPr="00DF31DE">
        <w:rPr>
          <w:lang w:val="en-AU" w:eastAsia="en-AU"/>
        </w:rPr>
        <w:t xml:space="preserve"> the other region</w:t>
      </w:r>
      <w:r>
        <w:rPr>
          <w:lang w:val="en-AU" w:eastAsia="en-AU"/>
        </w:rPr>
        <w:t>s,</w:t>
      </w:r>
      <w:r w:rsidRPr="00DF31DE">
        <w:rPr>
          <w:lang w:val="en-AU" w:eastAsia="en-AU"/>
        </w:rPr>
        <w:t xml:space="preserve"> atrazine levels </w:t>
      </w:r>
      <w:r>
        <w:rPr>
          <w:lang w:val="en-AU" w:eastAsia="en-AU"/>
        </w:rPr>
        <w:t xml:space="preserve">were </w:t>
      </w:r>
      <w:r w:rsidRPr="00DF31DE">
        <w:rPr>
          <w:lang w:val="en-AU" w:eastAsia="en-AU"/>
        </w:rPr>
        <w:t xml:space="preserve">higher than diuron in all sampling periods. </w:t>
      </w:r>
      <w:r w:rsidR="00CC2334">
        <w:rPr>
          <w:lang w:val="en-AU" w:eastAsia="en-AU"/>
        </w:rPr>
        <w:t>A</w:t>
      </w:r>
      <w:r w:rsidRPr="00DF31DE">
        <w:rPr>
          <w:lang w:val="en-AU" w:eastAsia="en-AU"/>
        </w:rPr>
        <w:t xml:space="preserve">trazine </w:t>
      </w:r>
      <w:r w:rsidR="00CC2334">
        <w:rPr>
          <w:lang w:val="en-AU" w:eastAsia="en-AU"/>
        </w:rPr>
        <w:t xml:space="preserve">can contribute </w:t>
      </w:r>
      <w:r w:rsidRPr="00DF31DE">
        <w:rPr>
          <w:lang w:val="en-AU" w:eastAsia="en-AU"/>
        </w:rPr>
        <w:t>up</w:t>
      </w:r>
      <w:r w:rsidR="00CC2334">
        <w:rPr>
          <w:lang w:val="en-AU" w:eastAsia="en-AU"/>
        </w:rPr>
        <w:t xml:space="preserve"> to</w:t>
      </w:r>
      <w:r w:rsidRPr="00DF31DE">
        <w:rPr>
          <w:lang w:val="en-AU" w:eastAsia="en-AU"/>
        </w:rPr>
        <w:t xml:space="preserve"> </w:t>
      </w:r>
      <w:r>
        <w:rPr>
          <w:lang w:val="en-AU" w:eastAsia="en-AU"/>
        </w:rPr>
        <w:t>80</w:t>
      </w:r>
      <w:r w:rsidR="00EC50DD">
        <w:rPr>
          <w:lang w:val="en-AU" w:eastAsia="en-AU"/>
        </w:rPr>
        <w:t>%</w:t>
      </w:r>
      <w:r w:rsidRPr="00DF31DE">
        <w:rPr>
          <w:lang w:val="en-AU" w:eastAsia="en-AU"/>
        </w:rPr>
        <w:t xml:space="preserve"> of the total </w:t>
      </w:r>
      <w:r>
        <w:rPr>
          <w:lang w:val="en-AU" w:eastAsia="en-AU"/>
        </w:rPr>
        <w:t xml:space="preserve">pesticide </w:t>
      </w:r>
      <w:r w:rsidRPr="00DF31DE">
        <w:rPr>
          <w:lang w:val="en-AU" w:eastAsia="en-AU"/>
        </w:rPr>
        <w:t>concentration (</w:t>
      </w:r>
      <w:r w:rsidRPr="00DF31DE">
        <w:rPr>
          <w:lang w:val="en-AU" w:eastAsia="en-AU"/>
        </w:rPr>
        <w:fldChar w:fldCharType="begin"/>
      </w:r>
      <w:r w:rsidRPr="00DF31DE">
        <w:rPr>
          <w:lang w:val="en-AU" w:eastAsia="en-AU"/>
        </w:rPr>
        <w:instrText xml:space="preserve"> REF _Ref480736903 \h </w:instrText>
      </w:r>
      <w:r w:rsidR="002439C8">
        <w:rPr>
          <w:lang w:val="en-AU" w:eastAsia="en-AU"/>
        </w:rPr>
        <w:instrText xml:space="preserve"> \* MERGEFORMAT </w:instrText>
      </w:r>
      <w:r w:rsidRPr="00DF31DE">
        <w:rPr>
          <w:lang w:val="en-AU" w:eastAsia="en-AU"/>
        </w:rPr>
      </w:r>
      <w:r w:rsidRPr="00DF31DE">
        <w:rPr>
          <w:lang w:val="en-AU" w:eastAsia="en-AU"/>
        </w:rPr>
        <w:fldChar w:fldCharType="separate"/>
      </w:r>
      <w:r w:rsidR="00251B46">
        <w:t xml:space="preserve">Figure </w:t>
      </w:r>
      <w:r w:rsidR="00251B46">
        <w:rPr>
          <w:noProof/>
        </w:rPr>
        <w:t>H</w:t>
      </w:r>
      <w:r w:rsidR="00251B46">
        <w:rPr>
          <w:noProof/>
        </w:rPr>
        <w:noBreakHyphen/>
        <w:t>6</w:t>
      </w:r>
      <w:r w:rsidRPr="00DF31DE">
        <w:rPr>
          <w:lang w:val="en-AU" w:eastAsia="en-AU"/>
        </w:rPr>
        <w:fldChar w:fldCharType="end"/>
      </w:r>
      <w:r w:rsidRPr="00DF31DE">
        <w:rPr>
          <w:lang w:val="en-AU" w:eastAsia="en-AU"/>
        </w:rPr>
        <w:t>)</w:t>
      </w:r>
      <w:r>
        <w:rPr>
          <w:lang w:val="en-AU" w:eastAsia="en-AU"/>
        </w:rPr>
        <w:t>, a</w:t>
      </w:r>
      <w:r w:rsidR="00EC50DD">
        <w:rPr>
          <w:lang w:val="en-AU" w:eastAsia="en-AU"/>
        </w:rPr>
        <w:t xml:space="preserve">nd contributed an average of 45% </w:t>
      </w:r>
      <w:r w:rsidR="00CC2334">
        <w:rPr>
          <w:lang w:val="en-AU" w:eastAsia="en-AU"/>
        </w:rPr>
        <w:t>in</w:t>
      </w:r>
      <w:r>
        <w:rPr>
          <w:lang w:val="en-AU" w:eastAsia="en-AU"/>
        </w:rPr>
        <w:t xml:space="preserve"> all sampling periods. </w:t>
      </w:r>
      <w:r w:rsidRPr="00DF31DE">
        <w:rPr>
          <w:lang w:val="en-AU" w:eastAsia="en-AU"/>
        </w:rPr>
        <w:t xml:space="preserve"> </w:t>
      </w:r>
    </w:p>
    <w:p w14:paraId="0902A85D" w14:textId="77777777" w:rsidR="0053426E" w:rsidRDefault="0053426E" w:rsidP="002439C8">
      <w:pPr>
        <w:spacing w:line="276" w:lineRule="auto"/>
        <w:jc w:val="left"/>
        <w:rPr>
          <w:lang w:val="en-AU" w:eastAsia="en-AU"/>
        </w:rPr>
      </w:pPr>
    </w:p>
    <w:p w14:paraId="4601B9CC" w14:textId="4FBD2587" w:rsidR="0053426E" w:rsidRDefault="0053426E" w:rsidP="00C454D8">
      <w:pPr>
        <w:spacing w:line="276" w:lineRule="auto"/>
        <w:rPr>
          <w:lang w:val="en-AU"/>
        </w:rPr>
      </w:pPr>
      <w:r>
        <w:rPr>
          <w:lang w:val="en-AU" w:eastAsia="en-AU"/>
        </w:rPr>
        <w:t xml:space="preserve">Of the other pesticides, metolachlor and </w:t>
      </w:r>
      <w:r w:rsidR="00FE6E97">
        <w:rPr>
          <w:lang w:val="en-AU" w:eastAsia="en-AU"/>
        </w:rPr>
        <w:t>2,4</w:t>
      </w:r>
      <w:r w:rsidR="00FE6E97">
        <w:rPr>
          <w:lang w:val="en-AU" w:eastAsia="en-AU"/>
        </w:rPr>
        <w:noBreakHyphen/>
        <w:t>D</w:t>
      </w:r>
      <w:r>
        <w:rPr>
          <w:lang w:val="en-AU" w:eastAsia="en-AU"/>
        </w:rPr>
        <w:t xml:space="preserve"> were also detected, with maximum concentrations of 28 and 4.6</w:t>
      </w:r>
      <w:r w:rsidR="00961C35">
        <w:rPr>
          <w:lang w:val="en-AU" w:eastAsia="en-AU"/>
        </w:rPr>
        <w:t> ng L</w:t>
      </w:r>
      <w:r w:rsidR="00A209AA" w:rsidRPr="00A209AA">
        <w:rPr>
          <w:vertAlign w:val="superscript"/>
          <w:lang w:val="en-AU" w:eastAsia="en-AU"/>
        </w:rPr>
        <w:noBreakHyphen/>
        <w:t>1</w:t>
      </w:r>
      <w:r>
        <w:rPr>
          <w:lang w:val="en-AU" w:eastAsia="en-AU"/>
        </w:rPr>
        <w:t xml:space="preserve"> respectively in May 2017. Unlike samplers from the Wet Tropics region, ametryn was consistently detected, albeit at low levels</w:t>
      </w:r>
      <w:r w:rsidR="00B90C68">
        <w:rPr>
          <w:lang w:val="en-AU" w:eastAsia="en-AU"/>
        </w:rPr>
        <w:t xml:space="preserve"> (1-10 n</w:t>
      </w:r>
      <w:r w:rsidR="00FE6E97">
        <w:rPr>
          <w:lang w:val="en-AU" w:eastAsia="en-AU"/>
        </w:rPr>
        <w:t>g L</w:t>
      </w:r>
      <w:r w:rsidR="005C25EE" w:rsidRPr="00A209AA">
        <w:rPr>
          <w:vertAlign w:val="superscript"/>
          <w:lang w:val="en-GB" w:eastAsia="en-AU"/>
        </w:rPr>
        <w:noBreakHyphen/>
        <w:t>1</w:t>
      </w:r>
      <w:r w:rsidR="00B90C68">
        <w:rPr>
          <w:lang w:val="en-AU" w:eastAsia="en-AU"/>
        </w:rPr>
        <w:t>)</w:t>
      </w:r>
      <w:r>
        <w:rPr>
          <w:lang w:val="en-AU" w:eastAsia="en-AU"/>
        </w:rPr>
        <w:t>, throughout the year.</w:t>
      </w:r>
      <w:r w:rsidRPr="00DF31DE">
        <w:rPr>
          <w:lang w:val="en-AU" w:eastAsia="en-AU"/>
        </w:rPr>
        <w:t xml:space="preserve"> Using PDMS samplers, </w:t>
      </w:r>
      <w:r>
        <w:rPr>
          <w:lang w:val="en-AU" w:eastAsia="en-AU"/>
        </w:rPr>
        <w:t xml:space="preserve">propazine, </w:t>
      </w:r>
      <w:r w:rsidRPr="00DF31DE">
        <w:rPr>
          <w:lang w:val="en-AU" w:eastAsia="en-AU"/>
        </w:rPr>
        <w:t xml:space="preserve">chlorpyrifos and pendimethalin were detected </w:t>
      </w:r>
      <w:r>
        <w:rPr>
          <w:lang w:val="en-AU" w:eastAsia="en-AU"/>
        </w:rPr>
        <w:t xml:space="preserve">in the two samplers that were successfully returned </w:t>
      </w:r>
      <w:r w:rsidRPr="00DF31DE">
        <w:rPr>
          <w:lang w:val="en-AU" w:eastAsia="en-AU"/>
        </w:rPr>
        <w:t>but at very low concentrations</w:t>
      </w:r>
      <w:r w:rsidR="00C454D8">
        <w:rPr>
          <w:lang w:val="en-AU" w:eastAsia="en-AU"/>
        </w:rPr>
        <w:t xml:space="preserve"> (Appendix F</w:t>
      </w:r>
      <w:r w:rsidRPr="00DF31DE">
        <w:rPr>
          <w:lang w:val="en-AU" w:eastAsia="en-AU"/>
        </w:rPr>
        <w:t>).</w:t>
      </w:r>
      <w:r w:rsidR="00E75EAB">
        <w:rPr>
          <w:lang w:val="en-AU"/>
        </w:rPr>
        <w:t xml:space="preserve"> </w:t>
      </w:r>
      <w:r>
        <w:rPr>
          <w:lang w:val="en-AU"/>
        </w:rPr>
        <w:t xml:space="preserve">Total pesticide concentrations in the </w:t>
      </w:r>
      <w:r w:rsidRPr="0057352D">
        <w:rPr>
          <w:lang w:val="en-AU"/>
        </w:rPr>
        <w:t xml:space="preserve">current year </w:t>
      </w:r>
      <w:r>
        <w:rPr>
          <w:lang w:val="en-AU"/>
        </w:rPr>
        <w:t>were</w:t>
      </w:r>
      <w:r w:rsidRPr="0057352D">
        <w:rPr>
          <w:lang w:val="en-AU"/>
        </w:rPr>
        <w:t xml:space="preserve"> comparable with the previous</w:t>
      </w:r>
      <w:r>
        <w:rPr>
          <w:lang w:val="en-AU"/>
        </w:rPr>
        <w:t xml:space="preserve"> two monitoring</w:t>
      </w:r>
      <w:r w:rsidRPr="0057352D">
        <w:rPr>
          <w:lang w:val="en-AU"/>
        </w:rPr>
        <w:t xml:space="preserve"> year</w:t>
      </w:r>
      <w:r>
        <w:rPr>
          <w:lang w:val="en-AU"/>
        </w:rPr>
        <w:t>s</w:t>
      </w:r>
      <w:r w:rsidRPr="0057352D">
        <w:rPr>
          <w:lang w:val="en-AU"/>
        </w:rPr>
        <w:t xml:space="preserve"> (</w:t>
      </w:r>
      <w:r w:rsidR="00B90C68" w:rsidRPr="007F03F5">
        <w:rPr>
          <w:lang w:val="en-AU" w:eastAsia="en-AU"/>
        </w:rPr>
        <w:fldChar w:fldCharType="begin"/>
      </w:r>
      <w:r w:rsidR="00B90C68" w:rsidRPr="007F03F5">
        <w:rPr>
          <w:lang w:val="en-AU" w:eastAsia="en-AU"/>
        </w:rPr>
        <w:instrText xml:space="preserve"> REF _Ref535500572 \h </w:instrText>
      </w:r>
      <w:r w:rsidR="00B90C68" w:rsidRPr="00BE05C8">
        <w:rPr>
          <w:lang w:val="en-AU" w:eastAsia="en-AU"/>
        </w:rPr>
        <w:instrText xml:space="preserve"> \* MERGEFORMAT </w:instrText>
      </w:r>
      <w:r w:rsidR="00B90C68" w:rsidRPr="007F03F5">
        <w:rPr>
          <w:lang w:val="en-AU" w:eastAsia="en-AU"/>
        </w:rPr>
      </w:r>
      <w:r w:rsidR="00B90C68" w:rsidRPr="007F03F5">
        <w:rPr>
          <w:lang w:val="en-AU" w:eastAsia="en-AU"/>
        </w:rPr>
        <w:fldChar w:fldCharType="separate"/>
      </w:r>
      <w:r w:rsidR="00251B46" w:rsidRPr="00210B7C">
        <w:t xml:space="preserve">Table </w:t>
      </w:r>
      <w:r w:rsidR="00251B46" w:rsidRPr="00251B46">
        <w:rPr>
          <w:noProof/>
        </w:rPr>
        <w:t>5</w:t>
      </w:r>
      <w:r w:rsidR="00B90C68" w:rsidRPr="007F03F5">
        <w:rPr>
          <w:lang w:val="en-AU" w:eastAsia="en-AU"/>
        </w:rPr>
        <w:fldChar w:fldCharType="end"/>
      </w:r>
      <w:r w:rsidR="00B90C68" w:rsidRPr="007F03F5">
        <w:rPr>
          <w:lang w:val="en-AU" w:eastAsia="en-AU"/>
        </w:rPr>
        <w:t>; f</w:t>
      </w:r>
      <w:r w:rsidR="00B90C68" w:rsidRPr="00D275DD">
        <w:rPr>
          <w:lang w:val="en-AU" w:eastAsia="en-AU"/>
        </w:rPr>
        <w:t xml:space="preserve">or historical data, see </w:t>
      </w:r>
      <w:r w:rsidR="00B90C68" w:rsidRPr="00D275DD">
        <w:rPr>
          <w:lang w:val="en-AU" w:eastAsia="en-AU"/>
        </w:rPr>
        <w:fldChar w:fldCharType="begin"/>
      </w:r>
      <w:r w:rsidR="00B90C68" w:rsidRPr="00D275DD">
        <w:rPr>
          <w:lang w:val="en-AU" w:eastAsia="en-AU"/>
        </w:rPr>
        <w:instrText xml:space="preserve"> REF _Ref480739744 \h  \* MERGEFORMAT </w:instrText>
      </w:r>
      <w:r w:rsidR="00B90C68" w:rsidRPr="00D275DD">
        <w:rPr>
          <w:lang w:val="en-AU" w:eastAsia="en-AU"/>
        </w:rPr>
      </w:r>
      <w:r w:rsidR="00B90C68" w:rsidRPr="00D275DD">
        <w:rPr>
          <w:lang w:val="en-AU" w:eastAsia="en-AU"/>
        </w:rPr>
        <w:fldChar w:fldCharType="separate"/>
      </w:r>
      <w:r w:rsidR="00251B46" w:rsidRPr="00251B46">
        <w:rPr>
          <w:lang w:val="en-AU" w:eastAsia="en-AU"/>
        </w:rPr>
        <w:t>Figure H</w:t>
      </w:r>
      <w:r w:rsidR="00251B46" w:rsidRPr="00251B46">
        <w:rPr>
          <w:lang w:val="en-AU" w:eastAsia="en-AU"/>
        </w:rPr>
        <w:noBreakHyphen/>
        <w:t>1</w:t>
      </w:r>
      <w:r w:rsidR="00B90C68" w:rsidRPr="00D275DD">
        <w:rPr>
          <w:lang w:val="en-AU" w:eastAsia="en-AU"/>
        </w:rPr>
        <w:fldChar w:fldCharType="end"/>
      </w:r>
      <w:r w:rsidRPr="0057352D">
        <w:rPr>
          <w:lang w:val="en-AU"/>
        </w:rPr>
        <w:t xml:space="preserve">). </w:t>
      </w:r>
    </w:p>
    <w:p w14:paraId="4B41A1EC" w14:textId="77777777" w:rsidR="00A4628B" w:rsidRDefault="00A4628B" w:rsidP="002439C8">
      <w:pPr>
        <w:spacing w:line="276" w:lineRule="auto"/>
        <w:jc w:val="left"/>
        <w:rPr>
          <w:lang w:val="en-AU"/>
        </w:rPr>
      </w:pPr>
    </w:p>
    <w:p w14:paraId="2FEDBA45" w14:textId="4CF6DBA2" w:rsidR="00C85ADD" w:rsidRPr="007D1F0E" w:rsidRDefault="007D1F0E" w:rsidP="002439C8">
      <w:pPr>
        <w:spacing w:line="276" w:lineRule="auto"/>
        <w:jc w:val="left"/>
        <w:rPr>
          <w:lang w:val="en-AU" w:eastAsia="en-AU"/>
        </w:rPr>
      </w:pPr>
      <w:r w:rsidRPr="00691CC8">
        <w:t xml:space="preserve">The </w:t>
      </w:r>
      <w:r w:rsidR="005E2B71">
        <w:rPr>
          <w:lang w:val="en-AU" w:eastAsia="en-AU"/>
        </w:rPr>
        <w:t>ms</w:t>
      </w:r>
      <w:r w:rsidR="005E2B71">
        <w:rPr>
          <w:lang w:val="en-AU" w:eastAsia="en-AU"/>
        </w:rPr>
        <w:noBreakHyphen/>
        <w:t>PAF</w:t>
      </w:r>
      <w:r w:rsidRPr="00691CC8">
        <w:rPr>
          <w:lang w:val="en-AU" w:eastAsia="en-AU"/>
        </w:rPr>
        <w:t xml:space="preserve"> values in 2017–18 at this site </w:t>
      </w:r>
      <w:r w:rsidRPr="007D68A5">
        <w:t xml:space="preserve">had a mix of </w:t>
      </w:r>
      <w:r>
        <w:t>very low risk</w:t>
      </w:r>
      <w:r w:rsidRPr="007D68A5">
        <w:t xml:space="preserve">: protective of 99% of species (i.e. less than 1% of species are affected) and </w:t>
      </w:r>
      <w:r>
        <w:rPr>
          <w:lang w:eastAsia="en-AU"/>
        </w:rPr>
        <w:t>low risk</w:t>
      </w:r>
      <w:r w:rsidRPr="007D68A5">
        <w:rPr>
          <w:lang w:eastAsia="en-AU"/>
        </w:rPr>
        <w:t xml:space="preserve">: protective of &gt;95% but &lt;99% of species (or 1 to &lt;5% of species </w:t>
      </w:r>
      <w:r w:rsidRPr="007D1F0E">
        <w:rPr>
          <w:lang w:eastAsia="en-AU"/>
        </w:rPr>
        <w:t>affected).</w:t>
      </w:r>
      <w:r w:rsidRPr="007D1F0E">
        <w:rPr>
          <w:lang w:val="en-AU"/>
        </w:rPr>
        <w:t xml:space="preserve"> </w:t>
      </w:r>
      <w:r w:rsidR="00A4628B" w:rsidRPr="007D1F0E">
        <w:rPr>
          <w:lang w:val="en-AU"/>
        </w:rPr>
        <w:t xml:space="preserve">The </w:t>
      </w:r>
      <w:r w:rsidR="005E2B71">
        <w:rPr>
          <w:lang w:val="en-AU"/>
        </w:rPr>
        <w:t>ms</w:t>
      </w:r>
      <w:r w:rsidR="005E2B71">
        <w:rPr>
          <w:lang w:val="en-AU"/>
        </w:rPr>
        <w:noBreakHyphen/>
        <w:t>PAF</w:t>
      </w:r>
      <w:r w:rsidR="00A4628B" w:rsidRPr="007D1F0E">
        <w:rPr>
          <w:lang w:val="en-AU"/>
        </w:rPr>
        <w:t xml:space="preserve"> level was highest in May 2017</w:t>
      </w:r>
      <w:r>
        <w:rPr>
          <w:lang w:val="en-AU"/>
        </w:rPr>
        <w:t xml:space="preserve"> correlating with an out of season flow</w:t>
      </w:r>
      <w:r w:rsidR="00BA1673" w:rsidRPr="007D1F0E">
        <w:rPr>
          <w:lang w:val="en-AU"/>
        </w:rPr>
        <w:t xml:space="preserve">, </w:t>
      </w:r>
      <w:r w:rsidRPr="007D1F0E">
        <w:rPr>
          <w:lang w:val="en-AU"/>
        </w:rPr>
        <w:t xml:space="preserve">although </w:t>
      </w:r>
      <w:r>
        <w:rPr>
          <w:lang w:val="en-AU"/>
        </w:rPr>
        <w:t xml:space="preserve">the risk level </w:t>
      </w:r>
      <w:r w:rsidRPr="007D1F0E">
        <w:rPr>
          <w:lang w:val="en-AU"/>
        </w:rPr>
        <w:t>r</w:t>
      </w:r>
      <w:r>
        <w:rPr>
          <w:lang w:val="en-AU"/>
        </w:rPr>
        <w:t>emained</w:t>
      </w:r>
      <w:r w:rsidRPr="007D1F0E">
        <w:rPr>
          <w:lang w:val="en-AU"/>
        </w:rPr>
        <w:t xml:space="preserve"> low.</w:t>
      </w:r>
      <w:r>
        <w:rPr>
          <w:lang w:val="en-AU"/>
        </w:rPr>
        <w:t xml:space="preserve"> </w:t>
      </w:r>
    </w:p>
    <w:p w14:paraId="4E0FB33F" w14:textId="38A0BA03" w:rsidR="002D66EB" w:rsidRPr="00165FBB" w:rsidRDefault="0022328F" w:rsidP="002439C8">
      <w:pPr>
        <w:spacing w:line="276" w:lineRule="auto"/>
        <w:jc w:val="left"/>
        <w:rPr>
          <w:lang w:val="en-AU"/>
        </w:rPr>
      </w:pPr>
      <w:r w:rsidRPr="0022328F">
        <w:rPr>
          <w:noProof/>
          <w:color w:val="0070C0"/>
          <w:lang w:val="en-AU" w:eastAsia="en-AU" w:bidi="ar-SA"/>
        </w:rPr>
        <w:drawing>
          <wp:inline distT="0" distB="0" distL="0" distR="0" wp14:anchorId="3FE87DA0" wp14:editId="35466746">
            <wp:extent cx="5499135" cy="3240000"/>
            <wp:effectExtent l="0" t="0" r="0" b="0"/>
            <wp:docPr id="7186" name="Picture 7186" descr="Temporal trends in ms-PAF values at Barratta Creek mouth fixed passive sampling (black bar) and grab samples (blue triangles) relative to the flow rate of the rivers influencing the sampling sites. Flow data from DNRM Stream Gauging Network." title="Barratta Creek flows and site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QAEHS-Research\Mueller Group\Sampling - Consultancy  Projects\AQUATIC PROJECTS\REEF RESCUE MMP\2018\May 2019 revision\NEW Appendix F - May2019\BARRATTA CK.emf"/>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499135" cy="3240000"/>
                    </a:xfrm>
                    <a:prstGeom prst="rect">
                      <a:avLst/>
                    </a:prstGeom>
                    <a:noFill/>
                    <a:ln>
                      <a:noFill/>
                    </a:ln>
                  </pic:spPr>
                </pic:pic>
              </a:graphicData>
            </a:graphic>
          </wp:inline>
        </w:drawing>
      </w:r>
    </w:p>
    <w:p w14:paraId="570D69CD" w14:textId="77777777" w:rsidR="00165FBB" w:rsidRPr="00165FBB" w:rsidRDefault="00165FBB" w:rsidP="002439C8">
      <w:pPr>
        <w:spacing w:line="276" w:lineRule="auto"/>
        <w:jc w:val="left"/>
        <w:rPr>
          <w:lang w:val="en-AU"/>
        </w:rPr>
      </w:pPr>
    </w:p>
    <w:p w14:paraId="17316821" w14:textId="3888C37F" w:rsidR="00954FCA" w:rsidRPr="00CB093C" w:rsidRDefault="00755AEF" w:rsidP="00954FCA">
      <w:pPr>
        <w:pStyle w:val="Caption"/>
        <w:rPr>
          <w:rFonts w:cs="Arial"/>
          <w:i/>
          <w:vanish/>
          <w:color w:val="000000"/>
          <w:specVanish/>
        </w:rPr>
      </w:pPr>
      <w:bookmarkStart w:id="506" w:name="_Ref502034000"/>
      <w:bookmarkStart w:id="507" w:name="_Toc15042909"/>
      <w:bookmarkStart w:id="508" w:name="_Toc527468588"/>
      <w:r w:rsidRPr="00165FBB">
        <w:rPr>
          <w:b w:val="0"/>
          <w:sz w:val="20"/>
          <w:szCs w:val="20"/>
        </w:rPr>
        <w:t xml:space="preserve">Figure </w:t>
      </w:r>
      <w:r w:rsidRPr="00165FBB">
        <w:rPr>
          <w:b w:val="0"/>
          <w:sz w:val="20"/>
          <w:szCs w:val="20"/>
        </w:rPr>
        <w:fldChar w:fldCharType="begin"/>
      </w:r>
      <w:r w:rsidRPr="00165FBB">
        <w:rPr>
          <w:b w:val="0"/>
          <w:sz w:val="20"/>
          <w:szCs w:val="20"/>
        </w:rPr>
        <w:instrText xml:space="preserve"> SEQ Figure \* ARABIC </w:instrText>
      </w:r>
      <w:r w:rsidRPr="00165FBB">
        <w:rPr>
          <w:b w:val="0"/>
          <w:sz w:val="20"/>
          <w:szCs w:val="20"/>
        </w:rPr>
        <w:fldChar w:fldCharType="separate"/>
      </w:r>
      <w:r w:rsidR="00373D4B">
        <w:rPr>
          <w:b w:val="0"/>
          <w:noProof/>
          <w:sz w:val="20"/>
          <w:szCs w:val="20"/>
        </w:rPr>
        <w:t>17</w:t>
      </w:r>
      <w:r w:rsidRPr="00165FBB">
        <w:rPr>
          <w:b w:val="0"/>
          <w:sz w:val="20"/>
          <w:szCs w:val="20"/>
        </w:rPr>
        <w:fldChar w:fldCharType="end"/>
      </w:r>
      <w:bookmarkEnd w:id="506"/>
      <w:r w:rsidRPr="00165FBB">
        <w:rPr>
          <w:b w:val="0"/>
          <w:sz w:val="20"/>
          <w:szCs w:val="20"/>
        </w:rPr>
        <w:t xml:space="preserve">: </w:t>
      </w:r>
      <w:r w:rsidR="00D15EB4" w:rsidRPr="00165FBB">
        <w:rPr>
          <w:b w:val="0"/>
          <w:sz w:val="20"/>
          <w:szCs w:val="20"/>
        </w:rPr>
        <w:t xml:space="preserve">Temporal trends in </w:t>
      </w:r>
      <w:r w:rsidR="005E2B71">
        <w:rPr>
          <w:b w:val="0"/>
          <w:sz w:val="20"/>
          <w:szCs w:val="20"/>
        </w:rPr>
        <w:t>ms</w:t>
      </w:r>
      <w:r w:rsidR="005E2B71">
        <w:rPr>
          <w:b w:val="0"/>
          <w:sz w:val="20"/>
          <w:szCs w:val="20"/>
        </w:rPr>
        <w:noBreakHyphen/>
        <w:t>PAF</w:t>
      </w:r>
      <w:r w:rsidR="001E4310" w:rsidRPr="00165FBB">
        <w:rPr>
          <w:b w:val="0"/>
          <w:sz w:val="20"/>
          <w:szCs w:val="20"/>
        </w:rPr>
        <w:t xml:space="preserve"> values</w:t>
      </w:r>
      <w:r w:rsidR="00D15EB4" w:rsidRPr="00165FBB">
        <w:rPr>
          <w:b w:val="0"/>
          <w:sz w:val="20"/>
          <w:szCs w:val="20"/>
        </w:rPr>
        <w:t xml:space="preserve"> at </w:t>
      </w:r>
      <w:r w:rsidR="00B93FA5" w:rsidRPr="00165FBB">
        <w:rPr>
          <w:b w:val="0"/>
          <w:sz w:val="20"/>
          <w:szCs w:val="20"/>
        </w:rPr>
        <w:t xml:space="preserve">Barratta Creek mouth </w:t>
      </w:r>
      <w:r w:rsidR="00D15EB4" w:rsidRPr="00165FBB">
        <w:rPr>
          <w:b w:val="0"/>
          <w:sz w:val="20"/>
          <w:szCs w:val="20"/>
        </w:rPr>
        <w:t xml:space="preserve">fixed passive sampling </w:t>
      </w:r>
      <w:r w:rsidR="007C14E8" w:rsidRPr="00165FBB">
        <w:rPr>
          <w:b w:val="0"/>
          <w:sz w:val="20"/>
          <w:szCs w:val="20"/>
        </w:rPr>
        <w:t>(black bar)</w:t>
      </w:r>
      <w:r w:rsidR="00D15EB4" w:rsidRPr="00165FBB">
        <w:rPr>
          <w:b w:val="0"/>
          <w:sz w:val="20"/>
          <w:szCs w:val="20"/>
        </w:rPr>
        <w:t xml:space="preserve"> </w:t>
      </w:r>
      <w:r w:rsidR="007C14E8" w:rsidRPr="00165FBB">
        <w:rPr>
          <w:b w:val="0"/>
          <w:sz w:val="20"/>
          <w:szCs w:val="20"/>
        </w:rPr>
        <w:t xml:space="preserve">and grab samples (blue triangles) </w:t>
      </w:r>
      <w:r w:rsidRPr="00165FBB">
        <w:rPr>
          <w:b w:val="0"/>
          <w:sz w:val="20"/>
          <w:szCs w:val="20"/>
        </w:rPr>
        <w:t xml:space="preserve">relative to the flow rate of </w:t>
      </w:r>
      <w:r w:rsidR="00B93FA5" w:rsidRPr="00165FBB">
        <w:rPr>
          <w:b w:val="0"/>
          <w:sz w:val="20"/>
          <w:szCs w:val="20"/>
        </w:rPr>
        <w:t>the rivers</w:t>
      </w:r>
      <w:r w:rsidRPr="00165FBB">
        <w:rPr>
          <w:b w:val="0"/>
          <w:sz w:val="20"/>
          <w:szCs w:val="20"/>
        </w:rPr>
        <w:t xml:space="preserve"> influencing the </w:t>
      </w:r>
      <w:r w:rsidR="00B93FA5" w:rsidRPr="00165FBB">
        <w:rPr>
          <w:b w:val="0"/>
          <w:sz w:val="20"/>
          <w:szCs w:val="20"/>
        </w:rPr>
        <w:t xml:space="preserve">sampling </w:t>
      </w:r>
      <w:r w:rsidRPr="00165FBB">
        <w:rPr>
          <w:b w:val="0"/>
          <w:sz w:val="20"/>
          <w:szCs w:val="20"/>
        </w:rPr>
        <w:t>site</w:t>
      </w:r>
      <w:r w:rsidR="00B93FA5" w:rsidRPr="00165FBB">
        <w:rPr>
          <w:b w:val="0"/>
          <w:sz w:val="20"/>
          <w:szCs w:val="20"/>
        </w:rPr>
        <w:t>s</w:t>
      </w:r>
      <w:r w:rsidRPr="00165FBB">
        <w:rPr>
          <w:b w:val="0"/>
          <w:sz w:val="20"/>
          <w:szCs w:val="20"/>
        </w:rPr>
        <w:t>.</w:t>
      </w:r>
      <w:bookmarkEnd w:id="507"/>
    </w:p>
    <w:p w14:paraId="4B5C4AFB" w14:textId="0F858CB7" w:rsidR="00755AEF" w:rsidRPr="00165FBB" w:rsidRDefault="00755AEF" w:rsidP="002439C8">
      <w:pPr>
        <w:pStyle w:val="Caption"/>
        <w:keepNext/>
        <w:spacing w:line="276" w:lineRule="auto"/>
        <w:rPr>
          <w:b w:val="0"/>
          <w:sz w:val="20"/>
          <w:szCs w:val="20"/>
        </w:rPr>
      </w:pPr>
      <w:r w:rsidRPr="00165FBB">
        <w:rPr>
          <w:b w:val="0"/>
          <w:sz w:val="20"/>
          <w:szCs w:val="20"/>
        </w:rPr>
        <w:t xml:space="preserve"> Flow data </w:t>
      </w:r>
      <w:r w:rsidR="00BA1673" w:rsidRPr="00165FBB">
        <w:rPr>
          <w:b w:val="0"/>
          <w:sz w:val="20"/>
          <w:szCs w:val="20"/>
        </w:rPr>
        <w:t>from DNRM Stream Gauging Network</w:t>
      </w:r>
      <w:r w:rsidRPr="00165FBB">
        <w:rPr>
          <w:b w:val="0"/>
          <w:sz w:val="20"/>
          <w:szCs w:val="20"/>
        </w:rPr>
        <w:t>.</w:t>
      </w:r>
      <w:bookmarkEnd w:id="508"/>
    </w:p>
    <w:p w14:paraId="2EB569E2" w14:textId="77777777" w:rsidR="00755AEF" w:rsidRPr="00755AEF" w:rsidRDefault="00755AEF" w:rsidP="002439C8">
      <w:pPr>
        <w:jc w:val="left"/>
      </w:pPr>
    </w:p>
    <w:p w14:paraId="00ABCFC2" w14:textId="62538EC3" w:rsidR="007A5D1A" w:rsidRDefault="007A5D1A" w:rsidP="002439C8">
      <w:pPr>
        <w:spacing w:line="276" w:lineRule="auto"/>
        <w:jc w:val="left"/>
        <w:rPr>
          <w:lang w:val="en-AU"/>
        </w:rPr>
      </w:pPr>
      <w:r w:rsidRPr="000C16F6">
        <w:rPr>
          <w:lang w:val="en-AU"/>
        </w:rPr>
        <w:t>The Burdekin River is historically the river with the highest long-term median discharge volume</w:t>
      </w:r>
      <w:r>
        <w:rPr>
          <w:lang w:val="en-AU"/>
        </w:rPr>
        <w:t>;</w:t>
      </w:r>
      <w:r w:rsidRPr="000C16F6">
        <w:rPr>
          <w:lang w:val="en-AU"/>
        </w:rPr>
        <w:t xml:space="preserve"> however</w:t>
      </w:r>
      <w:r>
        <w:rPr>
          <w:lang w:val="en-AU"/>
        </w:rPr>
        <w:t>,</w:t>
      </w:r>
      <w:r w:rsidRPr="000C16F6">
        <w:rPr>
          <w:lang w:val="en-AU"/>
        </w:rPr>
        <w:t xml:space="preserve"> above median discharge is intermittent and highly reliant on large rainfall events in the </w:t>
      </w:r>
      <w:r>
        <w:rPr>
          <w:lang w:val="en-AU"/>
        </w:rPr>
        <w:t>basin</w:t>
      </w:r>
      <w:r w:rsidRPr="000C16F6">
        <w:rPr>
          <w:lang w:val="en-AU"/>
        </w:rPr>
        <w:t>. In 201</w:t>
      </w:r>
      <w:r>
        <w:rPr>
          <w:lang w:val="en-AU"/>
        </w:rPr>
        <w:t>7</w:t>
      </w:r>
      <w:r w:rsidR="00B11139">
        <w:rPr>
          <w:lang w:val="en-AU"/>
        </w:rPr>
        <w:t>–</w:t>
      </w:r>
      <w:r w:rsidRPr="000C16F6">
        <w:rPr>
          <w:lang w:val="en-AU"/>
        </w:rPr>
        <w:t>1</w:t>
      </w:r>
      <w:r>
        <w:rPr>
          <w:lang w:val="en-AU"/>
        </w:rPr>
        <w:t>8</w:t>
      </w:r>
      <w:r w:rsidRPr="000C16F6">
        <w:rPr>
          <w:lang w:val="en-AU"/>
        </w:rPr>
        <w:t xml:space="preserve">, </w:t>
      </w:r>
      <w:r>
        <w:rPr>
          <w:lang w:val="en-AU"/>
        </w:rPr>
        <w:t xml:space="preserve">after several low discharge </w:t>
      </w:r>
      <w:r w:rsidRPr="000C16F6">
        <w:rPr>
          <w:lang w:val="en-AU"/>
        </w:rPr>
        <w:t xml:space="preserve">years, discharge from the Burdekin </w:t>
      </w:r>
      <w:r>
        <w:rPr>
          <w:lang w:val="en-AU"/>
        </w:rPr>
        <w:t>basin</w:t>
      </w:r>
      <w:r w:rsidRPr="000C16F6">
        <w:rPr>
          <w:lang w:val="en-AU"/>
        </w:rPr>
        <w:t xml:space="preserve"> to the Reef lagoon increased</w:t>
      </w:r>
      <w:r>
        <w:rPr>
          <w:lang w:val="en-AU"/>
        </w:rPr>
        <w:t xml:space="preserve"> for a third consecutive year</w:t>
      </w:r>
      <w:r w:rsidRPr="000C16F6">
        <w:rPr>
          <w:lang w:val="en-AU"/>
        </w:rPr>
        <w:t xml:space="preserve">. </w:t>
      </w:r>
      <w:r>
        <w:rPr>
          <w:lang w:val="en-AU"/>
        </w:rPr>
        <w:t>Unusually high rainfall during the dry season (May 2017), contributed to the highest concentrations in passive samplers detected (1.5% species affected)</w:t>
      </w:r>
      <w:r w:rsidR="007C14E8">
        <w:rPr>
          <w:lang w:val="en-AU"/>
        </w:rPr>
        <w:t xml:space="preserve"> of this monitoring year</w:t>
      </w:r>
      <w:r>
        <w:rPr>
          <w:lang w:val="en-AU"/>
        </w:rPr>
        <w:t>, which was dominated by very high levels of atrazine (309</w:t>
      </w:r>
      <w:r w:rsidR="00961C35">
        <w:rPr>
          <w:lang w:val="en-AU"/>
        </w:rPr>
        <w:t> ng L</w:t>
      </w:r>
      <w:r w:rsidR="00A209AA" w:rsidRPr="00A209AA">
        <w:rPr>
          <w:vertAlign w:val="superscript"/>
          <w:lang w:val="en-AU"/>
        </w:rPr>
        <w:noBreakHyphen/>
        <w:t>1</w:t>
      </w:r>
      <w:r>
        <w:rPr>
          <w:lang w:val="en-AU"/>
        </w:rPr>
        <w:t xml:space="preserve">). The first notable rain of the wet season fell in early December 2017 with low rainfall over January, increasing in late January/ early February 2018 but did not result in significant flow. The major rainfall occurred in late February </w:t>
      </w:r>
      <w:r w:rsidR="00645280">
        <w:rPr>
          <w:lang w:val="en-AU"/>
        </w:rPr>
        <w:t>subsequently resulting in</w:t>
      </w:r>
      <w:r>
        <w:rPr>
          <w:lang w:val="en-AU"/>
        </w:rPr>
        <w:t xml:space="preserve"> the</w:t>
      </w:r>
      <w:r w:rsidRPr="0057352D">
        <w:rPr>
          <w:lang w:val="en-AU"/>
        </w:rPr>
        <w:t xml:space="preserve"> </w:t>
      </w:r>
      <w:r>
        <w:rPr>
          <w:lang w:val="en-AU"/>
        </w:rPr>
        <w:t>flow event</w:t>
      </w:r>
      <w:r w:rsidRPr="0057352D">
        <w:rPr>
          <w:lang w:val="en-AU"/>
        </w:rPr>
        <w:t>.</w:t>
      </w:r>
    </w:p>
    <w:p w14:paraId="5A4DF1FC" w14:textId="77777777" w:rsidR="007A5D1A" w:rsidRDefault="007A5D1A" w:rsidP="002439C8">
      <w:pPr>
        <w:spacing w:line="276" w:lineRule="auto"/>
        <w:jc w:val="left"/>
        <w:rPr>
          <w:lang w:val="en-AU"/>
        </w:rPr>
      </w:pPr>
    </w:p>
    <w:p w14:paraId="7B492656" w14:textId="77777777" w:rsidR="007A5D1A" w:rsidRDefault="007A5D1A" w:rsidP="002439C8">
      <w:pPr>
        <w:spacing w:line="276" w:lineRule="auto"/>
        <w:jc w:val="left"/>
        <w:rPr>
          <w:lang w:val="en-AU"/>
        </w:rPr>
      </w:pPr>
      <w:r>
        <w:rPr>
          <w:lang w:val="en-AU"/>
        </w:rPr>
        <w:t xml:space="preserve">The Barratta Creek mouth fixed passive sampler site was highly impacted by primary water types (colour class 4 and above) for almost the entire wet season, particularly throughout February and March with several consecutive weeks of </w:t>
      </w:r>
      <w:r w:rsidR="00251160">
        <w:rPr>
          <w:lang w:val="en-AU"/>
        </w:rPr>
        <w:t>colour class</w:t>
      </w:r>
      <w:r>
        <w:rPr>
          <w:lang w:val="en-AU"/>
        </w:rPr>
        <w:t xml:space="preserve"> 2 and 1. Unfortunately no data are available for a two week period starting in late February that coincided with the major flow event of the season.</w:t>
      </w:r>
    </w:p>
    <w:p w14:paraId="4050BC16" w14:textId="77777777" w:rsidR="007C14E8" w:rsidRDefault="007C14E8" w:rsidP="002439C8">
      <w:pPr>
        <w:spacing w:line="276" w:lineRule="auto"/>
        <w:jc w:val="left"/>
        <w:rPr>
          <w:lang w:val="en-AU"/>
        </w:rPr>
      </w:pPr>
    </w:p>
    <w:p w14:paraId="744C61CB" w14:textId="28BB4182" w:rsidR="0059608E" w:rsidRDefault="0059608E" w:rsidP="002439C8">
      <w:pPr>
        <w:spacing w:line="276" w:lineRule="auto"/>
        <w:jc w:val="left"/>
        <w:rPr>
          <w:lang w:val="en-AU" w:eastAsia="en-AU"/>
        </w:rPr>
      </w:pPr>
      <w:r w:rsidRPr="0057352D">
        <w:rPr>
          <w:lang w:val="en-AU" w:eastAsia="en-AU"/>
        </w:rPr>
        <w:t>A review o</w:t>
      </w:r>
      <w:r w:rsidR="004A447B" w:rsidRPr="0057352D">
        <w:rPr>
          <w:lang w:val="en-AU" w:eastAsia="en-AU"/>
        </w:rPr>
        <w:t>f</w:t>
      </w:r>
      <w:r w:rsidRPr="0057352D">
        <w:rPr>
          <w:lang w:val="en-AU" w:eastAsia="en-AU"/>
        </w:rPr>
        <w:t xml:space="preserve"> the extent of the Burdekin flood plume indicate</w:t>
      </w:r>
      <w:r w:rsidR="004A447B" w:rsidRPr="0057352D">
        <w:rPr>
          <w:lang w:val="en-AU" w:eastAsia="en-AU"/>
        </w:rPr>
        <w:t>d</w:t>
      </w:r>
      <w:r w:rsidRPr="0057352D">
        <w:rPr>
          <w:lang w:val="en-AU" w:eastAsia="en-AU"/>
        </w:rPr>
        <w:t xml:space="preserve"> that </w:t>
      </w:r>
      <w:r w:rsidR="004A447B" w:rsidRPr="0057352D">
        <w:rPr>
          <w:lang w:val="en-AU" w:eastAsia="en-AU"/>
        </w:rPr>
        <w:t xml:space="preserve">average flood events could reach a northward distance of approximately 200 km, and </w:t>
      </w:r>
      <w:r w:rsidRPr="0057352D">
        <w:rPr>
          <w:lang w:val="en-AU" w:eastAsia="en-AU"/>
        </w:rPr>
        <w:t xml:space="preserve">the maximum for extreme large flood events </w:t>
      </w:r>
      <w:r w:rsidR="004A447B" w:rsidRPr="0057352D">
        <w:rPr>
          <w:lang w:val="en-AU" w:eastAsia="en-AU"/>
        </w:rPr>
        <w:t>could be approximately 500 km</w:t>
      </w:r>
      <w:r w:rsidRPr="0057352D">
        <w:rPr>
          <w:lang w:val="en-AU" w:eastAsia="en-AU"/>
        </w:rPr>
        <w:t xml:space="preserve"> </w:t>
      </w:r>
      <w:r w:rsidR="00C91BF5" w:rsidRPr="0057352D">
        <w:rPr>
          <w:lang w:val="en-AU" w:eastAsia="en-AU"/>
        </w:rPr>
        <w:fldChar w:fldCharType="begin"/>
      </w:r>
      <w:r w:rsidR="0018079F">
        <w:rPr>
          <w:lang w:val="en-AU" w:eastAsia="en-AU"/>
        </w:rPr>
        <w:instrText xml:space="preserve"> ADDIN EN.CITE &lt;EndNote&gt;&lt;Cite&gt;&lt;Author&gt;Lewis&lt;/Author&gt;&lt;Year&gt;2006&lt;/Year&gt;&lt;RecNum&gt;52&lt;/RecNum&gt;&lt;DisplayText&gt;(Lewis et al., 2006)&lt;/DisplayText&gt;&lt;record&gt;&lt;rec-number&gt;52&lt;/rec-number&gt;&lt;foreign-keys&gt;&lt;key app="EN" db-id="xtpvpwz0ufxa2me5tv6v2prn2ez5p9atsvtr" timestamp="1539144944"&gt;52&lt;/key&gt;&lt;/foreign-keys&gt;&lt;ref-type name="Report"&gt;27&lt;/ref-type&gt;&lt;contributors&gt;&lt;authors&gt;&lt;author&gt;Lewis, S.&lt;/author&gt;&lt;author&gt;Brodie, J. E.&lt;/author&gt;&lt;author&gt;Ledee, E.&lt;/author&gt;&lt;author&gt;Alewijnse, M&lt;/author&gt;&lt;/authors&gt;&lt;/contributors&gt;&lt;titles&gt;&lt;title&gt;The Spatial Extent of Delivery of Terrestrial Materials from the Burdekin Region in the GBR Lagoon ACTFR Report No. 06/02 &lt;/title&gt;&lt;/titles&gt;&lt;dates&gt;&lt;year&gt;2006&lt;/year&gt;&lt;/dates&gt;&lt;pub-location&gt;Australian Centre for Tropical Freshwater Research,  Burdekin Dry Tropics NRM&lt;/pub-location&gt;&lt;urls&gt;&lt;/urls&gt;&lt;/record&gt;&lt;/Cite&gt;&lt;/EndNote&gt;</w:instrText>
      </w:r>
      <w:r w:rsidR="00C91BF5" w:rsidRPr="0057352D">
        <w:rPr>
          <w:lang w:val="en-AU" w:eastAsia="en-AU"/>
        </w:rPr>
        <w:fldChar w:fldCharType="separate"/>
      </w:r>
      <w:r w:rsidR="00B33845" w:rsidRPr="0057352D">
        <w:rPr>
          <w:noProof/>
          <w:lang w:val="en-AU" w:eastAsia="en-AU"/>
        </w:rPr>
        <w:t>(Lewis et al., 2006)</w:t>
      </w:r>
      <w:r w:rsidR="00C91BF5" w:rsidRPr="0057352D">
        <w:rPr>
          <w:lang w:val="en-AU" w:eastAsia="en-AU"/>
        </w:rPr>
        <w:fldChar w:fldCharType="end"/>
      </w:r>
      <w:r w:rsidR="00211ECA" w:rsidRPr="0057352D">
        <w:rPr>
          <w:lang w:val="en-AU" w:eastAsia="en-AU"/>
        </w:rPr>
        <w:t xml:space="preserve">. </w:t>
      </w:r>
      <w:r w:rsidR="00645280">
        <w:rPr>
          <w:lang w:val="en-AU" w:eastAsia="en-AU"/>
        </w:rPr>
        <w:t>R</w:t>
      </w:r>
      <w:r w:rsidR="000E4059">
        <w:rPr>
          <w:lang w:val="en-AU" w:eastAsia="en-AU"/>
        </w:rPr>
        <w:t>etrospective calculation</w:t>
      </w:r>
      <w:r w:rsidR="00F02526" w:rsidRPr="00F02526">
        <w:rPr>
          <w:lang w:val="en-AU" w:eastAsia="en-AU"/>
        </w:rPr>
        <w:t xml:space="preserve"> </w:t>
      </w:r>
      <w:r w:rsidR="00F02526">
        <w:rPr>
          <w:lang w:val="en-AU" w:eastAsia="en-AU"/>
        </w:rPr>
        <w:t>of</w:t>
      </w:r>
      <w:r w:rsidR="00F02526" w:rsidRPr="0057352D">
        <w:rPr>
          <w:lang w:val="en-AU" w:eastAsia="en-AU"/>
        </w:rPr>
        <w:t xml:space="preserve"> the </w:t>
      </w:r>
      <w:r w:rsidR="005E2B71">
        <w:rPr>
          <w:lang w:val="en-AU" w:eastAsia="en-AU"/>
        </w:rPr>
        <w:t>ms</w:t>
      </w:r>
      <w:r w:rsidR="005E2B71">
        <w:rPr>
          <w:lang w:val="en-AU" w:eastAsia="en-AU"/>
        </w:rPr>
        <w:noBreakHyphen/>
        <w:t>PAF</w:t>
      </w:r>
      <w:r w:rsidR="00F02526">
        <w:rPr>
          <w:lang w:val="en-AU" w:eastAsia="en-AU"/>
        </w:rPr>
        <w:t xml:space="preserve"> metric</w:t>
      </w:r>
      <w:r w:rsidR="000E4059">
        <w:rPr>
          <w:lang w:val="en-AU" w:eastAsia="en-AU"/>
        </w:rPr>
        <w:t>, for</w:t>
      </w:r>
      <w:r w:rsidR="004A447B" w:rsidRPr="0057352D">
        <w:rPr>
          <w:lang w:val="en-AU" w:eastAsia="en-AU"/>
        </w:rPr>
        <w:t xml:space="preserve"> </w:t>
      </w:r>
      <w:r w:rsidR="00273230">
        <w:rPr>
          <w:lang w:val="en-AU" w:eastAsia="en-AU"/>
        </w:rPr>
        <w:t xml:space="preserve">the </w:t>
      </w:r>
      <w:r w:rsidR="004A447B" w:rsidRPr="0057352D">
        <w:rPr>
          <w:lang w:val="en-AU" w:eastAsia="en-AU"/>
        </w:rPr>
        <w:t xml:space="preserve">previous dry </w:t>
      </w:r>
      <w:r w:rsidR="004A447B" w:rsidRPr="00645280">
        <w:rPr>
          <w:lang w:val="en-AU" w:eastAsia="en-AU"/>
        </w:rPr>
        <w:t>year</w:t>
      </w:r>
      <w:r w:rsidR="00251160" w:rsidRPr="00645280">
        <w:rPr>
          <w:lang w:val="en-AU" w:eastAsia="en-AU"/>
        </w:rPr>
        <w:t xml:space="preserve"> of 2016</w:t>
      </w:r>
      <w:r w:rsidR="00645280" w:rsidRPr="00645280">
        <w:rPr>
          <w:lang w:val="en-AU" w:eastAsia="en-AU"/>
        </w:rPr>
        <w:t>–</w:t>
      </w:r>
      <w:r w:rsidR="00251160" w:rsidRPr="00645280">
        <w:rPr>
          <w:lang w:val="en-AU" w:eastAsia="en-AU"/>
        </w:rPr>
        <w:t>2017</w:t>
      </w:r>
      <w:r w:rsidR="004A447B" w:rsidRPr="00645280">
        <w:rPr>
          <w:lang w:val="en-AU" w:eastAsia="en-AU"/>
        </w:rPr>
        <w:t xml:space="preserve">, </w:t>
      </w:r>
      <w:r w:rsidR="00645280" w:rsidRPr="00645280">
        <w:rPr>
          <w:lang w:val="en-AU" w:eastAsia="en-AU"/>
        </w:rPr>
        <w:t>showed this</w:t>
      </w:r>
      <w:r w:rsidR="00645280" w:rsidRPr="00691CC8">
        <w:rPr>
          <w:lang w:val="en-AU" w:eastAsia="en-AU"/>
        </w:rPr>
        <w:t xml:space="preserve"> site </w:t>
      </w:r>
      <w:r w:rsidR="00645280" w:rsidRPr="00691CC8">
        <w:t xml:space="preserve">met the </w:t>
      </w:r>
      <w:r w:rsidR="00645280" w:rsidRPr="00691CC8">
        <w:rPr>
          <w:lang w:eastAsia="en-AU"/>
        </w:rPr>
        <w:t xml:space="preserve">desired </w:t>
      </w:r>
      <w:r w:rsidR="00645280" w:rsidRPr="00691CC8">
        <w:t xml:space="preserve">very low risk category 5: protective of 99% of species (i.e. less than 1% of species are affected) </w:t>
      </w:r>
      <w:r w:rsidR="00645280" w:rsidRPr="00691CC8">
        <w:rPr>
          <w:lang w:val="en-AU" w:eastAsia="en-AU"/>
        </w:rPr>
        <w:t xml:space="preserve">for </w:t>
      </w:r>
      <w:r w:rsidR="00645280">
        <w:rPr>
          <w:lang w:val="en-AU" w:eastAsia="en-AU"/>
        </w:rPr>
        <w:t>all deployments.</w:t>
      </w:r>
    </w:p>
    <w:p w14:paraId="6D352C48" w14:textId="091E9DF4" w:rsidR="00C454D8" w:rsidRDefault="00C454D8" w:rsidP="002439C8">
      <w:pPr>
        <w:spacing w:line="276" w:lineRule="auto"/>
        <w:jc w:val="left"/>
        <w:rPr>
          <w:lang w:val="en-AU" w:eastAsia="en-AU"/>
        </w:rPr>
      </w:pPr>
    </w:p>
    <w:p w14:paraId="519CD831" w14:textId="77777777" w:rsidR="00C454D8" w:rsidRPr="0057352D" w:rsidRDefault="00C454D8" w:rsidP="002439C8">
      <w:pPr>
        <w:spacing w:line="276" w:lineRule="auto"/>
        <w:jc w:val="left"/>
        <w:rPr>
          <w:lang w:val="en-AU" w:eastAsia="en-AU"/>
        </w:rPr>
      </w:pPr>
    </w:p>
    <w:p w14:paraId="7DF2A982" w14:textId="77777777" w:rsidR="00B10C44" w:rsidRPr="0099427D" w:rsidRDefault="00B10C44" w:rsidP="002439C8">
      <w:pPr>
        <w:pStyle w:val="Heading3"/>
        <w:jc w:val="left"/>
      </w:pPr>
      <w:bookmarkStart w:id="509" w:name="_Toc14435715"/>
      <w:r>
        <w:t>Burdekin Focus Region flood plume sampling</w:t>
      </w:r>
      <w:bookmarkEnd w:id="509"/>
    </w:p>
    <w:p w14:paraId="615DD15E" w14:textId="677D92BD" w:rsidR="005C3B47" w:rsidRDefault="00BD5C81" w:rsidP="00373D4B">
      <w:pPr>
        <w:rPr>
          <w:lang w:val="en-AU"/>
        </w:rPr>
      </w:pPr>
      <w:r w:rsidRPr="00FF7BCF">
        <w:rPr>
          <w:lang w:val="en-AU"/>
        </w:rPr>
        <w:t>In addition to deploying passive samplers at the Barratta Creek mouth, grab samples were collected from this location</w:t>
      </w:r>
      <w:r w:rsidR="006F081B" w:rsidRPr="00FF7BCF">
        <w:rPr>
          <w:lang w:val="en-AU"/>
        </w:rPr>
        <w:t xml:space="preserve"> throughout the year</w:t>
      </w:r>
      <w:r w:rsidRPr="00FF7BCF">
        <w:rPr>
          <w:lang w:val="en-AU"/>
        </w:rPr>
        <w:t>.</w:t>
      </w:r>
      <w:r w:rsidR="006F081B" w:rsidRPr="00FF7BCF">
        <w:rPr>
          <w:lang w:val="en-AU"/>
        </w:rPr>
        <w:t xml:space="preserve"> </w:t>
      </w:r>
      <w:r w:rsidR="009E447D">
        <w:rPr>
          <w:lang w:val="en-AU"/>
        </w:rPr>
        <w:t xml:space="preserve">Concentrations in grab samples were low, likely due to the timing of their collection during periods of relatively </w:t>
      </w:r>
      <w:r w:rsidR="00E6740D">
        <w:rPr>
          <w:lang w:val="en-AU"/>
        </w:rPr>
        <w:t xml:space="preserve">low </w:t>
      </w:r>
      <w:r w:rsidR="009E447D">
        <w:rPr>
          <w:lang w:val="en-AU"/>
        </w:rPr>
        <w:t>flow, and therefore</w:t>
      </w:r>
      <w:r w:rsidR="00E6740D">
        <w:rPr>
          <w:lang w:val="en-AU"/>
        </w:rPr>
        <w:t>,</w:t>
      </w:r>
      <w:r w:rsidR="009E447D">
        <w:rPr>
          <w:lang w:val="en-AU"/>
        </w:rPr>
        <w:t xml:space="preserve"> it is </w:t>
      </w:r>
      <w:r w:rsidR="00F02526">
        <w:rPr>
          <w:lang w:val="en-AU"/>
        </w:rPr>
        <w:t>likely</w:t>
      </w:r>
      <w:r w:rsidR="009E447D">
        <w:rPr>
          <w:lang w:val="en-AU"/>
        </w:rPr>
        <w:t xml:space="preserve"> that the </w:t>
      </w:r>
      <w:r w:rsidR="00F02526">
        <w:rPr>
          <w:lang w:val="en-AU"/>
        </w:rPr>
        <w:t>c</w:t>
      </w:r>
      <w:r w:rsidR="009E447D">
        <w:rPr>
          <w:lang w:val="en-AU"/>
        </w:rPr>
        <w:t xml:space="preserve">oncentrations of pesticides at this site </w:t>
      </w:r>
      <w:r w:rsidR="005C3B47">
        <w:rPr>
          <w:lang w:val="en-AU"/>
        </w:rPr>
        <w:t>we</w:t>
      </w:r>
      <w:r w:rsidR="009E447D">
        <w:rPr>
          <w:lang w:val="en-AU"/>
        </w:rPr>
        <w:t xml:space="preserve">re </w:t>
      </w:r>
      <w:r w:rsidR="009E447D" w:rsidRPr="005C3B47">
        <w:rPr>
          <w:lang w:val="en-AU"/>
        </w:rPr>
        <w:t>underestimated</w:t>
      </w:r>
      <w:r w:rsidR="005C3B47" w:rsidRPr="005C3B47">
        <w:rPr>
          <w:lang w:val="en-AU"/>
        </w:rPr>
        <w:t xml:space="preserve"> (</w:t>
      </w:r>
      <w:r w:rsidR="00373D4B">
        <w:rPr>
          <w:lang w:val="en-AU"/>
        </w:rPr>
        <w:fldChar w:fldCharType="begin"/>
      </w:r>
      <w:r w:rsidR="00373D4B">
        <w:rPr>
          <w:lang w:val="en-AU"/>
        </w:rPr>
        <w:instrText xml:space="preserve"> REF _Ref502034000 \h </w:instrText>
      </w:r>
      <w:r w:rsidR="00373D4B">
        <w:rPr>
          <w:lang w:val="en-AU"/>
        </w:rPr>
      </w:r>
      <w:r w:rsidR="00373D4B">
        <w:rPr>
          <w:lang w:val="en-AU"/>
        </w:rPr>
        <w:fldChar w:fldCharType="separate"/>
      </w:r>
      <w:r w:rsidR="00373D4B" w:rsidRPr="00165FBB">
        <w:rPr>
          <w:sz w:val="20"/>
          <w:szCs w:val="20"/>
        </w:rPr>
        <w:t xml:space="preserve">Figure </w:t>
      </w:r>
      <w:r w:rsidR="00373D4B">
        <w:rPr>
          <w:b/>
          <w:noProof/>
          <w:sz w:val="20"/>
          <w:szCs w:val="20"/>
        </w:rPr>
        <w:t>17</w:t>
      </w:r>
      <w:r w:rsidR="00373D4B">
        <w:rPr>
          <w:lang w:val="en-AU"/>
        </w:rPr>
        <w:fldChar w:fldCharType="end"/>
      </w:r>
      <w:r w:rsidR="005C3B47" w:rsidRPr="00581507">
        <w:t>)</w:t>
      </w:r>
      <w:r w:rsidR="009E447D" w:rsidRPr="005C3B47">
        <w:rPr>
          <w:lang w:val="en-AU"/>
        </w:rPr>
        <w:t>.</w:t>
      </w:r>
      <w:r w:rsidR="009E447D">
        <w:rPr>
          <w:lang w:val="en-AU"/>
        </w:rPr>
        <w:t xml:space="preserve"> </w:t>
      </w:r>
    </w:p>
    <w:p w14:paraId="6735E7C6" w14:textId="77777777" w:rsidR="005C3B47" w:rsidRDefault="005C3B47" w:rsidP="00373D4B">
      <w:pPr>
        <w:rPr>
          <w:lang w:val="en-AU"/>
        </w:rPr>
      </w:pPr>
    </w:p>
    <w:p w14:paraId="1A0994F6" w14:textId="68F4C557" w:rsidR="005C3B47" w:rsidRPr="00FF7BCF" w:rsidRDefault="006077F4" w:rsidP="002439C8">
      <w:pPr>
        <w:spacing w:line="276" w:lineRule="auto"/>
        <w:jc w:val="left"/>
        <w:rPr>
          <w:lang w:val="en-AU"/>
        </w:rPr>
      </w:pPr>
      <w:r>
        <w:rPr>
          <w:lang w:val="en-AU"/>
        </w:rPr>
        <w:t xml:space="preserve">Despite </w:t>
      </w:r>
      <w:r w:rsidR="00E6740D">
        <w:rPr>
          <w:lang w:val="en-AU"/>
        </w:rPr>
        <w:t>the low</w:t>
      </w:r>
      <w:r>
        <w:rPr>
          <w:lang w:val="en-AU"/>
        </w:rPr>
        <w:t xml:space="preserve"> flow</w:t>
      </w:r>
      <w:r w:rsidR="00E6740D">
        <w:rPr>
          <w:lang w:val="en-AU"/>
        </w:rPr>
        <w:t>s</w:t>
      </w:r>
      <w:r>
        <w:rPr>
          <w:lang w:val="en-AU"/>
        </w:rPr>
        <w:t xml:space="preserve"> recorded</w:t>
      </w:r>
      <w:r w:rsidR="00E6740D">
        <w:rPr>
          <w:lang w:val="en-AU"/>
        </w:rPr>
        <w:t xml:space="preserve"> over the majority of the wet season</w:t>
      </w:r>
      <w:r>
        <w:rPr>
          <w:lang w:val="en-AU"/>
        </w:rPr>
        <w:t xml:space="preserve">, the water types recorded at this location indicated primary plume waters were impacting the site across the wet season. </w:t>
      </w:r>
      <w:r w:rsidR="005C3B47" w:rsidRPr="005C3B47">
        <w:rPr>
          <w:lang w:val="en-AU"/>
        </w:rPr>
        <w:t xml:space="preserve">Two grab samples were taken during periods when colour class 2 waters were prevalent; however, these </w:t>
      </w:r>
      <w:r w:rsidR="005C3B47">
        <w:rPr>
          <w:lang w:val="en-AU"/>
        </w:rPr>
        <w:t xml:space="preserve">grab </w:t>
      </w:r>
      <w:r w:rsidR="005C3B47" w:rsidRPr="005C3B47">
        <w:rPr>
          <w:lang w:val="en-AU"/>
        </w:rPr>
        <w:t>samples did not reflect the relatively high pesticide concentrations indicated by the passive samplers deployed over that period of time</w:t>
      </w:r>
      <w:r>
        <w:rPr>
          <w:lang w:val="en-AU"/>
        </w:rPr>
        <w:t xml:space="preserve"> (Table E-2; Appendix E). </w:t>
      </w:r>
      <w:r w:rsidR="001A0C9A">
        <w:rPr>
          <w:lang w:val="en-AU"/>
        </w:rPr>
        <w:t xml:space="preserve">All of the grab samples </w:t>
      </w:r>
      <w:r w:rsidR="001A0C9A" w:rsidRPr="00691CC8">
        <w:t xml:space="preserve">met the </w:t>
      </w:r>
      <w:r w:rsidR="001A0C9A" w:rsidRPr="00691CC8">
        <w:rPr>
          <w:lang w:eastAsia="en-AU"/>
        </w:rPr>
        <w:t xml:space="preserve">desired </w:t>
      </w:r>
      <w:r w:rsidR="001A0C9A" w:rsidRPr="00691CC8">
        <w:t xml:space="preserve">very low risk category 5: protective of 99% of species (i.e. less </w:t>
      </w:r>
      <w:r w:rsidR="001A0C9A">
        <w:t>than 1% of species are affected</w:t>
      </w:r>
      <w:r w:rsidR="009E447D" w:rsidRPr="001A0C9A">
        <w:rPr>
          <w:lang w:val="en-AU"/>
        </w:rPr>
        <w:t>). Atrazine and</w:t>
      </w:r>
      <w:r w:rsidR="009E447D">
        <w:rPr>
          <w:lang w:val="en-AU"/>
        </w:rPr>
        <w:t xml:space="preserve"> its metabolite DE atrazine </w:t>
      </w:r>
      <w:r w:rsidR="005C3B47">
        <w:rPr>
          <w:lang w:val="en-AU"/>
        </w:rPr>
        <w:t>were dominant in</w:t>
      </w:r>
      <w:r w:rsidR="009E447D">
        <w:rPr>
          <w:lang w:val="en-AU"/>
        </w:rPr>
        <w:t xml:space="preserve"> the pesticide profile</w:t>
      </w:r>
      <w:r w:rsidR="005C3B47">
        <w:rPr>
          <w:lang w:val="en-AU"/>
        </w:rPr>
        <w:t xml:space="preserve"> although at very low concentration (Atrazine C</w:t>
      </w:r>
      <w:r w:rsidR="005C3B47">
        <w:rPr>
          <w:vertAlign w:val="subscript"/>
          <w:lang w:val="en-AU"/>
        </w:rPr>
        <w:t>max</w:t>
      </w:r>
      <w:r w:rsidR="005C3B47">
        <w:rPr>
          <w:lang w:val="en-AU"/>
        </w:rPr>
        <w:t xml:space="preserve"> 12</w:t>
      </w:r>
      <w:r w:rsidR="00961C35">
        <w:rPr>
          <w:lang w:val="en-AU"/>
        </w:rPr>
        <w:t> ng L</w:t>
      </w:r>
      <w:r w:rsidR="00A209AA" w:rsidRPr="00A209AA">
        <w:rPr>
          <w:vertAlign w:val="superscript"/>
          <w:lang w:val="en-AU"/>
        </w:rPr>
        <w:noBreakHyphen/>
        <w:t>1</w:t>
      </w:r>
      <w:r w:rsidR="005C3B47">
        <w:rPr>
          <w:lang w:val="en-AU"/>
        </w:rPr>
        <w:t>)</w:t>
      </w:r>
      <w:r w:rsidR="0021774D">
        <w:rPr>
          <w:lang w:val="en-AU"/>
        </w:rPr>
        <w:t xml:space="preserve">. Many of the PSII herbicides and other pesticides that were detected in passive samplers at this site were below detection limits in the grab samples. </w:t>
      </w:r>
    </w:p>
    <w:p w14:paraId="7CA468C5" w14:textId="77777777" w:rsidR="00F91390" w:rsidRDefault="00F91390" w:rsidP="002439C8">
      <w:pPr>
        <w:spacing w:line="276" w:lineRule="auto"/>
        <w:jc w:val="left"/>
        <w:rPr>
          <w:sz w:val="18"/>
          <w:szCs w:val="18"/>
          <w:lang w:val="en-AU" w:eastAsia="en-AU"/>
        </w:rPr>
      </w:pPr>
    </w:p>
    <w:p w14:paraId="4A5451BD" w14:textId="77777777" w:rsidR="0059608E" w:rsidRPr="000C5D2A" w:rsidRDefault="0059608E" w:rsidP="002439C8">
      <w:pPr>
        <w:pStyle w:val="Heading2"/>
        <w:jc w:val="left"/>
      </w:pPr>
      <w:bookmarkStart w:id="510" w:name="_Toc535848721"/>
      <w:bookmarkStart w:id="511" w:name="_Toc378287120"/>
      <w:bookmarkStart w:id="512" w:name="_Toc335638591"/>
      <w:bookmarkStart w:id="513" w:name="_Toc335641201"/>
      <w:bookmarkStart w:id="514" w:name="_Toc335638592"/>
      <w:bookmarkStart w:id="515" w:name="_Toc335641202"/>
      <w:bookmarkStart w:id="516" w:name="_Toc335638593"/>
      <w:bookmarkStart w:id="517" w:name="_Toc335641203"/>
      <w:bookmarkStart w:id="518" w:name="_Toc335638594"/>
      <w:bookmarkStart w:id="519" w:name="_Toc335641204"/>
      <w:bookmarkStart w:id="520" w:name="_Toc335638595"/>
      <w:bookmarkStart w:id="521" w:name="_Toc335641205"/>
      <w:bookmarkStart w:id="522" w:name="_Toc335638596"/>
      <w:bookmarkStart w:id="523" w:name="_Toc335641206"/>
      <w:bookmarkStart w:id="524" w:name="_Toc335638597"/>
      <w:bookmarkStart w:id="525" w:name="_Toc335641207"/>
      <w:bookmarkStart w:id="526" w:name="_Toc335638598"/>
      <w:bookmarkStart w:id="527" w:name="_Toc335641208"/>
      <w:bookmarkStart w:id="528" w:name="_Toc335638599"/>
      <w:bookmarkStart w:id="529" w:name="_Toc335641209"/>
      <w:bookmarkStart w:id="530" w:name="_Toc335638600"/>
      <w:bookmarkStart w:id="531" w:name="_Toc335641210"/>
      <w:bookmarkStart w:id="532" w:name="_Toc335638601"/>
      <w:bookmarkStart w:id="533" w:name="_Toc335641211"/>
      <w:bookmarkStart w:id="534" w:name="_Toc335638602"/>
      <w:bookmarkStart w:id="535" w:name="_Toc335641212"/>
      <w:bookmarkStart w:id="536" w:name="_Toc335638603"/>
      <w:bookmarkStart w:id="537" w:name="_Toc335641213"/>
      <w:bookmarkStart w:id="538" w:name="_Toc335638604"/>
      <w:bookmarkStart w:id="539" w:name="_Toc335641214"/>
      <w:bookmarkStart w:id="540" w:name="_Toc335638605"/>
      <w:bookmarkStart w:id="541" w:name="_Toc335641215"/>
      <w:bookmarkStart w:id="542" w:name="_Toc335638606"/>
      <w:bookmarkStart w:id="543" w:name="_Toc335641216"/>
      <w:bookmarkStart w:id="544" w:name="_Toc335638607"/>
      <w:bookmarkStart w:id="545" w:name="_Toc335641217"/>
      <w:bookmarkStart w:id="546" w:name="_Toc335638608"/>
      <w:bookmarkStart w:id="547" w:name="_Toc335641218"/>
      <w:bookmarkStart w:id="548" w:name="_Toc335638609"/>
      <w:bookmarkStart w:id="549" w:name="_Toc335641219"/>
      <w:bookmarkStart w:id="550" w:name="_Toc335638610"/>
      <w:bookmarkStart w:id="551" w:name="_Toc335641220"/>
      <w:bookmarkStart w:id="552" w:name="_Toc335638611"/>
      <w:bookmarkStart w:id="553" w:name="_Toc335641221"/>
      <w:bookmarkStart w:id="554" w:name="_Toc335638612"/>
      <w:bookmarkStart w:id="555" w:name="_Toc335641222"/>
      <w:bookmarkStart w:id="556" w:name="_Toc335638613"/>
      <w:bookmarkStart w:id="557" w:name="_Toc335641223"/>
      <w:bookmarkStart w:id="558" w:name="_Toc335638614"/>
      <w:bookmarkStart w:id="559" w:name="_Toc335641224"/>
      <w:bookmarkStart w:id="560" w:name="_Toc335638615"/>
      <w:bookmarkStart w:id="561" w:name="_Toc335641225"/>
      <w:bookmarkStart w:id="562" w:name="_Toc335638616"/>
      <w:bookmarkStart w:id="563" w:name="_Toc335641226"/>
      <w:bookmarkStart w:id="564" w:name="_Toc335638617"/>
      <w:bookmarkStart w:id="565" w:name="_Toc335641227"/>
      <w:bookmarkStart w:id="566" w:name="_Toc461457776"/>
      <w:bookmarkStart w:id="567" w:name="_Toc14435716"/>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r w:rsidRPr="000C5D2A">
        <w:t>Mackay Whitsunday Region</w:t>
      </w:r>
      <w:bookmarkEnd w:id="566"/>
      <w:bookmarkEnd w:id="567"/>
    </w:p>
    <w:p w14:paraId="1FD0A963" w14:textId="77777777" w:rsidR="00CB75D5" w:rsidRDefault="00CB75D5" w:rsidP="002439C8">
      <w:pPr>
        <w:spacing w:line="276" w:lineRule="auto"/>
        <w:jc w:val="left"/>
        <w:rPr>
          <w:lang w:val="en-AU"/>
        </w:rPr>
      </w:pPr>
      <w:r>
        <w:rPr>
          <w:lang w:val="en-AU" w:eastAsia="en-AU"/>
        </w:rPr>
        <w:t>I</w:t>
      </w:r>
      <w:r w:rsidRPr="00A33FB5">
        <w:rPr>
          <w:lang w:val="en-AU" w:eastAsia="en-AU"/>
        </w:rPr>
        <w:t xml:space="preserve">n </w:t>
      </w:r>
      <w:r w:rsidR="001B73E5">
        <w:rPr>
          <w:lang w:val="en-AU" w:eastAsia="en-AU"/>
        </w:rPr>
        <w:t>2017–18</w:t>
      </w:r>
      <w:r>
        <w:rPr>
          <w:lang w:val="en-AU" w:eastAsia="en-AU"/>
        </w:rPr>
        <w:t>,</w:t>
      </w:r>
      <w:r w:rsidRPr="00A33FB5">
        <w:rPr>
          <w:lang w:val="en-AU" w:eastAsia="en-AU"/>
        </w:rPr>
        <w:t xml:space="preserve"> </w:t>
      </w:r>
      <w:r>
        <w:rPr>
          <w:lang w:val="en-AU" w:eastAsia="en-AU"/>
        </w:rPr>
        <w:t>i</w:t>
      </w:r>
      <w:r>
        <w:rPr>
          <w:lang w:val="en-AU"/>
        </w:rPr>
        <w:t>n most sites of this region, there is n</w:t>
      </w:r>
      <w:r w:rsidR="00F363A0">
        <w:rPr>
          <w:lang w:val="en-AU"/>
        </w:rPr>
        <w:t>o exceedance</w:t>
      </w:r>
      <w:r>
        <w:rPr>
          <w:lang w:val="en-AU"/>
        </w:rPr>
        <w:t xml:space="preserve"> except </w:t>
      </w:r>
      <w:r w:rsidR="00144A2C">
        <w:rPr>
          <w:lang w:val="en-AU"/>
        </w:rPr>
        <w:t>on</w:t>
      </w:r>
      <w:r>
        <w:rPr>
          <w:lang w:val="en-AU"/>
        </w:rPr>
        <w:t xml:space="preserve"> two occasions </w:t>
      </w:r>
      <w:r w:rsidR="00144A2C">
        <w:rPr>
          <w:lang w:val="en-AU"/>
        </w:rPr>
        <w:t>at the</w:t>
      </w:r>
      <w:r>
        <w:rPr>
          <w:lang w:val="en-AU"/>
        </w:rPr>
        <w:t xml:space="preserve"> </w:t>
      </w:r>
      <w:r w:rsidRPr="00A33FB5">
        <w:rPr>
          <w:lang w:val="en-AU" w:eastAsia="en-AU"/>
        </w:rPr>
        <w:t>Round Top Island site</w:t>
      </w:r>
      <w:r>
        <w:rPr>
          <w:lang w:val="en-AU" w:eastAsia="en-AU"/>
        </w:rPr>
        <w:t xml:space="preserve"> where the PGVs</w:t>
      </w:r>
      <w:r w:rsidRPr="00A33FB5">
        <w:rPr>
          <w:lang w:val="en-AU" w:eastAsia="en-AU"/>
        </w:rPr>
        <w:t xml:space="preserve"> </w:t>
      </w:r>
      <w:r>
        <w:rPr>
          <w:lang w:val="en-AU" w:eastAsia="en-AU"/>
        </w:rPr>
        <w:t xml:space="preserve">of </w:t>
      </w:r>
      <w:r w:rsidRPr="00A33FB5">
        <w:rPr>
          <w:lang w:val="en-AU" w:eastAsia="en-AU"/>
        </w:rPr>
        <w:t>diuron</w:t>
      </w:r>
      <w:r>
        <w:rPr>
          <w:lang w:val="en-AU" w:eastAsia="en-AU"/>
        </w:rPr>
        <w:t xml:space="preserve"> was exceeded</w:t>
      </w:r>
      <w:r w:rsidRPr="00A33FB5">
        <w:rPr>
          <w:lang w:val="en-AU" w:eastAsia="en-AU"/>
        </w:rPr>
        <w:t xml:space="preserve">. </w:t>
      </w:r>
      <w:r>
        <w:rPr>
          <w:lang w:val="en-AU" w:eastAsia="en-AU"/>
        </w:rPr>
        <w:t xml:space="preserve">This is </w:t>
      </w:r>
      <w:r w:rsidRPr="00A33FB5">
        <w:rPr>
          <w:lang w:val="en-AU" w:eastAsia="en-AU"/>
        </w:rPr>
        <w:t xml:space="preserve">the </w:t>
      </w:r>
      <w:r>
        <w:rPr>
          <w:lang w:val="en-AU" w:eastAsia="en-AU"/>
        </w:rPr>
        <w:t>third consecutive</w:t>
      </w:r>
      <w:r w:rsidRPr="00A33FB5">
        <w:rPr>
          <w:lang w:val="en-AU" w:eastAsia="en-AU"/>
        </w:rPr>
        <w:t xml:space="preserve"> year that wet season levels have exceeded </w:t>
      </w:r>
      <w:r>
        <w:rPr>
          <w:lang w:val="en-AU" w:eastAsia="en-AU"/>
        </w:rPr>
        <w:t xml:space="preserve">proposed </w:t>
      </w:r>
      <w:r w:rsidRPr="00A33FB5">
        <w:rPr>
          <w:lang w:val="en-AU" w:eastAsia="en-AU"/>
        </w:rPr>
        <w:t>guideline values in a deployment period at this site.</w:t>
      </w:r>
      <w:r w:rsidRPr="00CB75D5">
        <w:rPr>
          <w:lang w:val="en-AU" w:eastAsia="en-AU"/>
        </w:rPr>
        <w:t xml:space="preserve"> </w:t>
      </w:r>
      <w:r w:rsidRPr="00A33FB5">
        <w:rPr>
          <w:lang w:val="en-AU" w:eastAsia="en-AU"/>
        </w:rPr>
        <w:t xml:space="preserve">Round Top Island </w:t>
      </w:r>
      <w:r>
        <w:rPr>
          <w:lang w:val="en-AU" w:eastAsia="en-AU"/>
        </w:rPr>
        <w:t xml:space="preserve">had </w:t>
      </w:r>
      <w:r w:rsidRPr="00A33FB5">
        <w:rPr>
          <w:lang w:val="en-AU" w:eastAsia="en-AU"/>
        </w:rPr>
        <w:t xml:space="preserve">the highest concentration of </w:t>
      </w:r>
      <w:r>
        <w:rPr>
          <w:lang w:val="en-AU" w:eastAsia="en-AU"/>
        </w:rPr>
        <w:t xml:space="preserve">most pesticides monitored, </w:t>
      </w:r>
      <w:r w:rsidRPr="00A33FB5">
        <w:rPr>
          <w:lang w:val="en-AU" w:eastAsia="en-AU"/>
        </w:rPr>
        <w:t>compared to any other site</w:t>
      </w:r>
      <w:r>
        <w:rPr>
          <w:lang w:val="en-AU" w:eastAsia="en-AU"/>
        </w:rPr>
        <w:t>s.</w:t>
      </w:r>
      <w:r w:rsidRPr="00A33FB5">
        <w:rPr>
          <w:lang w:val="en-AU" w:eastAsia="en-AU"/>
        </w:rPr>
        <w:t xml:space="preserve"> </w:t>
      </w:r>
    </w:p>
    <w:p w14:paraId="22FEF9C2" w14:textId="77777777" w:rsidR="006E6910" w:rsidRDefault="006E6910" w:rsidP="002439C8">
      <w:pPr>
        <w:spacing w:line="276" w:lineRule="auto"/>
        <w:jc w:val="left"/>
        <w:rPr>
          <w:lang w:val="en-AU" w:eastAsia="en-AU"/>
        </w:rPr>
      </w:pPr>
    </w:p>
    <w:p w14:paraId="2AC04332" w14:textId="10560A75" w:rsidR="006E6910" w:rsidRDefault="006E6910" w:rsidP="002439C8">
      <w:pPr>
        <w:spacing w:line="276" w:lineRule="auto"/>
        <w:jc w:val="left"/>
        <w:rPr>
          <w:lang w:val="en-AU" w:eastAsia="en-AU"/>
        </w:rPr>
      </w:pPr>
      <w:r>
        <w:t xml:space="preserve">Despite breaks in the deployment record at several of these sites, overall the profiles of </w:t>
      </w:r>
      <w:r w:rsidRPr="004A09BC">
        <w:rPr>
          <w:lang w:val="en-AU" w:eastAsia="en-AU"/>
        </w:rPr>
        <w:t xml:space="preserve">PSII herbicides (and </w:t>
      </w:r>
      <w:r w:rsidRPr="004A09BC">
        <w:rPr>
          <w:lang w:val="en-AU"/>
        </w:rPr>
        <w:t>metabolites</w:t>
      </w:r>
      <w:r w:rsidRPr="004A09BC">
        <w:rPr>
          <w:lang w:val="en-AU" w:eastAsia="en-AU"/>
        </w:rPr>
        <w:t xml:space="preserve">) detected </w:t>
      </w:r>
      <w:r>
        <w:rPr>
          <w:lang w:val="en-AU" w:eastAsia="en-AU"/>
        </w:rPr>
        <w:t xml:space="preserve">are comparable to previous monitoring years with </w:t>
      </w:r>
      <w:r w:rsidR="00FE607B" w:rsidRPr="004A09BC">
        <w:rPr>
          <w:lang w:val="en-AU" w:eastAsia="en-AU"/>
        </w:rPr>
        <w:t>diuron, hexazinone</w:t>
      </w:r>
      <w:r w:rsidR="00FE607B" w:rsidDel="00FE607B">
        <w:rPr>
          <w:lang w:val="en-AU" w:eastAsia="en-AU"/>
        </w:rPr>
        <w:t xml:space="preserve"> </w:t>
      </w:r>
      <w:r w:rsidR="00FE607B">
        <w:rPr>
          <w:lang w:val="en-AU" w:eastAsia="en-AU"/>
        </w:rPr>
        <w:t xml:space="preserve">and atrazine </w:t>
      </w:r>
      <w:r>
        <w:rPr>
          <w:lang w:val="en-AU" w:eastAsia="en-AU"/>
        </w:rPr>
        <w:t xml:space="preserve">being the most frequent </w:t>
      </w:r>
      <w:r w:rsidRPr="004A09BC">
        <w:rPr>
          <w:lang w:val="en-AU" w:eastAsia="en-AU"/>
        </w:rPr>
        <w:t>(</w:t>
      </w:r>
      <w:r w:rsidRPr="004A09BC">
        <w:rPr>
          <w:lang w:val="en-AU" w:eastAsia="en-AU"/>
        </w:rPr>
        <w:fldChar w:fldCharType="begin"/>
      </w:r>
      <w:r w:rsidRPr="004A09BC">
        <w:rPr>
          <w:lang w:val="en-AU" w:eastAsia="en-AU"/>
        </w:rPr>
        <w:instrText xml:space="preserve"> REF _Ref480910600 \h </w:instrText>
      </w:r>
      <w:r w:rsidR="002439C8">
        <w:rPr>
          <w:lang w:val="en-AU" w:eastAsia="en-AU"/>
        </w:rPr>
        <w:instrText xml:space="preserve"> \* MERGEFORMAT </w:instrText>
      </w:r>
      <w:r w:rsidRPr="004A09BC">
        <w:rPr>
          <w:lang w:val="en-AU" w:eastAsia="en-AU"/>
        </w:rPr>
      </w:r>
      <w:r w:rsidRPr="004A09BC">
        <w:rPr>
          <w:lang w:val="en-AU" w:eastAsia="en-AU"/>
        </w:rPr>
        <w:fldChar w:fldCharType="separate"/>
      </w:r>
      <w:r w:rsidR="00251B46">
        <w:t xml:space="preserve">Table </w:t>
      </w:r>
      <w:r w:rsidR="00251B46">
        <w:rPr>
          <w:noProof/>
        </w:rPr>
        <w:t>F</w:t>
      </w:r>
      <w:r w:rsidR="00251B46">
        <w:rPr>
          <w:noProof/>
        </w:rPr>
        <w:noBreakHyphen/>
        <w:t>8</w:t>
      </w:r>
      <w:r w:rsidRPr="004A09BC">
        <w:rPr>
          <w:lang w:val="en-AU" w:eastAsia="en-AU"/>
        </w:rPr>
        <w:fldChar w:fldCharType="end"/>
      </w:r>
      <w:r w:rsidRPr="004A09BC">
        <w:rPr>
          <w:lang w:val="en-AU" w:eastAsia="en-AU"/>
        </w:rPr>
        <w:t xml:space="preserve"> to </w:t>
      </w:r>
      <w:r w:rsidRPr="004A09BC">
        <w:rPr>
          <w:lang w:val="en-AU" w:eastAsia="en-AU"/>
        </w:rPr>
        <w:fldChar w:fldCharType="begin"/>
      </w:r>
      <w:r w:rsidRPr="004A09BC">
        <w:rPr>
          <w:lang w:val="en-AU" w:eastAsia="en-AU"/>
        </w:rPr>
        <w:instrText xml:space="preserve"> REF _Ref480910605 \h </w:instrText>
      </w:r>
      <w:r w:rsidR="002439C8">
        <w:rPr>
          <w:lang w:val="en-AU" w:eastAsia="en-AU"/>
        </w:rPr>
        <w:instrText xml:space="preserve"> \* MERGEFORMAT </w:instrText>
      </w:r>
      <w:r w:rsidRPr="004A09BC">
        <w:rPr>
          <w:lang w:val="en-AU" w:eastAsia="en-AU"/>
        </w:rPr>
      </w:r>
      <w:r w:rsidRPr="004A09BC">
        <w:rPr>
          <w:lang w:val="en-AU" w:eastAsia="en-AU"/>
        </w:rPr>
        <w:fldChar w:fldCharType="separate"/>
      </w:r>
      <w:r w:rsidR="00251B46">
        <w:t xml:space="preserve">Table </w:t>
      </w:r>
      <w:r w:rsidR="00251B46">
        <w:rPr>
          <w:noProof/>
        </w:rPr>
        <w:t>F</w:t>
      </w:r>
      <w:r w:rsidR="00251B46">
        <w:rPr>
          <w:noProof/>
        </w:rPr>
        <w:noBreakHyphen/>
        <w:t>11</w:t>
      </w:r>
      <w:r w:rsidRPr="004A09BC">
        <w:rPr>
          <w:lang w:val="en-AU" w:eastAsia="en-AU"/>
        </w:rPr>
        <w:fldChar w:fldCharType="end"/>
      </w:r>
      <w:r w:rsidRPr="004A09BC">
        <w:rPr>
          <w:lang w:val="en-AU" w:eastAsia="en-AU"/>
        </w:rPr>
        <w:t xml:space="preserve">). </w:t>
      </w:r>
      <w:r>
        <w:rPr>
          <w:lang w:val="en-AU" w:eastAsia="en-AU"/>
        </w:rPr>
        <w:t xml:space="preserve">Terbuthylazine (included in reporting for the first time this year) as well propazine were detected in almost every sampler deployed at Round Top Island and Sarina Inlet </w:t>
      </w:r>
      <w:r w:rsidR="00737BDD">
        <w:rPr>
          <w:lang w:val="en-AU" w:eastAsia="en-AU"/>
        </w:rPr>
        <w:t xml:space="preserve">although at very low concentrations </w:t>
      </w:r>
      <w:r>
        <w:rPr>
          <w:lang w:val="en-AU" w:eastAsia="en-AU"/>
        </w:rPr>
        <w:t>(&lt;2</w:t>
      </w:r>
      <w:r w:rsidR="00961C35">
        <w:rPr>
          <w:lang w:val="en-AU" w:eastAsia="en-AU"/>
        </w:rPr>
        <w:t> ng L</w:t>
      </w:r>
      <w:r w:rsidR="00A209AA" w:rsidRPr="00A209AA">
        <w:rPr>
          <w:vertAlign w:val="superscript"/>
          <w:lang w:val="en-AU" w:eastAsia="en-AU"/>
        </w:rPr>
        <w:noBreakHyphen/>
        <w:t>1</w:t>
      </w:r>
      <w:r>
        <w:rPr>
          <w:lang w:val="en-AU" w:eastAsia="en-AU"/>
        </w:rPr>
        <w:t xml:space="preserve">). </w:t>
      </w:r>
      <w:r w:rsidRPr="004A09BC">
        <w:rPr>
          <w:lang w:val="en-AU" w:eastAsia="en-AU"/>
        </w:rPr>
        <w:t xml:space="preserve">Other </w:t>
      </w:r>
      <w:r>
        <w:rPr>
          <w:lang w:val="en-AU" w:eastAsia="en-AU"/>
        </w:rPr>
        <w:t>pesticides,</w:t>
      </w:r>
      <w:r w:rsidRPr="004A09BC">
        <w:rPr>
          <w:lang w:val="en-AU" w:eastAsia="en-AU"/>
        </w:rPr>
        <w:t xml:space="preserve"> imidacloprid, </w:t>
      </w:r>
      <w:r w:rsidR="00FE6E97">
        <w:rPr>
          <w:lang w:val="en-AU" w:eastAsia="en-AU"/>
        </w:rPr>
        <w:t>2,4</w:t>
      </w:r>
      <w:r w:rsidR="00FE6E97">
        <w:rPr>
          <w:lang w:val="en-AU" w:eastAsia="en-AU"/>
        </w:rPr>
        <w:noBreakHyphen/>
        <w:t>D</w:t>
      </w:r>
      <w:r>
        <w:rPr>
          <w:lang w:val="en-AU" w:eastAsia="en-AU"/>
        </w:rPr>
        <w:t>, MCPA</w:t>
      </w:r>
      <w:r w:rsidRPr="004A09BC">
        <w:rPr>
          <w:lang w:val="en-AU" w:eastAsia="en-AU"/>
        </w:rPr>
        <w:t xml:space="preserve"> and metolachlor</w:t>
      </w:r>
      <w:r>
        <w:rPr>
          <w:lang w:val="en-AU" w:eastAsia="en-AU"/>
        </w:rPr>
        <w:t>,</w:t>
      </w:r>
      <w:r w:rsidRPr="004A09BC">
        <w:rPr>
          <w:lang w:val="en-AU" w:eastAsia="en-AU"/>
        </w:rPr>
        <w:t xml:space="preserve"> were regularly detected</w:t>
      </w:r>
      <w:r>
        <w:rPr>
          <w:lang w:val="en-AU" w:eastAsia="en-AU"/>
        </w:rPr>
        <w:t xml:space="preserve"> in at least one sampler at all sites</w:t>
      </w:r>
      <w:r w:rsidRPr="004A09BC">
        <w:rPr>
          <w:lang w:val="en-AU" w:eastAsia="en-AU"/>
        </w:rPr>
        <w:t xml:space="preserve">. </w:t>
      </w:r>
    </w:p>
    <w:p w14:paraId="2CDEA617" w14:textId="77777777" w:rsidR="006E6910" w:rsidRDefault="006E6910" w:rsidP="002439C8">
      <w:pPr>
        <w:spacing w:line="276" w:lineRule="auto"/>
        <w:jc w:val="left"/>
        <w:rPr>
          <w:lang w:val="en-AU" w:eastAsia="en-AU"/>
        </w:rPr>
      </w:pPr>
    </w:p>
    <w:p w14:paraId="74967A6C" w14:textId="4F6FA162" w:rsidR="006E6910" w:rsidRDefault="006E6910" w:rsidP="002439C8">
      <w:pPr>
        <w:spacing w:line="276" w:lineRule="auto"/>
        <w:jc w:val="left"/>
      </w:pPr>
      <w:r>
        <w:rPr>
          <w:lang w:val="en-AU" w:eastAsia="en-AU"/>
        </w:rPr>
        <w:t xml:space="preserve">Despite being deployed at all four sites in the region, </w:t>
      </w:r>
      <w:r w:rsidRPr="004A09BC">
        <w:rPr>
          <w:lang w:val="en-AU" w:eastAsia="en-AU"/>
        </w:rPr>
        <w:t>PDMS samplers</w:t>
      </w:r>
      <w:r>
        <w:rPr>
          <w:lang w:val="en-AU" w:eastAsia="en-AU"/>
        </w:rPr>
        <w:t xml:space="preserve"> were only successfully returned from Repulse Bay and Round Top Island and the sampling record is incomplete for both sites due to losses. At Repulse Bay, propazine </w:t>
      </w:r>
      <w:r w:rsidRPr="004A09BC">
        <w:rPr>
          <w:lang w:val="en-AU" w:eastAsia="en-AU"/>
        </w:rPr>
        <w:t>prop</w:t>
      </w:r>
      <w:r>
        <w:rPr>
          <w:lang w:val="en-AU" w:eastAsia="en-AU"/>
        </w:rPr>
        <w:t>i</w:t>
      </w:r>
      <w:r w:rsidRPr="004A09BC">
        <w:rPr>
          <w:lang w:val="en-AU" w:eastAsia="en-AU"/>
        </w:rPr>
        <w:t xml:space="preserve">conazole and </w:t>
      </w:r>
      <w:r>
        <w:rPr>
          <w:lang w:val="en-AU" w:eastAsia="en-AU"/>
        </w:rPr>
        <w:t>chlorpyrifos</w:t>
      </w:r>
      <w:r w:rsidRPr="004A09BC">
        <w:rPr>
          <w:lang w:val="en-AU" w:eastAsia="en-AU"/>
        </w:rPr>
        <w:t xml:space="preserve"> were detected at low concentrations</w:t>
      </w:r>
      <w:r>
        <w:rPr>
          <w:lang w:val="en-AU" w:eastAsia="en-AU"/>
        </w:rPr>
        <w:t xml:space="preserve"> (&lt;1</w:t>
      </w:r>
      <w:r w:rsidR="00961C35">
        <w:rPr>
          <w:lang w:val="en-AU" w:eastAsia="en-AU"/>
        </w:rPr>
        <w:t> ng L</w:t>
      </w:r>
      <w:r w:rsidR="00A209AA" w:rsidRPr="00A209AA">
        <w:rPr>
          <w:vertAlign w:val="superscript"/>
          <w:lang w:val="en-AU" w:eastAsia="en-AU"/>
        </w:rPr>
        <w:noBreakHyphen/>
        <w:t>1</w:t>
      </w:r>
      <w:r>
        <w:rPr>
          <w:lang w:val="en-AU" w:eastAsia="en-AU"/>
        </w:rPr>
        <w:t>)</w:t>
      </w:r>
      <w:r w:rsidRPr="004A09BC">
        <w:rPr>
          <w:lang w:val="en-AU" w:eastAsia="en-AU"/>
        </w:rPr>
        <w:t xml:space="preserve">, whilst </w:t>
      </w:r>
      <w:r>
        <w:rPr>
          <w:lang w:val="en-AU" w:eastAsia="en-AU"/>
        </w:rPr>
        <w:t>at Round Top Island trifluralin and pendimethalin were additionally detected in multiple samplers, again at concentrations typically less than 1</w:t>
      </w:r>
      <w:r w:rsidR="00961C35">
        <w:rPr>
          <w:lang w:val="en-AU" w:eastAsia="en-AU"/>
        </w:rPr>
        <w:t> ng L</w:t>
      </w:r>
      <w:r w:rsidR="00A209AA" w:rsidRPr="00A209AA">
        <w:rPr>
          <w:vertAlign w:val="superscript"/>
          <w:lang w:val="en-AU" w:eastAsia="en-AU"/>
        </w:rPr>
        <w:noBreakHyphen/>
        <w:t>1</w:t>
      </w:r>
      <w:r w:rsidRPr="004A09BC">
        <w:rPr>
          <w:lang w:val="en-AU" w:eastAsia="en-AU"/>
        </w:rPr>
        <w:t>.</w:t>
      </w:r>
      <w:r w:rsidRPr="004A09BC">
        <w:t xml:space="preserve"> </w:t>
      </w:r>
    </w:p>
    <w:p w14:paraId="4BE378AB" w14:textId="77777777" w:rsidR="00FE607B" w:rsidRPr="0099427D" w:rsidRDefault="00FE607B" w:rsidP="002439C8">
      <w:pPr>
        <w:pStyle w:val="Heading3"/>
        <w:jc w:val="left"/>
      </w:pPr>
      <w:bookmarkStart w:id="568" w:name="_Toc14435717"/>
      <w:r>
        <w:t>Repulse Bay</w:t>
      </w:r>
      <w:bookmarkEnd w:id="568"/>
    </w:p>
    <w:p w14:paraId="709926A3" w14:textId="77777777" w:rsidR="00340679" w:rsidRDefault="00FE607B" w:rsidP="002439C8">
      <w:pPr>
        <w:spacing w:line="276" w:lineRule="auto"/>
        <w:jc w:val="left"/>
        <w:rPr>
          <w:lang w:val="en-GB" w:eastAsia="en-AU"/>
        </w:rPr>
      </w:pPr>
      <w:r>
        <w:rPr>
          <w:lang w:val="en-GB" w:eastAsia="en-AU"/>
        </w:rPr>
        <w:t xml:space="preserve">There is no </w:t>
      </w:r>
      <w:r>
        <w:rPr>
          <w:lang w:val="en-AU" w:eastAsia="en-AU"/>
        </w:rPr>
        <w:t>exceedances of guideline values</w:t>
      </w:r>
      <w:r>
        <w:rPr>
          <w:lang w:val="en-GB" w:eastAsia="en-AU"/>
        </w:rPr>
        <w:t xml:space="preserve"> in the Repulse Bay site.</w:t>
      </w:r>
    </w:p>
    <w:p w14:paraId="3E6C3858" w14:textId="77777777" w:rsidR="00737BDD" w:rsidRDefault="00FE607B" w:rsidP="002439C8">
      <w:pPr>
        <w:spacing w:line="276" w:lineRule="auto"/>
        <w:jc w:val="left"/>
        <w:rPr>
          <w:lang w:val="en-GB" w:eastAsia="en-AU"/>
        </w:rPr>
      </w:pPr>
      <w:r>
        <w:rPr>
          <w:lang w:val="en-GB" w:eastAsia="en-AU"/>
        </w:rPr>
        <w:t xml:space="preserve"> </w:t>
      </w:r>
    </w:p>
    <w:p w14:paraId="58BA6EFE" w14:textId="2C917535" w:rsidR="00FE607B" w:rsidRDefault="00FE607B" w:rsidP="002439C8">
      <w:pPr>
        <w:spacing w:line="276" w:lineRule="auto"/>
        <w:jc w:val="left"/>
        <w:rPr>
          <w:lang w:val="en-AU" w:eastAsia="en-AU"/>
        </w:rPr>
      </w:pPr>
      <w:r w:rsidRPr="00340679">
        <w:rPr>
          <w:lang w:val="en-AU"/>
        </w:rPr>
        <w:t xml:space="preserve">Maximum concentration of PSII herbicides during the </w:t>
      </w:r>
      <w:r w:rsidR="001B73E5">
        <w:rPr>
          <w:lang w:val="en-AU"/>
        </w:rPr>
        <w:t>2017–18</w:t>
      </w:r>
      <w:r w:rsidR="00737BDD" w:rsidRPr="00340679">
        <w:rPr>
          <w:lang w:val="en-AU"/>
        </w:rPr>
        <w:t xml:space="preserve"> </w:t>
      </w:r>
      <w:r w:rsidRPr="00340679">
        <w:rPr>
          <w:lang w:val="en-AU"/>
        </w:rPr>
        <w:t xml:space="preserve">monitoring year </w:t>
      </w:r>
      <w:r w:rsidRPr="00340679">
        <w:rPr>
          <w:lang w:val="en-AU" w:eastAsia="en-AU"/>
        </w:rPr>
        <w:t>was 22.7 n</w:t>
      </w:r>
      <w:r w:rsidR="00FE6E97">
        <w:rPr>
          <w:lang w:val="en-AU" w:eastAsia="en-AU"/>
        </w:rPr>
        <w:t>g L</w:t>
      </w:r>
      <w:r w:rsidR="005C25EE" w:rsidRPr="00A209AA">
        <w:rPr>
          <w:vertAlign w:val="superscript"/>
          <w:lang w:val="en-GB" w:eastAsia="en-AU"/>
        </w:rPr>
        <w:noBreakHyphen/>
        <w:t>1</w:t>
      </w:r>
      <w:r w:rsidRPr="00340679">
        <w:rPr>
          <w:lang w:val="en-AU" w:eastAsia="en-AU"/>
        </w:rPr>
        <w:t xml:space="preserve"> of </w:t>
      </w:r>
      <w:r w:rsidR="00340679" w:rsidRPr="00340679">
        <w:rPr>
          <w:lang w:val="en-AU" w:eastAsia="en-AU"/>
        </w:rPr>
        <w:t xml:space="preserve">diuron </w:t>
      </w:r>
      <w:r w:rsidRPr="00340679">
        <w:rPr>
          <w:lang w:val="en-AU" w:eastAsia="en-AU"/>
        </w:rPr>
        <w:t>during the wet season of Feb</w:t>
      </w:r>
      <w:r w:rsidR="00340679" w:rsidRPr="00340679">
        <w:rPr>
          <w:lang w:val="en-AU" w:eastAsia="en-AU"/>
        </w:rPr>
        <w:t>ruary</w:t>
      </w:r>
      <w:r w:rsidRPr="00340679">
        <w:rPr>
          <w:lang w:val="en-AU" w:eastAsia="en-AU"/>
        </w:rPr>
        <w:t xml:space="preserve"> 2018. Diuron is usually the pesticide with the highest concentration, followed by hexazinone in this site.</w:t>
      </w:r>
    </w:p>
    <w:p w14:paraId="0340FD1D" w14:textId="77777777" w:rsidR="006E6910" w:rsidRDefault="006E6910" w:rsidP="002439C8">
      <w:pPr>
        <w:spacing w:line="276" w:lineRule="auto"/>
        <w:jc w:val="left"/>
        <w:rPr>
          <w:lang w:val="en-AU"/>
        </w:rPr>
      </w:pPr>
    </w:p>
    <w:p w14:paraId="6F3AF828" w14:textId="77777777" w:rsidR="00CB75D5" w:rsidRDefault="0022328F" w:rsidP="002439C8">
      <w:pPr>
        <w:spacing w:line="276" w:lineRule="auto"/>
        <w:jc w:val="left"/>
        <w:rPr>
          <w:lang w:val="en-AU"/>
        </w:rPr>
      </w:pPr>
      <w:r w:rsidRPr="0022328F">
        <w:rPr>
          <w:noProof/>
          <w:lang w:val="en-AU" w:eastAsia="en-AU" w:bidi="ar-SA"/>
        </w:rPr>
        <w:drawing>
          <wp:inline distT="0" distB="0" distL="0" distR="0" wp14:anchorId="00DD8241" wp14:editId="77FC8088">
            <wp:extent cx="5429195" cy="3240000"/>
            <wp:effectExtent l="0" t="0" r="0" b="0"/>
            <wp:docPr id="7187" name="Picture 7187" descr="Temporal trends in % of species affected by pesticides (indicated by the black bars) in Repulse Bay in 2017-18, together with the flow rates of adjacent rivers. Flow data provided by DNRM Stream Gauging Network." title="O'Connell and Pioneer river flows and repulse bay site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QAEHS-Research\Mueller Group\Sampling - Consultancy  Projects\AQUATIC PROJECTS\REEF RESCUE MMP\2018\May 2019 revision\NEW Appendix F - May2019\REPULSE BAY - 2017-18.emf"/>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429195" cy="3240000"/>
                    </a:xfrm>
                    <a:prstGeom prst="rect">
                      <a:avLst/>
                    </a:prstGeom>
                    <a:noFill/>
                    <a:ln>
                      <a:noFill/>
                    </a:ln>
                  </pic:spPr>
                </pic:pic>
              </a:graphicData>
            </a:graphic>
          </wp:inline>
        </w:drawing>
      </w:r>
    </w:p>
    <w:p w14:paraId="444F0055" w14:textId="77777777" w:rsidR="00CB75D5" w:rsidRDefault="00CB75D5" w:rsidP="002439C8">
      <w:pPr>
        <w:spacing w:line="276" w:lineRule="auto"/>
        <w:jc w:val="left"/>
        <w:rPr>
          <w:lang w:val="en-AU"/>
        </w:rPr>
      </w:pPr>
    </w:p>
    <w:p w14:paraId="6A90C266" w14:textId="62FE3C4B" w:rsidR="00954FCA" w:rsidRPr="00CB093C" w:rsidRDefault="000B2579" w:rsidP="00954FCA">
      <w:pPr>
        <w:pStyle w:val="Caption"/>
        <w:rPr>
          <w:rFonts w:cs="Arial"/>
          <w:i/>
          <w:vanish/>
          <w:color w:val="000000"/>
          <w:specVanish/>
        </w:rPr>
      </w:pPr>
      <w:bookmarkStart w:id="569" w:name="_Toc15042910"/>
      <w:r w:rsidRPr="00C67333">
        <w:rPr>
          <w:b w:val="0"/>
          <w:sz w:val="20"/>
        </w:rPr>
        <w:t xml:space="preserve">Figure </w:t>
      </w:r>
      <w:r w:rsidRPr="00C67333">
        <w:rPr>
          <w:b w:val="0"/>
          <w:sz w:val="20"/>
        </w:rPr>
        <w:fldChar w:fldCharType="begin"/>
      </w:r>
      <w:r w:rsidRPr="00C67333">
        <w:rPr>
          <w:b w:val="0"/>
          <w:sz w:val="20"/>
        </w:rPr>
        <w:instrText xml:space="preserve"> SEQ Figure \* ARABIC </w:instrText>
      </w:r>
      <w:r w:rsidRPr="00C67333">
        <w:rPr>
          <w:b w:val="0"/>
          <w:sz w:val="20"/>
        </w:rPr>
        <w:fldChar w:fldCharType="separate"/>
      </w:r>
      <w:r w:rsidR="00373D4B">
        <w:rPr>
          <w:b w:val="0"/>
          <w:noProof/>
          <w:sz w:val="20"/>
        </w:rPr>
        <w:t>18</w:t>
      </w:r>
      <w:r w:rsidRPr="00C67333">
        <w:rPr>
          <w:b w:val="0"/>
          <w:sz w:val="20"/>
        </w:rPr>
        <w:fldChar w:fldCharType="end"/>
      </w:r>
      <w:r w:rsidRPr="00C67333">
        <w:rPr>
          <w:b w:val="0"/>
          <w:sz w:val="20"/>
        </w:rPr>
        <w:t xml:space="preserve">: Temporal trends in % of species affected by pesticides (indicated by the black bars) in </w:t>
      </w:r>
      <w:r w:rsidRPr="000B2579">
        <w:rPr>
          <w:b w:val="0"/>
          <w:sz w:val="20"/>
        </w:rPr>
        <w:t xml:space="preserve">Repulse Bay </w:t>
      </w:r>
      <w:r w:rsidRPr="00C67333">
        <w:rPr>
          <w:b w:val="0"/>
          <w:sz w:val="20"/>
        </w:rPr>
        <w:t>in 2017-18, together with the flow rate</w:t>
      </w:r>
      <w:r>
        <w:rPr>
          <w:b w:val="0"/>
          <w:sz w:val="20"/>
        </w:rPr>
        <w:t>s</w:t>
      </w:r>
      <w:r w:rsidRPr="00C67333">
        <w:rPr>
          <w:b w:val="0"/>
          <w:sz w:val="20"/>
        </w:rPr>
        <w:t xml:space="preserve"> of </w:t>
      </w:r>
      <w:r>
        <w:rPr>
          <w:b w:val="0"/>
          <w:sz w:val="20"/>
        </w:rPr>
        <w:t xml:space="preserve">adjacent </w:t>
      </w:r>
      <w:r w:rsidRPr="00C67333">
        <w:rPr>
          <w:b w:val="0"/>
          <w:sz w:val="20"/>
        </w:rPr>
        <w:t>river</w:t>
      </w:r>
      <w:r>
        <w:rPr>
          <w:b w:val="0"/>
          <w:sz w:val="20"/>
        </w:rPr>
        <w:t>s</w:t>
      </w:r>
      <w:r w:rsidRPr="00C67333">
        <w:rPr>
          <w:b w:val="0"/>
          <w:sz w:val="20"/>
        </w:rPr>
        <w:t>.</w:t>
      </w:r>
      <w:bookmarkEnd w:id="569"/>
    </w:p>
    <w:p w14:paraId="25CC99B8" w14:textId="77777777" w:rsidR="000B2579" w:rsidRPr="00C67333" w:rsidRDefault="000B2579" w:rsidP="002439C8">
      <w:pPr>
        <w:pStyle w:val="Caption"/>
        <w:keepNext/>
        <w:spacing w:line="276" w:lineRule="auto"/>
        <w:rPr>
          <w:b w:val="0"/>
          <w:sz w:val="20"/>
        </w:rPr>
      </w:pPr>
      <w:r w:rsidRPr="00C67333">
        <w:rPr>
          <w:b w:val="0"/>
          <w:sz w:val="20"/>
        </w:rPr>
        <w:t xml:space="preserve"> Flow data provided by DNRM Stream Gauging</w:t>
      </w:r>
      <w:r>
        <w:rPr>
          <w:b w:val="0"/>
          <w:sz w:val="20"/>
        </w:rPr>
        <w:t xml:space="preserve"> </w:t>
      </w:r>
      <w:r w:rsidRPr="00C67333">
        <w:rPr>
          <w:b w:val="0"/>
          <w:sz w:val="20"/>
        </w:rPr>
        <w:t>Network.</w:t>
      </w:r>
    </w:p>
    <w:p w14:paraId="3531DD58" w14:textId="77777777" w:rsidR="000B2579" w:rsidRPr="00BD4CBA" w:rsidRDefault="000B2579" w:rsidP="002439C8">
      <w:pPr>
        <w:jc w:val="left"/>
      </w:pPr>
    </w:p>
    <w:p w14:paraId="550546F8" w14:textId="77777777" w:rsidR="000B2579" w:rsidRDefault="000B2579" w:rsidP="002439C8">
      <w:pPr>
        <w:spacing w:line="276" w:lineRule="auto"/>
        <w:jc w:val="left"/>
        <w:rPr>
          <w:lang w:val="en-AU" w:eastAsia="en-AU"/>
        </w:rPr>
      </w:pPr>
      <w:r>
        <w:rPr>
          <w:lang w:val="en-AU" w:eastAsia="en-AU"/>
        </w:rPr>
        <w:t xml:space="preserve">The maximum concentrations of pesticides monitored in </w:t>
      </w:r>
      <w:r w:rsidR="001B73E5">
        <w:rPr>
          <w:lang w:val="en-AU" w:eastAsia="en-AU"/>
        </w:rPr>
        <w:t>2017–18</w:t>
      </w:r>
      <w:r w:rsidRPr="00D275DD">
        <w:rPr>
          <w:lang w:val="en-AU" w:eastAsia="en-AU"/>
        </w:rPr>
        <w:t xml:space="preserve"> were higher than in the previous </w:t>
      </w:r>
      <w:r>
        <w:rPr>
          <w:lang w:val="en-AU" w:eastAsia="en-AU"/>
        </w:rPr>
        <w:t xml:space="preserve">two </w:t>
      </w:r>
      <w:r w:rsidRPr="00D275DD">
        <w:rPr>
          <w:lang w:val="en-AU" w:eastAsia="en-AU"/>
        </w:rPr>
        <w:t>monitoring</w:t>
      </w:r>
      <w:r>
        <w:rPr>
          <w:lang w:val="en-AU" w:eastAsia="en-AU"/>
        </w:rPr>
        <w:t xml:space="preserve"> </w:t>
      </w:r>
      <w:r w:rsidRPr="00D275DD">
        <w:rPr>
          <w:lang w:val="en-AU" w:eastAsia="en-AU"/>
        </w:rPr>
        <w:t>year</w:t>
      </w:r>
      <w:r>
        <w:rPr>
          <w:lang w:val="en-AU" w:eastAsia="en-AU"/>
        </w:rPr>
        <w:t xml:space="preserve">s </w:t>
      </w:r>
      <w:r w:rsidRPr="00D275DD">
        <w:rPr>
          <w:lang w:val="en-AU" w:eastAsia="en-AU"/>
        </w:rPr>
        <w:t>(</w:t>
      </w:r>
      <w:r w:rsidRPr="007F03F5">
        <w:rPr>
          <w:lang w:val="en-AU" w:eastAsia="en-AU"/>
        </w:rPr>
        <w:fldChar w:fldCharType="begin"/>
      </w:r>
      <w:r w:rsidRPr="007F03F5">
        <w:rPr>
          <w:lang w:val="en-AU" w:eastAsia="en-AU"/>
        </w:rPr>
        <w:instrText xml:space="preserve"> REF _Ref535500572 \h </w:instrText>
      </w:r>
      <w:r w:rsidRPr="00BE05C8">
        <w:rPr>
          <w:lang w:val="en-AU" w:eastAsia="en-AU"/>
        </w:rPr>
        <w:instrText xml:space="preserve"> \* MERGEFORMAT </w:instrText>
      </w:r>
      <w:r w:rsidRPr="007F03F5">
        <w:rPr>
          <w:lang w:val="en-AU" w:eastAsia="en-AU"/>
        </w:rPr>
      </w:r>
      <w:r w:rsidRPr="007F03F5">
        <w:rPr>
          <w:lang w:val="en-AU" w:eastAsia="en-AU"/>
        </w:rPr>
        <w:fldChar w:fldCharType="separate"/>
      </w:r>
      <w:r w:rsidR="00373D4B" w:rsidRPr="00210B7C">
        <w:t xml:space="preserve">Table </w:t>
      </w:r>
      <w:r w:rsidR="00373D4B">
        <w:rPr>
          <w:noProof/>
        </w:rPr>
        <w:t>5</w:t>
      </w:r>
      <w:r w:rsidRPr="007F03F5">
        <w:rPr>
          <w:lang w:val="en-AU" w:eastAsia="en-AU"/>
        </w:rPr>
        <w:fldChar w:fldCharType="end"/>
      </w:r>
      <w:r w:rsidRPr="007F03F5">
        <w:rPr>
          <w:lang w:val="en-AU" w:eastAsia="en-AU"/>
        </w:rPr>
        <w:t>; f</w:t>
      </w:r>
      <w:r w:rsidRPr="00D275DD">
        <w:rPr>
          <w:lang w:val="en-AU" w:eastAsia="en-AU"/>
        </w:rPr>
        <w:t xml:space="preserve">or historical data, see </w:t>
      </w:r>
      <w:r w:rsidRPr="00D275DD">
        <w:rPr>
          <w:lang w:val="en-AU" w:eastAsia="en-AU"/>
        </w:rPr>
        <w:fldChar w:fldCharType="begin"/>
      </w:r>
      <w:r w:rsidRPr="00D275DD">
        <w:rPr>
          <w:lang w:val="en-AU" w:eastAsia="en-AU"/>
        </w:rPr>
        <w:instrText xml:space="preserve"> REF _Ref480739744 \h  \* MERGEFORMAT </w:instrText>
      </w:r>
      <w:r w:rsidRPr="00D275DD">
        <w:rPr>
          <w:lang w:val="en-AU" w:eastAsia="en-AU"/>
        </w:rPr>
      </w:r>
      <w:r w:rsidRPr="00D275DD">
        <w:rPr>
          <w:lang w:val="en-AU" w:eastAsia="en-AU"/>
        </w:rPr>
        <w:fldChar w:fldCharType="separate"/>
      </w:r>
      <w:r w:rsidR="00373D4B" w:rsidRPr="00373D4B">
        <w:rPr>
          <w:lang w:val="en-AU" w:eastAsia="en-AU"/>
        </w:rPr>
        <w:t>Figure H</w:t>
      </w:r>
      <w:r w:rsidR="00373D4B" w:rsidRPr="00373D4B">
        <w:rPr>
          <w:lang w:val="en-AU" w:eastAsia="en-AU"/>
        </w:rPr>
        <w:noBreakHyphen/>
        <w:t>1</w:t>
      </w:r>
      <w:r w:rsidRPr="00D275DD">
        <w:rPr>
          <w:lang w:val="en-AU" w:eastAsia="en-AU"/>
        </w:rPr>
        <w:fldChar w:fldCharType="end"/>
      </w:r>
      <w:r w:rsidRPr="00D275DD">
        <w:rPr>
          <w:lang w:val="en-AU" w:eastAsia="en-AU"/>
        </w:rPr>
        <w:t xml:space="preserve">). </w:t>
      </w:r>
    </w:p>
    <w:p w14:paraId="4680754E" w14:textId="77777777" w:rsidR="000B2579" w:rsidRDefault="000B2579" w:rsidP="002439C8">
      <w:pPr>
        <w:spacing w:line="276" w:lineRule="auto"/>
        <w:jc w:val="left"/>
        <w:rPr>
          <w:lang w:val="en-AU" w:eastAsia="en-AU"/>
        </w:rPr>
      </w:pPr>
    </w:p>
    <w:p w14:paraId="492109AD" w14:textId="768FBFF9" w:rsidR="00CB75D5" w:rsidRDefault="000B2579" w:rsidP="002439C8">
      <w:pPr>
        <w:spacing w:line="276" w:lineRule="auto"/>
        <w:jc w:val="left"/>
        <w:rPr>
          <w:lang w:val="en-AU"/>
        </w:rPr>
      </w:pPr>
      <w:r>
        <w:t xml:space="preserve">The </w:t>
      </w:r>
      <w:r w:rsidR="005E2B71">
        <w:rPr>
          <w:lang w:val="en-AU" w:eastAsia="en-AU"/>
        </w:rPr>
        <w:t>ms</w:t>
      </w:r>
      <w:r w:rsidR="005E2B71">
        <w:rPr>
          <w:lang w:val="en-AU" w:eastAsia="en-AU"/>
        </w:rPr>
        <w:noBreakHyphen/>
        <w:t>PAF</w:t>
      </w:r>
      <w:r w:rsidRPr="000D3ED3">
        <w:rPr>
          <w:lang w:val="en-AU" w:eastAsia="en-AU"/>
        </w:rPr>
        <w:t xml:space="preserve"> values in </w:t>
      </w:r>
      <w:r w:rsidR="001B73E5">
        <w:rPr>
          <w:lang w:val="en-AU" w:eastAsia="en-AU"/>
        </w:rPr>
        <w:t>2017–18</w:t>
      </w:r>
      <w:r w:rsidR="00737BDD">
        <w:rPr>
          <w:lang w:val="en-AU" w:eastAsia="en-AU"/>
        </w:rPr>
        <w:t xml:space="preserve"> </w:t>
      </w:r>
      <w:r>
        <w:rPr>
          <w:lang w:val="en-AU" w:eastAsia="en-AU"/>
        </w:rPr>
        <w:t xml:space="preserve">in this site </w:t>
      </w:r>
      <w:r w:rsidR="00144A2C" w:rsidRPr="00691CC8">
        <w:t xml:space="preserve">met the </w:t>
      </w:r>
      <w:r w:rsidR="00144A2C" w:rsidRPr="00691CC8">
        <w:rPr>
          <w:lang w:eastAsia="en-AU"/>
        </w:rPr>
        <w:t xml:space="preserve">desired </w:t>
      </w:r>
      <w:r w:rsidR="00144A2C" w:rsidRPr="00691CC8">
        <w:t xml:space="preserve">very low risk category 5: protective of 99% of species (i.e. </w:t>
      </w:r>
      <w:r w:rsidR="00144A2C" w:rsidRPr="00144A2C">
        <w:t xml:space="preserve">less than 1% of species are affected) </w:t>
      </w:r>
      <w:r w:rsidR="00144A2C" w:rsidRPr="00144A2C">
        <w:rPr>
          <w:lang w:val="en-AU" w:eastAsia="en-AU"/>
        </w:rPr>
        <w:t>for all except one deployment which returned a low risk, category 4 assessment</w:t>
      </w:r>
      <w:r w:rsidR="00144A2C">
        <w:rPr>
          <w:lang w:val="en-AU" w:eastAsia="en-AU"/>
        </w:rPr>
        <w:t xml:space="preserve"> at 1.1% of species affected</w:t>
      </w:r>
      <w:r w:rsidR="00144A2C" w:rsidRPr="00144A2C">
        <w:rPr>
          <w:lang w:val="en-AU" w:eastAsia="en-AU"/>
        </w:rPr>
        <w:t xml:space="preserve">: </w:t>
      </w:r>
      <w:r w:rsidR="00144A2C" w:rsidRPr="00144A2C">
        <w:t>protective of &gt;95% but &lt;99% of species (or 1 to &lt;5% of species affected)</w:t>
      </w:r>
      <w:r w:rsidR="00144A2C">
        <w:t xml:space="preserve">. </w:t>
      </w:r>
    </w:p>
    <w:p w14:paraId="137D119C" w14:textId="77777777" w:rsidR="008E325F" w:rsidRPr="0099427D" w:rsidRDefault="008E325F" w:rsidP="002439C8">
      <w:pPr>
        <w:pStyle w:val="Heading3"/>
        <w:jc w:val="left"/>
      </w:pPr>
      <w:bookmarkStart w:id="570" w:name="_Toc14435718"/>
      <w:r>
        <w:t>Round Top Island</w:t>
      </w:r>
      <w:bookmarkEnd w:id="570"/>
    </w:p>
    <w:p w14:paraId="40194665" w14:textId="176BB390" w:rsidR="00902C7A" w:rsidRDefault="0098628D" w:rsidP="00EC50DD">
      <w:pPr>
        <w:spacing w:line="276" w:lineRule="auto"/>
        <w:jc w:val="left"/>
        <w:rPr>
          <w:lang w:val="en-GB" w:eastAsia="en-AU"/>
        </w:rPr>
      </w:pPr>
      <w:r w:rsidRPr="006C436E">
        <w:rPr>
          <w:rFonts w:cs="Arial"/>
        </w:rPr>
        <w:t xml:space="preserve">No individual exceedances of the </w:t>
      </w:r>
      <w:r w:rsidRPr="006C436E">
        <w:t xml:space="preserve">current marine trigger values (i.e. water quality guideline values) </w:t>
      </w:r>
      <w:r w:rsidRPr="006C436E">
        <w:rPr>
          <w:rFonts w:cs="Arial"/>
        </w:rPr>
        <w:t xml:space="preserve">were detected although some of these values are undergoing a review. Assessment against the PGVs for diuron </w:t>
      </w:r>
      <w:r w:rsidRPr="006C436E">
        <w:t>(</w:t>
      </w:r>
      <w:r w:rsidR="00EC50DD">
        <w:t>levels determined to protect 99</w:t>
      </w:r>
      <w:r w:rsidRPr="006C436E">
        <w:t xml:space="preserve">% of marine species) would however result in two instances of exceedance, both from passive samplers located at Round Top Island, in the Mackay Whitsunday region: 778 and 531 </w:t>
      </w:r>
      <w:r w:rsidRPr="006C436E">
        <w:rPr>
          <w:lang w:val="en-AU"/>
        </w:rPr>
        <w:t>compared to the proposed value of 430</w:t>
      </w:r>
      <w:r w:rsidR="00961C35">
        <w:rPr>
          <w:lang w:val="en-AU"/>
        </w:rPr>
        <w:t> ng L</w:t>
      </w:r>
      <w:r w:rsidR="00A209AA" w:rsidRPr="00A209AA">
        <w:rPr>
          <w:vertAlign w:val="superscript"/>
          <w:lang w:val="en-AU"/>
        </w:rPr>
        <w:noBreakHyphen/>
        <w:t>1</w:t>
      </w:r>
      <w:r w:rsidR="00EC50DD">
        <w:t>. There was also a</w:t>
      </w:r>
      <w:r w:rsidR="00EC50DD">
        <w:rPr>
          <w:lang w:val="en-GB" w:eastAsia="en-AU"/>
        </w:rPr>
        <w:t xml:space="preserve"> near-</w:t>
      </w:r>
      <w:r w:rsidR="00F06B1A" w:rsidRPr="006C436E">
        <w:rPr>
          <w:lang w:val="en-GB" w:eastAsia="en-AU"/>
        </w:rPr>
        <w:t>exceedance for imidacloprid</w:t>
      </w:r>
      <w:r w:rsidR="008E325F" w:rsidRPr="006C436E">
        <w:rPr>
          <w:lang w:val="en-GB" w:eastAsia="en-AU"/>
        </w:rPr>
        <w:t>.</w:t>
      </w:r>
      <w:r w:rsidR="008E325F">
        <w:rPr>
          <w:lang w:val="en-GB" w:eastAsia="en-AU"/>
        </w:rPr>
        <w:t xml:space="preserve"> </w:t>
      </w:r>
    </w:p>
    <w:p w14:paraId="24AE576D" w14:textId="77777777" w:rsidR="00902C7A" w:rsidRDefault="00902C7A" w:rsidP="00EC50DD">
      <w:pPr>
        <w:spacing w:line="276" w:lineRule="auto"/>
        <w:jc w:val="left"/>
        <w:rPr>
          <w:lang w:val="en-GB" w:eastAsia="en-AU"/>
        </w:rPr>
      </w:pPr>
    </w:p>
    <w:p w14:paraId="4F5CB60E" w14:textId="0BEDA966" w:rsidR="008E325F" w:rsidRDefault="00F06B1A" w:rsidP="002439C8">
      <w:pPr>
        <w:spacing w:line="276" w:lineRule="auto"/>
        <w:jc w:val="left"/>
        <w:rPr>
          <w:lang w:val="en-AU" w:eastAsia="en-AU"/>
        </w:rPr>
      </w:pPr>
      <w:r>
        <w:rPr>
          <w:lang w:val="en-GB" w:eastAsia="en-AU"/>
        </w:rPr>
        <w:t xml:space="preserve">The first exceedance occurred </w:t>
      </w:r>
      <w:r w:rsidRPr="00FB10A9">
        <w:rPr>
          <w:lang w:val="en-AU" w:eastAsia="en-AU"/>
        </w:rPr>
        <w:t xml:space="preserve">during the early wet season of </w:t>
      </w:r>
      <w:r w:rsidR="00F53806">
        <w:rPr>
          <w:lang w:val="en-AU" w:eastAsia="en-AU"/>
        </w:rPr>
        <w:t>November</w:t>
      </w:r>
      <w:r w:rsidRPr="00FB10A9">
        <w:rPr>
          <w:lang w:val="en-AU" w:eastAsia="en-AU"/>
        </w:rPr>
        <w:t xml:space="preserve"> 2017 when diuron</w:t>
      </w:r>
      <w:r w:rsidRPr="00FB10A9">
        <w:rPr>
          <w:lang w:val="en-AU"/>
        </w:rPr>
        <w:t xml:space="preserve"> had its m</w:t>
      </w:r>
      <w:r w:rsidR="008E325F" w:rsidRPr="00FB10A9">
        <w:rPr>
          <w:lang w:val="en-AU"/>
        </w:rPr>
        <w:t xml:space="preserve">aximum concentration of </w:t>
      </w:r>
      <w:r w:rsidRPr="00FB10A9">
        <w:rPr>
          <w:lang w:val="en-AU"/>
        </w:rPr>
        <w:t>t</w:t>
      </w:r>
      <w:r w:rsidR="008E325F" w:rsidRPr="00FB10A9">
        <w:rPr>
          <w:lang w:val="en-AU"/>
        </w:rPr>
        <w:t xml:space="preserve">he </w:t>
      </w:r>
      <w:r w:rsidR="001B73E5">
        <w:rPr>
          <w:lang w:val="en-AU"/>
        </w:rPr>
        <w:t>2017–18</w:t>
      </w:r>
      <w:r w:rsidR="00737BDD" w:rsidRPr="00FB10A9">
        <w:rPr>
          <w:lang w:val="en-AU"/>
        </w:rPr>
        <w:t xml:space="preserve"> </w:t>
      </w:r>
      <w:r w:rsidR="008E325F" w:rsidRPr="00FB10A9">
        <w:rPr>
          <w:lang w:val="en-AU"/>
        </w:rPr>
        <w:t xml:space="preserve">monitoring year </w:t>
      </w:r>
      <w:r w:rsidRPr="00FB10A9">
        <w:rPr>
          <w:lang w:val="en-AU"/>
        </w:rPr>
        <w:t>(</w:t>
      </w:r>
      <w:r w:rsidR="0098628D">
        <w:rPr>
          <w:lang w:val="en-AU" w:eastAsia="en-AU"/>
        </w:rPr>
        <w:t>778</w:t>
      </w:r>
      <w:r w:rsidR="00EC50DD">
        <w:rPr>
          <w:lang w:val="en-AU" w:eastAsia="en-AU"/>
        </w:rPr>
        <w:t> </w:t>
      </w:r>
      <w:r w:rsidR="008E325F" w:rsidRPr="00FB10A9">
        <w:rPr>
          <w:lang w:val="en-AU" w:eastAsia="en-AU"/>
        </w:rPr>
        <w:t>n</w:t>
      </w:r>
      <w:r w:rsidR="00FE6E97">
        <w:rPr>
          <w:lang w:val="en-AU" w:eastAsia="en-AU"/>
        </w:rPr>
        <w:t>g L</w:t>
      </w:r>
      <w:r w:rsidR="005C25EE" w:rsidRPr="00A209AA">
        <w:rPr>
          <w:vertAlign w:val="superscript"/>
          <w:lang w:val="en-GB" w:eastAsia="en-AU"/>
        </w:rPr>
        <w:noBreakHyphen/>
        <w:t>1</w:t>
      </w:r>
      <w:r w:rsidRPr="00FB10A9">
        <w:rPr>
          <w:lang w:val="en-AU" w:eastAsia="en-AU"/>
        </w:rPr>
        <w:t>). The second exceedance happened in Jan</w:t>
      </w:r>
      <w:r w:rsidR="00FB10A9">
        <w:rPr>
          <w:lang w:val="en-AU" w:eastAsia="en-AU"/>
        </w:rPr>
        <w:t>uary</w:t>
      </w:r>
      <w:r w:rsidRPr="00FB10A9">
        <w:rPr>
          <w:lang w:val="en-AU" w:eastAsia="en-AU"/>
        </w:rPr>
        <w:t>/Feb</w:t>
      </w:r>
      <w:r w:rsidR="00FB10A9">
        <w:rPr>
          <w:lang w:val="en-AU" w:eastAsia="en-AU"/>
        </w:rPr>
        <w:t>ruary</w:t>
      </w:r>
      <w:r w:rsidRPr="00FB10A9">
        <w:rPr>
          <w:lang w:val="en-AU" w:eastAsia="en-AU"/>
        </w:rPr>
        <w:t xml:space="preserve"> 2018 w</w:t>
      </w:r>
      <w:r w:rsidR="0098628D">
        <w:rPr>
          <w:lang w:val="en-AU" w:eastAsia="en-AU"/>
        </w:rPr>
        <w:t>ith diuron concentration of 531</w:t>
      </w:r>
      <w:r w:rsidR="00EC50DD">
        <w:rPr>
          <w:lang w:val="en-AU" w:eastAsia="en-AU"/>
        </w:rPr>
        <w:t> </w:t>
      </w:r>
      <w:r w:rsidRPr="00FB10A9">
        <w:rPr>
          <w:lang w:val="en-AU" w:eastAsia="en-AU"/>
        </w:rPr>
        <w:t>n</w:t>
      </w:r>
      <w:r w:rsidR="00FE6E97">
        <w:rPr>
          <w:lang w:val="en-AU" w:eastAsia="en-AU"/>
        </w:rPr>
        <w:t>g L</w:t>
      </w:r>
      <w:r w:rsidR="005C25EE" w:rsidRPr="00A209AA">
        <w:rPr>
          <w:vertAlign w:val="superscript"/>
          <w:lang w:val="en-GB" w:eastAsia="en-AU"/>
        </w:rPr>
        <w:noBreakHyphen/>
        <w:t>1</w:t>
      </w:r>
      <w:r w:rsidR="0098628D">
        <w:rPr>
          <w:lang w:val="en-AU" w:eastAsia="en-AU"/>
        </w:rPr>
        <w:t xml:space="preserve"> </w:t>
      </w:r>
      <w:r w:rsidRPr="00FB10A9">
        <w:rPr>
          <w:lang w:val="en-AU" w:eastAsia="en-AU"/>
        </w:rPr>
        <w:t xml:space="preserve">(Appendix B, Table B-1). </w:t>
      </w:r>
      <w:r w:rsidR="003B57FC" w:rsidRPr="00FB10A9">
        <w:rPr>
          <w:lang w:val="en-AU" w:eastAsia="en-AU"/>
        </w:rPr>
        <w:t>At this site, atrazine and hexazinone</w:t>
      </w:r>
      <w:r w:rsidR="008E325F" w:rsidRPr="00FB10A9">
        <w:rPr>
          <w:lang w:val="en-AU" w:eastAsia="en-AU"/>
        </w:rPr>
        <w:t xml:space="preserve"> </w:t>
      </w:r>
      <w:r w:rsidR="003B57FC" w:rsidRPr="00FB10A9">
        <w:rPr>
          <w:lang w:val="en-AU" w:eastAsia="en-AU"/>
        </w:rPr>
        <w:t>are</w:t>
      </w:r>
      <w:r w:rsidR="008E325F" w:rsidRPr="00FB10A9">
        <w:rPr>
          <w:lang w:val="en-AU" w:eastAsia="en-AU"/>
        </w:rPr>
        <w:t xml:space="preserve"> </w:t>
      </w:r>
      <w:r w:rsidR="00B27631">
        <w:rPr>
          <w:lang w:val="en-AU" w:eastAsia="en-AU"/>
        </w:rPr>
        <w:t xml:space="preserve">also </w:t>
      </w:r>
      <w:r w:rsidR="008E325F" w:rsidRPr="00FB10A9">
        <w:rPr>
          <w:lang w:val="en-AU" w:eastAsia="en-AU"/>
        </w:rPr>
        <w:t>usually</w:t>
      </w:r>
      <w:r w:rsidR="003B57FC" w:rsidRPr="00FB10A9">
        <w:rPr>
          <w:lang w:val="en-AU" w:eastAsia="en-AU"/>
        </w:rPr>
        <w:t xml:space="preserve"> found at high</w:t>
      </w:r>
      <w:r w:rsidR="008E325F" w:rsidRPr="00FB10A9">
        <w:rPr>
          <w:lang w:val="en-AU" w:eastAsia="en-AU"/>
        </w:rPr>
        <w:t xml:space="preserve"> concentration</w:t>
      </w:r>
      <w:r w:rsidR="003B57FC" w:rsidRPr="00FB10A9">
        <w:rPr>
          <w:lang w:val="en-AU" w:eastAsia="en-AU"/>
        </w:rPr>
        <w:t>s</w:t>
      </w:r>
      <w:r w:rsidR="008E325F" w:rsidRPr="00FB10A9">
        <w:rPr>
          <w:lang w:val="en-AU" w:eastAsia="en-AU"/>
        </w:rPr>
        <w:t>.</w:t>
      </w:r>
    </w:p>
    <w:p w14:paraId="32C11F89" w14:textId="77777777" w:rsidR="00FB10A9" w:rsidRDefault="00FB10A9" w:rsidP="002439C8">
      <w:pPr>
        <w:spacing w:line="276" w:lineRule="auto"/>
        <w:jc w:val="left"/>
        <w:rPr>
          <w:lang w:val="en-AU" w:eastAsia="en-AU"/>
        </w:rPr>
      </w:pPr>
    </w:p>
    <w:p w14:paraId="35E3AC8D" w14:textId="16CBB6CD" w:rsidR="008E325F" w:rsidRDefault="000F3940" w:rsidP="002439C8">
      <w:pPr>
        <w:spacing w:line="276" w:lineRule="auto"/>
        <w:jc w:val="left"/>
        <w:rPr>
          <w:lang w:val="en-AU"/>
        </w:rPr>
      </w:pPr>
      <w:r>
        <w:rPr>
          <w:lang w:val="en-AU"/>
        </w:rPr>
        <w:t>Concentrations of imidaclopid were not as high as the PSII herbicides but in Nov</w:t>
      </w:r>
      <w:r w:rsidR="00FB10A9">
        <w:rPr>
          <w:lang w:val="en-AU"/>
        </w:rPr>
        <w:t>ember</w:t>
      </w:r>
      <w:r>
        <w:rPr>
          <w:lang w:val="en-AU"/>
        </w:rPr>
        <w:t xml:space="preserve"> 2017 reached t</w:t>
      </w:r>
      <w:r w:rsidR="0098628D">
        <w:rPr>
          <w:lang w:val="en-AU"/>
        </w:rPr>
        <w:t>he highest concentration of 42</w:t>
      </w:r>
      <w:r w:rsidR="00EC50DD">
        <w:rPr>
          <w:lang w:val="en-AU" w:eastAsia="en-AU"/>
        </w:rPr>
        <w:t> </w:t>
      </w:r>
      <w:r>
        <w:rPr>
          <w:lang w:val="en-AU"/>
        </w:rPr>
        <w:t>n</w:t>
      </w:r>
      <w:r w:rsidR="00FE6E97">
        <w:rPr>
          <w:lang w:val="en-AU"/>
        </w:rPr>
        <w:t>g L</w:t>
      </w:r>
      <w:r w:rsidR="005C25EE" w:rsidRPr="00A209AA">
        <w:rPr>
          <w:vertAlign w:val="superscript"/>
          <w:lang w:val="en-GB" w:eastAsia="en-AU"/>
        </w:rPr>
        <w:noBreakHyphen/>
        <w:t>1</w:t>
      </w:r>
      <w:r>
        <w:rPr>
          <w:lang w:val="en-AU"/>
        </w:rPr>
        <w:t xml:space="preserve"> </w:t>
      </w:r>
      <w:r w:rsidR="00902C7A">
        <w:rPr>
          <w:lang w:val="en-AU"/>
        </w:rPr>
        <w:t>(</w:t>
      </w:r>
      <w:r>
        <w:rPr>
          <w:lang w:val="en-AU"/>
        </w:rPr>
        <w:t xml:space="preserve">the </w:t>
      </w:r>
      <w:r w:rsidR="00FB10A9">
        <w:rPr>
          <w:lang w:val="en-AU"/>
        </w:rPr>
        <w:t>PGV</w:t>
      </w:r>
      <w:r>
        <w:rPr>
          <w:lang w:val="en-AU"/>
        </w:rPr>
        <w:t xml:space="preserve"> for imidacloprid is 57</w:t>
      </w:r>
      <w:r w:rsidR="00EC50DD">
        <w:rPr>
          <w:lang w:val="en-AU" w:eastAsia="en-AU"/>
        </w:rPr>
        <w:t> </w:t>
      </w:r>
      <w:r>
        <w:rPr>
          <w:lang w:val="en-AU"/>
        </w:rPr>
        <w:t>n</w:t>
      </w:r>
      <w:r w:rsidR="00FE6E97">
        <w:rPr>
          <w:lang w:val="en-AU"/>
        </w:rPr>
        <w:t>g L</w:t>
      </w:r>
      <w:r w:rsidR="005C25EE" w:rsidRPr="00A209AA">
        <w:rPr>
          <w:vertAlign w:val="superscript"/>
          <w:lang w:val="en-GB" w:eastAsia="en-AU"/>
        </w:rPr>
        <w:noBreakHyphen/>
        <w:t>1</w:t>
      </w:r>
      <w:r w:rsidR="00902C7A">
        <w:rPr>
          <w:lang w:val="en-AU"/>
        </w:rPr>
        <w:t>)</w:t>
      </w:r>
      <w:r>
        <w:rPr>
          <w:lang w:val="en-AU"/>
        </w:rPr>
        <w:t>.</w:t>
      </w:r>
    </w:p>
    <w:p w14:paraId="7A5F78A2" w14:textId="77777777" w:rsidR="008E325F" w:rsidRDefault="008E325F" w:rsidP="002439C8">
      <w:pPr>
        <w:spacing w:line="276" w:lineRule="auto"/>
        <w:jc w:val="left"/>
        <w:rPr>
          <w:lang w:val="en-AU"/>
        </w:rPr>
      </w:pPr>
    </w:p>
    <w:p w14:paraId="3BA3CFC5" w14:textId="77777777" w:rsidR="00265469" w:rsidRDefault="0022328F" w:rsidP="002439C8">
      <w:pPr>
        <w:spacing w:line="276" w:lineRule="auto"/>
        <w:jc w:val="left"/>
        <w:rPr>
          <w:lang w:val="en-AU"/>
        </w:rPr>
      </w:pPr>
      <w:r w:rsidRPr="0022328F">
        <w:rPr>
          <w:noProof/>
          <w:lang w:val="en-AU" w:eastAsia="en-AU" w:bidi="ar-SA"/>
        </w:rPr>
        <w:drawing>
          <wp:inline distT="0" distB="0" distL="0" distR="0" wp14:anchorId="7D74D0EB" wp14:editId="7E6E325B">
            <wp:extent cx="5429195" cy="3240000"/>
            <wp:effectExtent l="0" t="0" r="0" b="0"/>
            <wp:docPr id="7188" name="Picture 7188" descr="Temporal trends in % of species affected by pesticides (indicated by the black bars) in Round Top Island in 2017-18, together with the flow rates of adjacent rivers. Flow data from DNRM Stream Gauging Network." title="Pioneer River and Sandy Creek flows and Round Top Island site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QAEHS-Research\Mueller Group\Sampling - Consultancy  Projects\AQUATIC PROJECTS\REEF RESCUE MMP\2018\May 2019 revision\NEW Appendix F - May2019\Round Top - 2017-18.emf"/>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429195" cy="3240000"/>
                    </a:xfrm>
                    <a:prstGeom prst="rect">
                      <a:avLst/>
                    </a:prstGeom>
                    <a:noFill/>
                    <a:ln>
                      <a:noFill/>
                    </a:ln>
                  </pic:spPr>
                </pic:pic>
              </a:graphicData>
            </a:graphic>
          </wp:inline>
        </w:drawing>
      </w:r>
    </w:p>
    <w:p w14:paraId="16668838" w14:textId="77777777" w:rsidR="008E325F" w:rsidRDefault="008E325F" w:rsidP="002439C8">
      <w:pPr>
        <w:spacing w:line="276" w:lineRule="auto"/>
        <w:jc w:val="left"/>
        <w:rPr>
          <w:lang w:val="en-AU"/>
        </w:rPr>
      </w:pPr>
    </w:p>
    <w:p w14:paraId="4E5BFB96" w14:textId="06E9A753" w:rsidR="00954FCA" w:rsidRPr="00CB093C" w:rsidRDefault="008E325F" w:rsidP="00954FCA">
      <w:pPr>
        <w:pStyle w:val="Caption"/>
        <w:rPr>
          <w:rFonts w:cs="Arial"/>
          <w:i/>
          <w:vanish/>
          <w:color w:val="000000"/>
          <w:specVanish/>
        </w:rPr>
      </w:pPr>
      <w:bookmarkStart w:id="571" w:name="_Toc15042911"/>
      <w:r w:rsidRPr="00C67333">
        <w:rPr>
          <w:b w:val="0"/>
          <w:sz w:val="20"/>
        </w:rPr>
        <w:t xml:space="preserve">Figure </w:t>
      </w:r>
      <w:r w:rsidRPr="00C67333">
        <w:rPr>
          <w:b w:val="0"/>
          <w:sz w:val="20"/>
        </w:rPr>
        <w:fldChar w:fldCharType="begin"/>
      </w:r>
      <w:r w:rsidRPr="00C67333">
        <w:rPr>
          <w:b w:val="0"/>
          <w:sz w:val="20"/>
        </w:rPr>
        <w:instrText xml:space="preserve"> SEQ Figure \* ARABIC </w:instrText>
      </w:r>
      <w:r w:rsidRPr="00C67333">
        <w:rPr>
          <w:b w:val="0"/>
          <w:sz w:val="20"/>
        </w:rPr>
        <w:fldChar w:fldCharType="separate"/>
      </w:r>
      <w:r w:rsidR="00373D4B">
        <w:rPr>
          <w:b w:val="0"/>
          <w:noProof/>
          <w:sz w:val="20"/>
        </w:rPr>
        <w:t>19</w:t>
      </w:r>
      <w:r w:rsidRPr="00C67333">
        <w:rPr>
          <w:b w:val="0"/>
          <w:sz w:val="20"/>
        </w:rPr>
        <w:fldChar w:fldCharType="end"/>
      </w:r>
      <w:r w:rsidRPr="00C67333">
        <w:rPr>
          <w:b w:val="0"/>
          <w:sz w:val="20"/>
        </w:rPr>
        <w:t xml:space="preserve">: Temporal trends in % of species affected by pesticides (indicated by the black bars) in </w:t>
      </w:r>
      <w:r w:rsidR="00E2184A">
        <w:rPr>
          <w:b w:val="0"/>
          <w:sz w:val="20"/>
        </w:rPr>
        <w:t>Round Top Island</w:t>
      </w:r>
      <w:r w:rsidRPr="000B2579">
        <w:rPr>
          <w:b w:val="0"/>
          <w:sz w:val="20"/>
        </w:rPr>
        <w:t xml:space="preserve"> </w:t>
      </w:r>
      <w:r w:rsidRPr="00C67333">
        <w:rPr>
          <w:b w:val="0"/>
          <w:sz w:val="20"/>
        </w:rPr>
        <w:t>in 2017-18, together with the flow rate</w:t>
      </w:r>
      <w:r>
        <w:rPr>
          <w:b w:val="0"/>
          <w:sz w:val="20"/>
        </w:rPr>
        <w:t>s</w:t>
      </w:r>
      <w:r w:rsidRPr="00C67333">
        <w:rPr>
          <w:b w:val="0"/>
          <w:sz w:val="20"/>
        </w:rPr>
        <w:t xml:space="preserve"> of </w:t>
      </w:r>
      <w:r>
        <w:rPr>
          <w:b w:val="0"/>
          <w:sz w:val="20"/>
        </w:rPr>
        <w:t xml:space="preserve">adjacent </w:t>
      </w:r>
      <w:r w:rsidRPr="00C67333">
        <w:rPr>
          <w:b w:val="0"/>
          <w:sz w:val="20"/>
        </w:rPr>
        <w:t>river</w:t>
      </w:r>
      <w:r>
        <w:rPr>
          <w:b w:val="0"/>
          <w:sz w:val="20"/>
        </w:rPr>
        <w:t>s</w:t>
      </w:r>
      <w:r w:rsidRPr="00C67333">
        <w:rPr>
          <w:b w:val="0"/>
          <w:sz w:val="20"/>
        </w:rPr>
        <w:t>.</w:t>
      </w:r>
      <w:bookmarkEnd w:id="571"/>
    </w:p>
    <w:p w14:paraId="7684830A" w14:textId="77777777" w:rsidR="008E325F" w:rsidRPr="00C67333" w:rsidRDefault="008E325F" w:rsidP="002439C8">
      <w:pPr>
        <w:pStyle w:val="Caption"/>
        <w:keepNext/>
        <w:spacing w:line="276" w:lineRule="auto"/>
        <w:rPr>
          <w:b w:val="0"/>
          <w:sz w:val="20"/>
        </w:rPr>
      </w:pPr>
      <w:r w:rsidRPr="00C67333">
        <w:rPr>
          <w:b w:val="0"/>
          <w:sz w:val="20"/>
        </w:rPr>
        <w:t xml:space="preserve"> Flow data </w:t>
      </w:r>
      <w:r w:rsidR="00D20BF2">
        <w:rPr>
          <w:b w:val="0"/>
          <w:sz w:val="20"/>
        </w:rPr>
        <w:t>from</w:t>
      </w:r>
      <w:r w:rsidRPr="00C67333">
        <w:rPr>
          <w:b w:val="0"/>
          <w:sz w:val="20"/>
        </w:rPr>
        <w:t xml:space="preserve"> DNRM Stream Gauging</w:t>
      </w:r>
      <w:r>
        <w:rPr>
          <w:b w:val="0"/>
          <w:sz w:val="20"/>
        </w:rPr>
        <w:t xml:space="preserve"> </w:t>
      </w:r>
      <w:r w:rsidRPr="00C67333">
        <w:rPr>
          <w:b w:val="0"/>
          <w:sz w:val="20"/>
        </w:rPr>
        <w:t>Network.</w:t>
      </w:r>
    </w:p>
    <w:p w14:paraId="54A40766" w14:textId="77777777" w:rsidR="008E325F" w:rsidRPr="00BD4CBA" w:rsidRDefault="008E325F" w:rsidP="002439C8">
      <w:pPr>
        <w:jc w:val="left"/>
      </w:pPr>
    </w:p>
    <w:p w14:paraId="33BCBC22" w14:textId="77777777" w:rsidR="006C436E" w:rsidRPr="006C436E" w:rsidRDefault="008E325F" w:rsidP="002439C8">
      <w:pPr>
        <w:spacing w:line="276" w:lineRule="auto"/>
        <w:jc w:val="left"/>
        <w:rPr>
          <w:lang w:val="en-AU" w:eastAsia="en-AU"/>
        </w:rPr>
      </w:pPr>
      <w:r>
        <w:rPr>
          <w:lang w:val="en-AU" w:eastAsia="en-AU"/>
        </w:rPr>
        <w:t xml:space="preserve">The </w:t>
      </w:r>
      <w:r w:rsidR="000F3940">
        <w:rPr>
          <w:lang w:val="en-AU" w:eastAsia="en-AU"/>
        </w:rPr>
        <w:t xml:space="preserve">total </w:t>
      </w:r>
      <w:r>
        <w:rPr>
          <w:lang w:val="en-AU" w:eastAsia="en-AU"/>
        </w:rPr>
        <w:t xml:space="preserve">concentrations of pesticides monitored in </w:t>
      </w:r>
      <w:r w:rsidR="001B73E5">
        <w:rPr>
          <w:lang w:val="en-AU" w:eastAsia="en-AU"/>
        </w:rPr>
        <w:t>2017–18</w:t>
      </w:r>
      <w:r w:rsidRPr="00D275DD">
        <w:rPr>
          <w:lang w:val="en-AU" w:eastAsia="en-AU"/>
        </w:rPr>
        <w:t xml:space="preserve"> were </w:t>
      </w:r>
      <w:r w:rsidR="000F3940">
        <w:rPr>
          <w:lang w:val="en-AU" w:eastAsia="en-AU"/>
        </w:rPr>
        <w:t>similar to those of</w:t>
      </w:r>
      <w:r w:rsidRPr="00D275DD">
        <w:rPr>
          <w:lang w:val="en-AU" w:eastAsia="en-AU"/>
        </w:rPr>
        <w:t xml:space="preserve"> the previous </w:t>
      </w:r>
      <w:r>
        <w:rPr>
          <w:lang w:val="en-AU" w:eastAsia="en-AU"/>
        </w:rPr>
        <w:t xml:space="preserve">two </w:t>
      </w:r>
      <w:r w:rsidRPr="00D275DD">
        <w:rPr>
          <w:lang w:val="en-AU" w:eastAsia="en-AU"/>
        </w:rPr>
        <w:t>monitoring</w:t>
      </w:r>
      <w:r>
        <w:rPr>
          <w:lang w:val="en-AU" w:eastAsia="en-AU"/>
        </w:rPr>
        <w:t xml:space="preserve"> </w:t>
      </w:r>
      <w:r w:rsidRPr="00D275DD">
        <w:rPr>
          <w:lang w:val="en-AU" w:eastAsia="en-AU"/>
        </w:rPr>
        <w:t>year</w:t>
      </w:r>
      <w:r>
        <w:rPr>
          <w:lang w:val="en-AU" w:eastAsia="en-AU"/>
        </w:rPr>
        <w:t xml:space="preserve">s </w:t>
      </w:r>
      <w:r w:rsidRPr="00D275DD">
        <w:rPr>
          <w:lang w:val="en-AU" w:eastAsia="en-AU"/>
        </w:rPr>
        <w:t>(</w:t>
      </w:r>
      <w:r w:rsidRPr="007F03F5">
        <w:rPr>
          <w:lang w:val="en-AU" w:eastAsia="en-AU"/>
        </w:rPr>
        <w:fldChar w:fldCharType="begin"/>
      </w:r>
      <w:r w:rsidRPr="007F03F5">
        <w:rPr>
          <w:lang w:val="en-AU" w:eastAsia="en-AU"/>
        </w:rPr>
        <w:instrText xml:space="preserve"> REF _Ref535500572 \h </w:instrText>
      </w:r>
      <w:r w:rsidRPr="00BE05C8">
        <w:rPr>
          <w:lang w:val="en-AU" w:eastAsia="en-AU"/>
        </w:rPr>
        <w:instrText xml:space="preserve"> \* MERGEFORMAT </w:instrText>
      </w:r>
      <w:r w:rsidRPr="007F03F5">
        <w:rPr>
          <w:lang w:val="en-AU" w:eastAsia="en-AU"/>
        </w:rPr>
      </w:r>
      <w:r w:rsidRPr="007F03F5">
        <w:rPr>
          <w:lang w:val="en-AU" w:eastAsia="en-AU"/>
        </w:rPr>
        <w:fldChar w:fldCharType="separate"/>
      </w:r>
      <w:r w:rsidR="00373D4B" w:rsidRPr="00210B7C">
        <w:t xml:space="preserve">Table </w:t>
      </w:r>
      <w:r w:rsidR="00373D4B">
        <w:rPr>
          <w:noProof/>
        </w:rPr>
        <w:t>5</w:t>
      </w:r>
      <w:r w:rsidRPr="007F03F5">
        <w:rPr>
          <w:lang w:val="en-AU" w:eastAsia="en-AU"/>
        </w:rPr>
        <w:fldChar w:fldCharType="end"/>
      </w:r>
      <w:r w:rsidRPr="007F03F5">
        <w:rPr>
          <w:lang w:val="en-AU" w:eastAsia="en-AU"/>
        </w:rPr>
        <w:t>; f</w:t>
      </w:r>
      <w:r w:rsidRPr="00D275DD">
        <w:rPr>
          <w:lang w:val="en-AU" w:eastAsia="en-AU"/>
        </w:rPr>
        <w:t xml:space="preserve">or historical data, see </w:t>
      </w:r>
      <w:r w:rsidRPr="00D275DD">
        <w:rPr>
          <w:lang w:val="en-AU" w:eastAsia="en-AU"/>
        </w:rPr>
        <w:fldChar w:fldCharType="begin"/>
      </w:r>
      <w:r w:rsidRPr="00D275DD">
        <w:rPr>
          <w:lang w:val="en-AU" w:eastAsia="en-AU"/>
        </w:rPr>
        <w:instrText xml:space="preserve"> REF _Ref480739744 \h  \* MERGEFORMAT </w:instrText>
      </w:r>
      <w:r w:rsidRPr="00D275DD">
        <w:rPr>
          <w:lang w:val="en-AU" w:eastAsia="en-AU"/>
        </w:rPr>
      </w:r>
      <w:r w:rsidRPr="00D275DD">
        <w:rPr>
          <w:lang w:val="en-AU" w:eastAsia="en-AU"/>
        </w:rPr>
        <w:fldChar w:fldCharType="separate"/>
      </w:r>
      <w:r w:rsidR="00373D4B" w:rsidRPr="00373D4B">
        <w:rPr>
          <w:lang w:val="en-AU" w:eastAsia="en-AU"/>
        </w:rPr>
        <w:t>Figure H</w:t>
      </w:r>
      <w:r w:rsidR="00373D4B" w:rsidRPr="00373D4B">
        <w:rPr>
          <w:lang w:val="en-AU" w:eastAsia="en-AU"/>
        </w:rPr>
        <w:noBreakHyphen/>
        <w:t>1</w:t>
      </w:r>
      <w:r w:rsidRPr="00D275DD">
        <w:rPr>
          <w:lang w:val="en-AU" w:eastAsia="en-AU"/>
        </w:rPr>
        <w:fldChar w:fldCharType="end"/>
      </w:r>
      <w:r w:rsidRPr="00D275DD">
        <w:rPr>
          <w:lang w:val="en-AU" w:eastAsia="en-AU"/>
        </w:rPr>
        <w:t xml:space="preserve">). </w:t>
      </w:r>
      <w:r w:rsidR="006C436E" w:rsidRPr="007D68A5">
        <w:t>A</w:t>
      </w:r>
      <w:r w:rsidR="006C436E">
        <w:t>lthough at Repulse Bay in 2016–17</w:t>
      </w:r>
      <w:r w:rsidR="006C436E" w:rsidRPr="007D68A5">
        <w:t xml:space="preserve"> </w:t>
      </w:r>
      <w:r w:rsidR="006C436E">
        <w:t xml:space="preserve">limited samples were obtained </w:t>
      </w:r>
      <w:r w:rsidR="006C436E" w:rsidRPr="007D68A5">
        <w:t>due to sampler losses and deployment issues.</w:t>
      </w:r>
      <w:r w:rsidR="006C436E" w:rsidRPr="007D68A5">
        <w:rPr>
          <w:b/>
        </w:rPr>
        <w:t xml:space="preserve"> </w:t>
      </w:r>
    </w:p>
    <w:p w14:paraId="6A8A234A" w14:textId="77777777" w:rsidR="006C436E" w:rsidRDefault="006C436E" w:rsidP="002439C8">
      <w:pPr>
        <w:spacing w:line="276" w:lineRule="auto"/>
        <w:jc w:val="left"/>
        <w:rPr>
          <w:b/>
        </w:rPr>
      </w:pPr>
    </w:p>
    <w:p w14:paraId="5078BDE6" w14:textId="77777777" w:rsidR="006C436E" w:rsidRPr="007D68A5" w:rsidRDefault="006C436E" w:rsidP="002439C8">
      <w:pPr>
        <w:spacing w:line="276" w:lineRule="auto"/>
        <w:jc w:val="left"/>
        <w:rPr>
          <w:lang w:eastAsia="en-AU"/>
        </w:rPr>
      </w:pPr>
      <w:r w:rsidRPr="007D68A5">
        <w:rPr>
          <w:lang w:eastAsia="en-AU"/>
        </w:rPr>
        <w:t xml:space="preserve">Round Top Island </w:t>
      </w:r>
      <w:r>
        <w:rPr>
          <w:lang w:eastAsia="en-AU"/>
        </w:rPr>
        <w:t>returned</w:t>
      </w:r>
      <w:r w:rsidRPr="007D68A5">
        <w:rPr>
          <w:lang w:eastAsia="en-AU"/>
        </w:rPr>
        <w:t xml:space="preserve"> </w:t>
      </w:r>
      <w:r>
        <w:rPr>
          <w:lang w:eastAsia="en-AU"/>
        </w:rPr>
        <w:t xml:space="preserve">samples </w:t>
      </w:r>
      <w:r w:rsidRPr="007D68A5">
        <w:rPr>
          <w:lang w:eastAsia="en-AU"/>
        </w:rPr>
        <w:t xml:space="preserve">across all </w:t>
      </w:r>
      <w:r>
        <w:rPr>
          <w:lang w:eastAsia="en-AU"/>
        </w:rPr>
        <w:t>risk categories, and is our highest risk monitored site</w:t>
      </w:r>
      <w:r w:rsidRPr="007D68A5">
        <w:rPr>
          <w:lang w:eastAsia="en-AU"/>
        </w:rPr>
        <w:t>:</w:t>
      </w:r>
    </w:p>
    <w:p w14:paraId="431A0F99" w14:textId="77777777" w:rsidR="006C436E" w:rsidRPr="007D68A5" w:rsidRDefault="006C436E" w:rsidP="002439C8">
      <w:pPr>
        <w:pStyle w:val="ListParagraph"/>
        <w:numPr>
          <w:ilvl w:val="0"/>
          <w:numId w:val="33"/>
        </w:numPr>
        <w:spacing w:line="276" w:lineRule="auto"/>
        <w:jc w:val="left"/>
        <w:rPr>
          <w:lang w:eastAsia="en-AU"/>
        </w:rPr>
      </w:pPr>
      <w:r>
        <w:t>Very low risk</w:t>
      </w:r>
      <w:r w:rsidRPr="007D68A5">
        <w:t xml:space="preserve">: protective of 99% of species (i.e. less than 1% of species are affected) - four </w:t>
      </w:r>
    </w:p>
    <w:p w14:paraId="59D541C3" w14:textId="77777777" w:rsidR="006C436E" w:rsidRPr="007D68A5" w:rsidRDefault="006C436E" w:rsidP="002439C8">
      <w:pPr>
        <w:pStyle w:val="ListParagraph"/>
        <w:numPr>
          <w:ilvl w:val="0"/>
          <w:numId w:val="33"/>
        </w:numPr>
        <w:spacing w:line="276" w:lineRule="auto"/>
        <w:jc w:val="left"/>
      </w:pPr>
      <w:r>
        <w:t>Low risk</w:t>
      </w:r>
      <w:r w:rsidRPr="007D68A5">
        <w:t>: protective of &gt;95% but &lt;99% of species (or 1 to &lt;5% of species affected) - one</w:t>
      </w:r>
    </w:p>
    <w:p w14:paraId="6548C63B" w14:textId="77777777" w:rsidR="006C436E" w:rsidRPr="007D68A5" w:rsidRDefault="006C436E" w:rsidP="002439C8">
      <w:pPr>
        <w:pStyle w:val="ListParagraph"/>
        <w:numPr>
          <w:ilvl w:val="0"/>
          <w:numId w:val="33"/>
        </w:numPr>
        <w:spacing w:line="276" w:lineRule="auto"/>
        <w:jc w:val="left"/>
      </w:pPr>
      <w:r>
        <w:t>Moderate risk</w:t>
      </w:r>
      <w:r w:rsidRPr="007D68A5">
        <w:t>: protective of &gt;90% but &lt;95% of species (or 5 to &lt;10% of species affected) - two</w:t>
      </w:r>
    </w:p>
    <w:p w14:paraId="33E9B0F5" w14:textId="77777777" w:rsidR="006C436E" w:rsidRPr="007D68A5" w:rsidRDefault="006C436E" w:rsidP="002439C8">
      <w:pPr>
        <w:pStyle w:val="ListParagraph"/>
        <w:numPr>
          <w:ilvl w:val="0"/>
          <w:numId w:val="33"/>
        </w:numPr>
        <w:spacing w:line="276" w:lineRule="auto"/>
        <w:jc w:val="left"/>
      </w:pPr>
      <w:r>
        <w:t>High risk</w:t>
      </w:r>
      <w:r w:rsidRPr="007D68A5">
        <w:t>: protective of &gt;80% but &lt;90% of species (or 10 to &lt;20% of species affected) – two</w:t>
      </w:r>
    </w:p>
    <w:p w14:paraId="27367395" w14:textId="77777777" w:rsidR="006C436E" w:rsidRPr="007D68A5" w:rsidRDefault="006C436E" w:rsidP="002439C8">
      <w:pPr>
        <w:pStyle w:val="ListParagraph"/>
        <w:numPr>
          <w:ilvl w:val="0"/>
          <w:numId w:val="33"/>
        </w:numPr>
        <w:spacing w:after="120" w:line="276" w:lineRule="auto"/>
        <w:jc w:val="left"/>
        <w:rPr>
          <w:lang w:eastAsia="en-AU"/>
        </w:rPr>
      </w:pPr>
      <w:r>
        <w:t>Very high risk</w:t>
      </w:r>
      <w:r w:rsidRPr="007D68A5">
        <w:t>: protective of ≤80% of species (or ≥20% of species potentially affected) - one</w:t>
      </w:r>
    </w:p>
    <w:p w14:paraId="7737F7D1" w14:textId="77777777" w:rsidR="00055522" w:rsidRPr="0099427D" w:rsidRDefault="00055522" w:rsidP="002439C8">
      <w:pPr>
        <w:pStyle w:val="Heading3"/>
        <w:jc w:val="left"/>
      </w:pPr>
      <w:bookmarkStart w:id="572" w:name="_Toc14435719"/>
      <w:r>
        <w:t>Sandy Creek</w:t>
      </w:r>
      <w:bookmarkEnd w:id="572"/>
    </w:p>
    <w:p w14:paraId="392B0BEE" w14:textId="77777777" w:rsidR="001B104C" w:rsidRPr="00837CC4" w:rsidRDefault="00837CC4" w:rsidP="002439C8">
      <w:pPr>
        <w:spacing w:line="276" w:lineRule="auto"/>
        <w:jc w:val="left"/>
        <w:rPr>
          <w:lang w:val="en-GB" w:eastAsia="en-AU"/>
        </w:rPr>
      </w:pPr>
      <w:r w:rsidRPr="00837CC4">
        <w:rPr>
          <w:lang w:val="en-AU" w:eastAsia="en-AU"/>
        </w:rPr>
        <w:t xml:space="preserve">The number of samplers recovered for this monitoring period is low with only two retrieved in the dry season. </w:t>
      </w:r>
      <w:r w:rsidR="00055522" w:rsidRPr="00837CC4">
        <w:rPr>
          <w:lang w:val="en-GB" w:eastAsia="en-AU"/>
        </w:rPr>
        <w:t xml:space="preserve">There is no </w:t>
      </w:r>
      <w:r w:rsidR="00055522" w:rsidRPr="00837CC4">
        <w:rPr>
          <w:lang w:val="en-AU" w:eastAsia="en-AU"/>
        </w:rPr>
        <w:t>exceedances of guideline values</w:t>
      </w:r>
      <w:r w:rsidR="00055522" w:rsidRPr="00837CC4">
        <w:rPr>
          <w:lang w:val="en-GB" w:eastAsia="en-AU"/>
        </w:rPr>
        <w:t xml:space="preserve"> </w:t>
      </w:r>
      <w:r w:rsidRPr="00837CC4">
        <w:rPr>
          <w:lang w:val="en-GB" w:eastAsia="en-AU"/>
        </w:rPr>
        <w:t>from these two returns</w:t>
      </w:r>
      <w:r w:rsidR="00055522" w:rsidRPr="00837CC4">
        <w:rPr>
          <w:lang w:val="en-GB" w:eastAsia="en-AU"/>
        </w:rPr>
        <w:t xml:space="preserve">. </w:t>
      </w:r>
    </w:p>
    <w:p w14:paraId="43757ECE" w14:textId="77777777" w:rsidR="001B104C" w:rsidRPr="00837CC4" w:rsidRDefault="001B104C" w:rsidP="002439C8">
      <w:pPr>
        <w:spacing w:line="276" w:lineRule="auto"/>
        <w:jc w:val="left"/>
        <w:rPr>
          <w:lang w:val="en-GB" w:eastAsia="en-AU"/>
        </w:rPr>
      </w:pPr>
    </w:p>
    <w:p w14:paraId="0D8E7A68" w14:textId="59D28856" w:rsidR="00AD28F4" w:rsidRPr="00837CC4" w:rsidRDefault="00055522" w:rsidP="002439C8">
      <w:pPr>
        <w:spacing w:line="276" w:lineRule="auto"/>
        <w:jc w:val="left"/>
        <w:rPr>
          <w:lang w:val="en-AU"/>
        </w:rPr>
      </w:pPr>
      <w:r w:rsidRPr="00837CC4">
        <w:rPr>
          <w:lang w:val="en-AU"/>
        </w:rPr>
        <w:t xml:space="preserve">Maximum concentration of PSII herbicides during the monitoring year </w:t>
      </w:r>
      <w:r w:rsidRPr="00837CC4">
        <w:rPr>
          <w:lang w:val="en-AU" w:eastAsia="en-AU"/>
        </w:rPr>
        <w:t xml:space="preserve">was </w:t>
      </w:r>
      <w:r w:rsidR="00837CC4" w:rsidRPr="00837CC4">
        <w:rPr>
          <w:lang w:val="en-AU" w:eastAsia="en-AU"/>
        </w:rPr>
        <w:t>13</w:t>
      </w:r>
      <w:r w:rsidR="00EC50DD">
        <w:rPr>
          <w:lang w:val="en-AU" w:eastAsia="en-AU"/>
        </w:rPr>
        <w:t> </w:t>
      </w:r>
      <w:r w:rsidRPr="00837CC4">
        <w:rPr>
          <w:lang w:val="en-AU" w:eastAsia="en-AU"/>
        </w:rPr>
        <w:t>n</w:t>
      </w:r>
      <w:r w:rsidR="00FE6E97">
        <w:rPr>
          <w:lang w:val="en-AU" w:eastAsia="en-AU"/>
        </w:rPr>
        <w:t>g L</w:t>
      </w:r>
      <w:r w:rsidR="005C25EE" w:rsidRPr="00A209AA">
        <w:rPr>
          <w:vertAlign w:val="superscript"/>
          <w:lang w:val="en-GB" w:eastAsia="en-AU"/>
        </w:rPr>
        <w:noBreakHyphen/>
        <w:t>1</w:t>
      </w:r>
      <w:r w:rsidRPr="00837CC4">
        <w:rPr>
          <w:lang w:val="en-AU" w:eastAsia="en-AU"/>
        </w:rPr>
        <w:t xml:space="preserve"> </w:t>
      </w:r>
      <w:r w:rsidR="001B104C" w:rsidRPr="00837CC4">
        <w:rPr>
          <w:lang w:val="en-AU" w:eastAsia="en-AU"/>
        </w:rPr>
        <w:t xml:space="preserve">for diuron </w:t>
      </w:r>
      <w:r w:rsidR="006713ED" w:rsidRPr="00837CC4">
        <w:rPr>
          <w:lang w:val="en-AU" w:eastAsia="en-AU"/>
        </w:rPr>
        <w:t>in Oct</w:t>
      </w:r>
      <w:r w:rsidR="001B104C" w:rsidRPr="00837CC4">
        <w:rPr>
          <w:lang w:val="en-AU" w:eastAsia="en-AU"/>
        </w:rPr>
        <w:t>ober</w:t>
      </w:r>
      <w:r w:rsidR="006713ED" w:rsidRPr="00837CC4">
        <w:rPr>
          <w:lang w:val="en-AU" w:eastAsia="en-AU"/>
        </w:rPr>
        <w:t xml:space="preserve"> </w:t>
      </w:r>
      <w:r w:rsidRPr="00837CC4">
        <w:rPr>
          <w:lang w:val="en-AU" w:eastAsia="en-AU"/>
        </w:rPr>
        <w:t>201</w:t>
      </w:r>
      <w:r w:rsidR="006713ED" w:rsidRPr="00837CC4">
        <w:rPr>
          <w:lang w:val="en-AU" w:eastAsia="en-AU"/>
        </w:rPr>
        <w:t>7</w:t>
      </w:r>
      <w:r w:rsidR="00D73E99" w:rsidRPr="00837CC4">
        <w:rPr>
          <w:lang w:val="en-AU" w:eastAsia="en-AU"/>
        </w:rPr>
        <w:t xml:space="preserve"> at the end of the dry season</w:t>
      </w:r>
      <w:r w:rsidRPr="00837CC4">
        <w:rPr>
          <w:lang w:val="en-AU" w:eastAsia="en-AU"/>
        </w:rPr>
        <w:t>. Diuron is the pesticide with the highest concentration, followed by</w:t>
      </w:r>
      <w:r w:rsidR="006713ED" w:rsidRPr="00837CC4">
        <w:rPr>
          <w:lang w:val="en-AU" w:eastAsia="en-AU"/>
        </w:rPr>
        <w:t xml:space="preserve"> atrazine and hexazinone. </w:t>
      </w:r>
    </w:p>
    <w:p w14:paraId="2DFAABE4" w14:textId="77777777" w:rsidR="00D73E99" w:rsidRPr="00837CC4" w:rsidRDefault="00D73E99" w:rsidP="002439C8">
      <w:pPr>
        <w:spacing w:line="276" w:lineRule="auto"/>
        <w:jc w:val="left"/>
        <w:rPr>
          <w:highlight w:val="yellow"/>
          <w:lang w:val="en-AU" w:eastAsia="en-AU"/>
        </w:rPr>
      </w:pPr>
    </w:p>
    <w:p w14:paraId="04A127F1" w14:textId="77777777" w:rsidR="00D73E99" w:rsidRDefault="00D73E99" w:rsidP="002439C8">
      <w:pPr>
        <w:spacing w:line="276" w:lineRule="auto"/>
        <w:jc w:val="left"/>
        <w:rPr>
          <w:lang w:val="en-AU" w:eastAsia="en-AU"/>
        </w:rPr>
      </w:pPr>
      <w:r w:rsidRPr="00837CC4">
        <w:rPr>
          <w:lang w:val="en-AU" w:eastAsia="en-AU"/>
        </w:rPr>
        <w:t xml:space="preserve">The level of total concentrations of pesticides monitored in the dry season of 2017 were lower </w:t>
      </w:r>
      <w:r w:rsidR="001B104C" w:rsidRPr="00837CC4">
        <w:rPr>
          <w:lang w:val="en-AU" w:eastAsia="en-AU"/>
        </w:rPr>
        <w:t xml:space="preserve">than </w:t>
      </w:r>
      <w:r w:rsidRPr="00837CC4">
        <w:rPr>
          <w:lang w:val="en-AU" w:eastAsia="en-AU"/>
        </w:rPr>
        <w:t>the previous monitoring year 2016, with data not available in 2014 and 2015 (</w:t>
      </w:r>
      <w:r w:rsidRPr="00837CC4">
        <w:rPr>
          <w:lang w:val="en-AU" w:eastAsia="en-AU"/>
        </w:rPr>
        <w:fldChar w:fldCharType="begin"/>
      </w:r>
      <w:r w:rsidRPr="00837CC4">
        <w:rPr>
          <w:lang w:val="en-AU" w:eastAsia="en-AU"/>
        </w:rPr>
        <w:instrText xml:space="preserve"> REF _Ref535500572 \h  \* MERGEFORMAT </w:instrText>
      </w:r>
      <w:r w:rsidRPr="00837CC4">
        <w:rPr>
          <w:lang w:val="en-AU" w:eastAsia="en-AU"/>
        </w:rPr>
      </w:r>
      <w:r w:rsidRPr="00837CC4">
        <w:rPr>
          <w:lang w:val="en-AU" w:eastAsia="en-AU"/>
        </w:rPr>
        <w:fldChar w:fldCharType="separate"/>
      </w:r>
      <w:r w:rsidR="00373D4B" w:rsidRPr="00210B7C">
        <w:t xml:space="preserve">Table </w:t>
      </w:r>
      <w:r w:rsidR="00373D4B">
        <w:rPr>
          <w:noProof/>
        </w:rPr>
        <w:t>5</w:t>
      </w:r>
      <w:r w:rsidRPr="00837CC4">
        <w:rPr>
          <w:lang w:val="en-AU" w:eastAsia="en-AU"/>
        </w:rPr>
        <w:fldChar w:fldCharType="end"/>
      </w:r>
      <w:r w:rsidRPr="00837CC4">
        <w:rPr>
          <w:lang w:val="en-AU" w:eastAsia="en-AU"/>
        </w:rPr>
        <w:t xml:space="preserve">; for historical data, see </w:t>
      </w:r>
      <w:r w:rsidRPr="00837CC4">
        <w:rPr>
          <w:lang w:val="en-AU" w:eastAsia="en-AU"/>
        </w:rPr>
        <w:fldChar w:fldCharType="begin"/>
      </w:r>
      <w:r w:rsidRPr="00837CC4">
        <w:rPr>
          <w:lang w:val="en-AU" w:eastAsia="en-AU"/>
        </w:rPr>
        <w:instrText xml:space="preserve"> REF _Ref480739744 \h  \* MERGEFORMAT </w:instrText>
      </w:r>
      <w:r w:rsidRPr="00837CC4">
        <w:rPr>
          <w:lang w:val="en-AU" w:eastAsia="en-AU"/>
        </w:rPr>
      </w:r>
      <w:r w:rsidRPr="00837CC4">
        <w:rPr>
          <w:lang w:val="en-AU" w:eastAsia="en-AU"/>
        </w:rPr>
        <w:fldChar w:fldCharType="separate"/>
      </w:r>
      <w:r w:rsidR="00373D4B" w:rsidRPr="00373D4B">
        <w:rPr>
          <w:lang w:val="en-AU" w:eastAsia="en-AU"/>
        </w:rPr>
        <w:t>Figure H</w:t>
      </w:r>
      <w:r w:rsidR="00373D4B" w:rsidRPr="00373D4B">
        <w:rPr>
          <w:lang w:val="en-AU" w:eastAsia="en-AU"/>
        </w:rPr>
        <w:noBreakHyphen/>
        <w:t>1</w:t>
      </w:r>
      <w:r w:rsidRPr="00837CC4">
        <w:rPr>
          <w:lang w:val="en-AU" w:eastAsia="en-AU"/>
        </w:rPr>
        <w:fldChar w:fldCharType="end"/>
      </w:r>
      <w:r w:rsidRPr="00837CC4">
        <w:rPr>
          <w:lang w:val="en-AU" w:eastAsia="en-AU"/>
        </w:rPr>
        <w:t>).</w:t>
      </w:r>
      <w:r w:rsidRPr="00D275DD">
        <w:rPr>
          <w:lang w:val="en-AU" w:eastAsia="en-AU"/>
        </w:rPr>
        <w:t xml:space="preserve"> </w:t>
      </w:r>
    </w:p>
    <w:p w14:paraId="3586016C" w14:textId="77777777" w:rsidR="00D73E99" w:rsidRDefault="00D73E99" w:rsidP="002439C8">
      <w:pPr>
        <w:spacing w:line="276" w:lineRule="auto"/>
        <w:jc w:val="left"/>
        <w:rPr>
          <w:lang w:val="en-AU" w:eastAsia="en-AU"/>
        </w:rPr>
      </w:pPr>
    </w:p>
    <w:p w14:paraId="70F160E7" w14:textId="29EE4602" w:rsidR="00D73E99" w:rsidRDefault="00837CC4" w:rsidP="002439C8">
      <w:pPr>
        <w:spacing w:line="276" w:lineRule="auto"/>
        <w:jc w:val="left"/>
        <w:rPr>
          <w:lang w:val="en-AU" w:eastAsia="en-AU"/>
        </w:rPr>
      </w:pPr>
      <w:r w:rsidRPr="00837CC4">
        <w:t>Both of the dry season deployments returned</w:t>
      </w:r>
      <w:r w:rsidR="00D73E99" w:rsidRPr="00837CC4">
        <w:t xml:space="preserve"> </w:t>
      </w:r>
      <w:r w:rsidR="005E2B71">
        <w:rPr>
          <w:lang w:val="en-AU" w:eastAsia="en-AU"/>
        </w:rPr>
        <w:t>ms</w:t>
      </w:r>
      <w:r w:rsidR="005E2B71">
        <w:rPr>
          <w:lang w:val="en-AU" w:eastAsia="en-AU"/>
        </w:rPr>
        <w:noBreakHyphen/>
        <w:t>PAF</w:t>
      </w:r>
      <w:r w:rsidR="00D73E99" w:rsidRPr="00837CC4">
        <w:rPr>
          <w:lang w:val="en-AU" w:eastAsia="en-AU"/>
        </w:rPr>
        <w:t xml:space="preserve"> values </w:t>
      </w:r>
      <w:r w:rsidRPr="00837CC4">
        <w:rPr>
          <w:lang w:val="en-AU" w:eastAsia="en-AU"/>
        </w:rPr>
        <w:t>that met the desired very low risk category 5: protective of 99% of species (i.e. less than 1% of species are affected)</w:t>
      </w:r>
      <w:r w:rsidR="00D73E99" w:rsidRPr="00837CC4">
        <w:rPr>
          <w:lang w:val="en-AU" w:eastAsia="en-AU"/>
        </w:rPr>
        <w:t xml:space="preserve">. </w:t>
      </w:r>
    </w:p>
    <w:p w14:paraId="771F617F" w14:textId="77777777" w:rsidR="00AD28F4" w:rsidRDefault="00AD28F4" w:rsidP="002439C8">
      <w:pPr>
        <w:spacing w:line="276" w:lineRule="auto"/>
        <w:jc w:val="left"/>
        <w:rPr>
          <w:lang w:val="en-AU"/>
        </w:rPr>
      </w:pPr>
    </w:p>
    <w:p w14:paraId="09EC2E6A" w14:textId="77777777" w:rsidR="00AD28F4" w:rsidRDefault="0022328F" w:rsidP="002439C8">
      <w:pPr>
        <w:spacing w:line="276" w:lineRule="auto"/>
        <w:jc w:val="left"/>
        <w:rPr>
          <w:lang w:val="en-AU"/>
        </w:rPr>
      </w:pPr>
      <w:r w:rsidRPr="0022328F">
        <w:rPr>
          <w:noProof/>
          <w:lang w:val="en-AU" w:eastAsia="en-AU" w:bidi="ar-SA"/>
        </w:rPr>
        <w:drawing>
          <wp:inline distT="0" distB="0" distL="0" distR="0" wp14:anchorId="138533CD" wp14:editId="08EEB895">
            <wp:extent cx="5445735" cy="3240000"/>
            <wp:effectExtent l="0" t="0" r="0" b="0"/>
            <wp:docPr id="7189" name="Picture 7189" descr="Temporal trends in % of species affected by pesticides (indicated by the black bars) in Sandy Creek in 2017–18, together with the flow rates of adjacent rivers. Flow data from DNRM Stream Gauging Network." title="Sandy Creek flows and site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QAEHS-Research\Mueller Group\Sampling - Consultancy  Projects\AQUATIC PROJECTS\REEF RESCUE MMP\2018\May 2019 revision\NEW Appendix F - May2019\SANDY CREEK - 2017-18.emf"/>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445735" cy="3240000"/>
                    </a:xfrm>
                    <a:prstGeom prst="rect">
                      <a:avLst/>
                    </a:prstGeom>
                    <a:noFill/>
                    <a:ln>
                      <a:noFill/>
                    </a:ln>
                  </pic:spPr>
                </pic:pic>
              </a:graphicData>
            </a:graphic>
          </wp:inline>
        </w:drawing>
      </w:r>
    </w:p>
    <w:p w14:paraId="44BD53ED" w14:textId="77777777" w:rsidR="00AD28F4" w:rsidRDefault="00AD28F4" w:rsidP="002439C8">
      <w:pPr>
        <w:spacing w:line="276" w:lineRule="auto"/>
        <w:jc w:val="left"/>
        <w:rPr>
          <w:lang w:val="en-AU"/>
        </w:rPr>
      </w:pPr>
    </w:p>
    <w:p w14:paraId="4CC4CEC7" w14:textId="460575E1" w:rsidR="00954FCA" w:rsidRPr="00CB093C" w:rsidRDefault="00D73E99" w:rsidP="00954FCA">
      <w:pPr>
        <w:pStyle w:val="Caption"/>
        <w:rPr>
          <w:rFonts w:cs="Arial"/>
          <w:i/>
          <w:vanish/>
          <w:color w:val="000000"/>
          <w:specVanish/>
        </w:rPr>
      </w:pPr>
      <w:bookmarkStart w:id="573" w:name="_Toc15042912"/>
      <w:r w:rsidRPr="00C67333">
        <w:rPr>
          <w:b w:val="0"/>
          <w:sz w:val="20"/>
        </w:rPr>
        <w:t xml:space="preserve">Figure </w:t>
      </w:r>
      <w:r w:rsidRPr="00C67333">
        <w:rPr>
          <w:b w:val="0"/>
          <w:sz w:val="20"/>
        </w:rPr>
        <w:fldChar w:fldCharType="begin"/>
      </w:r>
      <w:r w:rsidRPr="00C67333">
        <w:rPr>
          <w:b w:val="0"/>
          <w:sz w:val="20"/>
        </w:rPr>
        <w:instrText xml:space="preserve"> SEQ Figure \* ARABIC </w:instrText>
      </w:r>
      <w:r w:rsidRPr="00C67333">
        <w:rPr>
          <w:b w:val="0"/>
          <w:sz w:val="20"/>
        </w:rPr>
        <w:fldChar w:fldCharType="separate"/>
      </w:r>
      <w:r w:rsidR="00373D4B">
        <w:rPr>
          <w:b w:val="0"/>
          <w:noProof/>
          <w:sz w:val="20"/>
        </w:rPr>
        <w:t>20</w:t>
      </w:r>
      <w:r w:rsidRPr="00C67333">
        <w:rPr>
          <w:b w:val="0"/>
          <w:sz w:val="20"/>
        </w:rPr>
        <w:fldChar w:fldCharType="end"/>
      </w:r>
      <w:r w:rsidRPr="00C67333">
        <w:rPr>
          <w:b w:val="0"/>
          <w:sz w:val="20"/>
        </w:rPr>
        <w:t xml:space="preserve">: Temporal trends in % of species affected by pesticides (indicated by the black bars) in </w:t>
      </w:r>
      <w:r>
        <w:rPr>
          <w:b w:val="0"/>
          <w:sz w:val="20"/>
        </w:rPr>
        <w:t xml:space="preserve">Sandy Creek </w:t>
      </w:r>
      <w:r w:rsidRPr="00C67333">
        <w:rPr>
          <w:b w:val="0"/>
          <w:sz w:val="20"/>
        </w:rPr>
        <w:t xml:space="preserve">in </w:t>
      </w:r>
      <w:r w:rsidR="001B73E5">
        <w:rPr>
          <w:b w:val="0"/>
          <w:sz w:val="20"/>
        </w:rPr>
        <w:t>2017–18</w:t>
      </w:r>
      <w:r w:rsidRPr="00C67333">
        <w:rPr>
          <w:b w:val="0"/>
          <w:sz w:val="20"/>
        </w:rPr>
        <w:t>, together with the flow rate</w:t>
      </w:r>
      <w:r>
        <w:rPr>
          <w:b w:val="0"/>
          <w:sz w:val="20"/>
        </w:rPr>
        <w:t>s</w:t>
      </w:r>
      <w:r w:rsidRPr="00C67333">
        <w:rPr>
          <w:b w:val="0"/>
          <w:sz w:val="20"/>
        </w:rPr>
        <w:t xml:space="preserve"> of </w:t>
      </w:r>
      <w:r>
        <w:rPr>
          <w:b w:val="0"/>
          <w:sz w:val="20"/>
        </w:rPr>
        <w:t xml:space="preserve">adjacent </w:t>
      </w:r>
      <w:r w:rsidRPr="00C67333">
        <w:rPr>
          <w:b w:val="0"/>
          <w:sz w:val="20"/>
        </w:rPr>
        <w:t>river</w:t>
      </w:r>
      <w:r>
        <w:rPr>
          <w:b w:val="0"/>
          <w:sz w:val="20"/>
        </w:rPr>
        <w:t>s</w:t>
      </w:r>
      <w:r w:rsidRPr="00C67333">
        <w:rPr>
          <w:b w:val="0"/>
          <w:sz w:val="20"/>
        </w:rPr>
        <w:t>.</w:t>
      </w:r>
      <w:bookmarkEnd w:id="573"/>
    </w:p>
    <w:p w14:paraId="2E498683" w14:textId="77777777" w:rsidR="00D73E99" w:rsidRPr="00C67333" w:rsidRDefault="00D73E99" w:rsidP="002439C8">
      <w:pPr>
        <w:pStyle w:val="Caption"/>
        <w:keepNext/>
        <w:spacing w:line="276" w:lineRule="auto"/>
        <w:rPr>
          <w:b w:val="0"/>
          <w:sz w:val="20"/>
        </w:rPr>
      </w:pPr>
      <w:r w:rsidRPr="00C67333">
        <w:rPr>
          <w:b w:val="0"/>
          <w:sz w:val="20"/>
        </w:rPr>
        <w:t xml:space="preserve"> Flow data </w:t>
      </w:r>
      <w:r w:rsidR="00F53806">
        <w:rPr>
          <w:b w:val="0"/>
          <w:sz w:val="20"/>
        </w:rPr>
        <w:t>from</w:t>
      </w:r>
      <w:r w:rsidRPr="00C67333">
        <w:rPr>
          <w:b w:val="0"/>
          <w:sz w:val="20"/>
        </w:rPr>
        <w:t xml:space="preserve"> DNRM Stream Gauging</w:t>
      </w:r>
      <w:r>
        <w:rPr>
          <w:b w:val="0"/>
          <w:sz w:val="20"/>
        </w:rPr>
        <w:t xml:space="preserve"> </w:t>
      </w:r>
      <w:r w:rsidRPr="00C67333">
        <w:rPr>
          <w:b w:val="0"/>
          <w:sz w:val="20"/>
        </w:rPr>
        <w:t>Network.</w:t>
      </w:r>
    </w:p>
    <w:p w14:paraId="55BA1A24" w14:textId="77777777" w:rsidR="00D73E99" w:rsidRPr="00BD4CBA" w:rsidRDefault="00D73E99" w:rsidP="002439C8">
      <w:pPr>
        <w:jc w:val="left"/>
      </w:pPr>
    </w:p>
    <w:p w14:paraId="5F89CD03" w14:textId="77777777" w:rsidR="00D147B9" w:rsidRPr="0099427D" w:rsidRDefault="004379B3" w:rsidP="002439C8">
      <w:pPr>
        <w:pStyle w:val="Heading3"/>
        <w:jc w:val="left"/>
      </w:pPr>
      <w:bookmarkStart w:id="574" w:name="_Toc14435720"/>
      <w:r>
        <w:t>Sarina Inlet</w:t>
      </w:r>
      <w:bookmarkEnd w:id="574"/>
    </w:p>
    <w:p w14:paraId="448AE88C" w14:textId="77777777" w:rsidR="00F53806" w:rsidRPr="0013316C" w:rsidRDefault="00D147B9" w:rsidP="002439C8">
      <w:pPr>
        <w:spacing w:line="276" w:lineRule="auto"/>
        <w:jc w:val="left"/>
        <w:rPr>
          <w:lang w:val="en-GB" w:eastAsia="en-AU"/>
        </w:rPr>
      </w:pPr>
      <w:r w:rsidRPr="0013316C">
        <w:rPr>
          <w:lang w:val="en-GB" w:eastAsia="en-AU"/>
        </w:rPr>
        <w:t xml:space="preserve">There </w:t>
      </w:r>
      <w:r w:rsidR="0013316C" w:rsidRPr="0013316C">
        <w:rPr>
          <w:lang w:val="en-GB" w:eastAsia="en-AU"/>
        </w:rPr>
        <w:t>was</w:t>
      </w:r>
      <w:r w:rsidRPr="0013316C">
        <w:rPr>
          <w:lang w:val="en-GB" w:eastAsia="en-AU"/>
        </w:rPr>
        <w:t xml:space="preserve"> no </w:t>
      </w:r>
      <w:r w:rsidRPr="0013316C">
        <w:rPr>
          <w:lang w:val="en-AU" w:eastAsia="en-AU"/>
        </w:rPr>
        <w:t>exceedances of guideline values</w:t>
      </w:r>
      <w:r w:rsidRPr="0013316C">
        <w:rPr>
          <w:lang w:val="en-GB" w:eastAsia="en-AU"/>
        </w:rPr>
        <w:t xml:space="preserve"> </w:t>
      </w:r>
      <w:r w:rsidR="00F53806" w:rsidRPr="0013316C">
        <w:rPr>
          <w:lang w:val="en-GB" w:eastAsia="en-AU"/>
        </w:rPr>
        <w:t xml:space="preserve">at </w:t>
      </w:r>
      <w:r w:rsidRPr="0013316C">
        <w:rPr>
          <w:lang w:val="en-GB" w:eastAsia="en-AU"/>
        </w:rPr>
        <w:t>the Sa</w:t>
      </w:r>
      <w:r w:rsidR="0031514D" w:rsidRPr="0013316C">
        <w:rPr>
          <w:lang w:val="en-GB" w:eastAsia="en-AU"/>
        </w:rPr>
        <w:t>rina</w:t>
      </w:r>
      <w:r w:rsidRPr="0013316C">
        <w:rPr>
          <w:lang w:val="en-GB" w:eastAsia="en-AU"/>
        </w:rPr>
        <w:t xml:space="preserve"> </w:t>
      </w:r>
      <w:r w:rsidR="0031514D" w:rsidRPr="0013316C">
        <w:rPr>
          <w:lang w:val="en-GB" w:eastAsia="en-AU"/>
        </w:rPr>
        <w:t>Inlet</w:t>
      </w:r>
      <w:r w:rsidRPr="0013316C">
        <w:rPr>
          <w:lang w:val="en-GB" w:eastAsia="en-AU"/>
        </w:rPr>
        <w:t xml:space="preserve"> site. </w:t>
      </w:r>
    </w:p>
    <w:p w14:paraId="20081163" w14:textId="77777777" w:rsidR="00F53806" w:rsidRPr="0013316C" w:rsidRDefault="00F53806" w:rsidP="002439C8">
      <w:pPr>
        <w:spacing w:line="276" w:lineRule="auto"/>
        <w:jc w:val="left"/>
        <w:rPr>
          <w:lang w:val="en-GB" w:eastAsia="en-AU"/>
        </w:rPr>
      </w:pPr>
    </w:p>
    <w:p w14:paraId="708FC43A" w14:textId="13A4E4B2" w:rsidR="00D147B9" w:rsidRDefault="0031514D" w:rsidP="002439C8">
      <w:pPr>
        <w:spacing w:line="276" w:lineRule="auto"/>
        <w:jc w:val="left"/>
        <w:rPr>
          <w:lang w:val="en-AU" w:eastAsia="en-AU"/>
        </w:rPr>
      </w:pPr>
      <w:r w:rsidRPr="0013316C">
        <w:rPr>
          <w:lang w:val="en-GB" w:eastAsia="en-AU"/>
        </w:rPr>
        <w:t>The m</w:t>
      </w:r>
      <w:r w:rsidR="00D147B9" w:rsidRPr="0013316C">
        <w:rPr>
          <w:lang w:val="en-AU"/>
        </w:rPr>
        <w:t xml:space="preserve">aximum concentration of PSII herbicides during the monitoring year </w:t>
      </w:r>
      <w:r w:rsidR="00D147B9" w:rsidRPr="0013316C">
        <w:rPr>
          <w:lang w:val="en-AU" w:eastAsia="en-AU"/>
        </w:rPr>
        <w:t xml:space="preserve">was </w:t>
      </w:r>
      <w:r w:rsidRPr="0013316C">
        <w:rPr>
          <w:lang w:val="en-AU" w:eastAsia="en-AU"/>
        </w:rPr>
        <w:t>60</w:t>
      </w:r>
      <w:r w:rsidR="009B7B39">
        <w:rPr>
          <w:lang w:val="en-AU" w:eastAsia="en-AU"/>
        </w:rPr>
        <w:t> </w:t>
      </w:r>
      <w:r w:rsidR="00D147B9" w:rsidRPr="0013316C">
        <w:rPr>
          <w:lang w:val="en-AU" w:eastAsia="en-AU"/>
        </w:rPr>
        <w:t>n</w:t>
      </w:r>
      <w:r w:rsidR="00FE6E97">
        <w:rPr>
          <w:lang w:val="en-AU" w:eastAsia="en-AU"/>
        </w:rPr>
        <w:t>g L</w:t>
      </w:r>
      <w:r w:rsidR="005C25EE" w:rsidRPr="00A209AA">
        <w:rPr>
          <w:vertAlign w:val="superscript"/>
          <w:lang w:val="en-GB" w:eastAsia="en-AU"/>
        </w:rPr>
        <w:noBreakHyphen/>
        <w:t>1</w:t>
      </w:r>
      <w:r w:rsidR="00D147B9" w:rsidRPr="0013316C">
        <w:rPr>
          <w:lang w:val="en-AU" w:eastAsia="en-AU"/>
        </w:rPr>
        <w:t xml:space="preserve"> </w:t>
      </w:r>
      <w:r w:rsidR="00F53806" w:rsidRPr="0013316C">
        <w:rPr>
          <w:lang w:val="en-AU" w:eastAsia="en-AU"/>
        </w:rPr>
        <w:t>for d</w:t>
      </w:r>
      <w:r w:rsidR="00D147B9" w:rsidRPr="0013316C">
        <w:rPr>
          <w:lang w:val="en-AU" w:eastAsia="en-AU"/>
        </w:rPr>
        <w:t xml:space="preserve">iuron in </w:t>
      </w:r>
      <w:r w:rsidR="00F53806" w:rsidRPr="0013316C">
        <w:rPr>
          <w:lang w:val="en-AU" w:eastAsia="en-AU"/>
        </w:rPr>
        <w:t>November</w:t>
      </w:r>
      <w:r w:rsidRPr="0013316C">
        <w:rPr>
          <w:lang w:val="en-AU" w:eastAsia="en-AU"/>
        </w:rPr>
        <w:t>/</w:t>
      </w:r>
      <w:r w:rsidR="00F53806" w:rsidRPr="0013316C">
        <w:rPr>
          <w:lang w:val="en-AU" w:eastAsia="en-AU"/>
        </w:rPr>
        <w:t>January</w:t>
      </w:r>
      <w:r w:rsidR="00D147B9" w:rsidRPr="0013316C">
        <w:rPr>
          <w:lang w:val="en-AU" w:eastAsia="en-AU"/>
        </w:rPr>
        <w:t xml:space="preserve"> 2017 at the </w:t>
      </w:r>
      <w:r w:rsidRPr="0013316C">
        <w:rPr>
          <w:lang w:val="en-AU" w:eastAsia="en-AU"/>
        </w:rPr>
        <w:t>beginning of the wet</w:t>
      </w:r>
      <w:r w:rsidR="00D147B9" w:rsidRPr="0013316C">
        <w:rPr>
          <w:lang w:val="en-AU" w:eastAsia="en-AU"/>
        </w:rPr>
        <w:t xml:space="preserve"> season. </w:t>
      </w:r>
      <w:r w:rsidRPr="0013316C">
        <w:rPr>
          <w:lang w:val="en-AU" w:eastAsia="en-AU"/>
        </w:rPr>
        <w:t>Similar to the close-by site of Sandy Creek, in Sarina Inlet, d</w:t>
      </w:r>
      <w:r w:rsidR="00D147B9" w:rsidRPr="0013316C">
        <w:rPr>
          <w:lang w:val="en-AU" w:eastAsia="en-AU"/>
        </w:rPr>
        <w:t xml:space="preserve">iuron is the pesticide with the highest concentration, followed by atrazine and hexazinone. </w:t>
      </w:r>
    </w:p>
    <w:p w14:paraId="5667C6ED" w14:textId="77777777" w:rsidR="0031514D" w:rsidRDefault="0031514D" w:rsidP="002439C8">
      <w:pPr>
        <w:spacing w:line="276" w:lineRule="auto"/>
        <w:jc w:val="left"/>
        <w:rPr>
          <w:lang w:val="en-AU" w:eastAsia="en-AU"/>
        </w:rPr>
      </w:pPr>
    </w:p>
    <w:p w14:paraId="664754A0" w14:textId="77777777" w:rsidR="00E27740" w:rsidRDefault="00813A77" w:rsidP="002439C8">
      <w:pPr>
        <w:spacing w:line="276" w:lineRule="auto"/>
        <w:jc w:val="left"/>
        <w:rPr>
          <w:lang w:val="en-AU" w:eastAsia="en-AU"/>
        </w:rPr>
      </w:pPr>
      <w:r>
        <w:rPr>
          <w:lang w:val="en-AU" w:eastAsia="en-AU"/>
        </w:rPr>
        <w:t xml:space="preserve">The total concentrations of pesticides monitored in </w:t>
      </w:r>
      <w:r w:rsidR="001B73E5">
        <w:rPr>
          <w:lang w:val="en-AU" w:eastAsia="en-AU"/>
        </w:rPr>
        <w:t>2017–18</w:t>
      </w:r>
      <w:r w:rsidRPr="00D275DD">
        <w:rPr>
          <w:lang w:val="en-AU" w:eastAsia="en-AU"/>
        </w:rPr>
        <w:t xml:space="preserve"> were </w:t>
      </w:r>
      <w:r>
        <w:rPr>
          <w:lang w:val="en-AU" w:eastAsia="en-AU"/>
        </w:rPr>
        <w:t xml:space="preserve">similar to </w:t>
      </w:r>
      <w:r w:rsidRPr="00D275DD">
        <w:rPr>
          <w:lang w:val="en-AU" w:eastAsia="en-AU"/>
        </w:rPr>
        <w:t>the previous monitoring</w:t>
      </w:r>
      <w:r>
        <w:rPr>
          <w:lang w:val="en-AU" w:eastAsia="en-AU"/>
        </w:rPr>
        <w:t xml:space="preserve"> </w:t>
      </w:r>
      <w:r w:rsidRPr="00D275DD">
        <w:rPr>
          <w:lang w:val="en-AU" w:eastAsia="en-AU"/>
        </w:rPr>
        <w:t>year</w:t>
      </w:r>
      <w:r>
        <w:rPr>
          <w:lang w:val="en-AU" w:eastAsia="en-AU"/>
        </w:rPr>
        <w:t xml:space="preserve"> of 2016</w:t>
      </w:r>
      <w:r w:rsidR="000432EB">
        <w:rPr>
          <w:lang w:val="en-AU" w:eastAsia="en-AU"/>
        </w:rPr>
        <w:t>–</w:t>
      </w:r>
      <w:r>
        <w:rPr>
          <w:lang w:val="en-AU" w:eastAsia="en-AU"/>
        </w:rPr>
        <w:t>2017 and higher than 2015</w:t>
      </w:r>
      <w:r w:rsidR="000432EB">
        <w:rPr>
          <w:lang w:val="en-AU" w:eastAsia="en-AU"/>
        </w:rPr>
        <w:t>–</w:t>
      </w:r>
      <w:r>
        <w:rPr>
          <w:lang w:val="en-AU" w:eastAsia="en-AU"/>
        </w:rPr>
        <w:t xml:space="preserve">2016 </w:t>
      </w:r>
      <w:r w:rsidR="00E27740" w:rsidRPr="00D275DD">
        <w:rPr>
          <w:lang w:val="en-AU" w:eastAsia="en-AU"/>
        </w:rPr>
        <w:t>(</w:t>
      </w:r>
      <w:r w:rsidR="00E27740" w:rsidRPr="007F03F5">
        <w:rPr>
          <w:lang w:val="en-AU" w:eastAsia="en-AU"/>
        </w:rPr>
        <w:fldChar w:fldCharType="begin"/>
      </w:r>
      <w:r w:rsidR="00E27740" w:rsidRPr="007F03F5">
        <w:rPr>
          <w:lang w:val="en-AU" w:eastAsia="en-AU"/>
        </w:rPr>
        <w:instrText xml:space="preserve"> REF _Ref535500572 \h </w:instrText>
      </w:r>
      <w:r w:rsidR="00E27740" w:rsidRPr="00BE05C8">
        <w:rPr>
          <w:lang w:val="en-AU" w:eastAsia="en-AU"/>
        </w:rPr>
        <w:instrText xml:space="preserve"> \* MERGEFORMAT </w:instrText>
      </w:r>
      <w:r w:rsidR="00E27740" w:rsidRPr="007F03F5">
        <w:rPr>
          <w:lang w:val="en-AU" w:eastAsia="en-AU"/>
        </w:rPr>
      </w:r>
      <w:r w:rsidR="00E27740" w:rsidRPr="007F03F5">
        <w:rPr>
          <w:lang w:val="en-AU" w:eastAsia="en-AU"/>
        </w:rPr>
        <w:fldChar w:fldCharType="separate"/>
      </w:r>
      <w:r w:rsidR="00373D4B" w:rsidRPr="00210B7C">
        <w:t xml:space="preserve">Table </w:t>
      </w:r>
      <w:r w:rsidR="00373D4B">
        <w:rPr>
          <w:noProof/>
        </w:rPr>
        <w:t>5</w:t>
      </w:r>
      <w:r w:rsidR="00E27740" w:rsidRPr="007F03F5">
        <w:rPr>
          <w:lang w:val="en-AU" w:eastAsia="en-AU"/>
        </w:rPr>
        <w:fldChar w:fldCharType="end"/>
      </w:r>
      <w:r w:rsidR="00E27740" w:rsidRPr="007F03F5">
        <w:rPr>
          <w:lang w:val="en-AU" w:eastAsia="en-AU"/>
        </w:rPr>
        <w:t>; f</w:t>
      </w:r>
      <w:r w:rsidR="00E27740" w:rsidRPr="00D275DD">
        <w:rPr>
          <w:lang w:val="en-AU" w:eastAsia="en-AU"/>
        </w:rPr>
        <w:t xml:space="preserve">or historical data, see </w:t>
      </w:r>
      <w:r w:rsidR="00E27740" w:rsidRPr="00D275DD">
        <w:rPr>
          <w:lang w:val="en-AU" w:eastAsia="en-AU"/>
        </w:rPr>
        <w:fldChar w:fldCharType="begin"/>
      </w:r>
      <w:r w:rsidR="00E27740" w:rsidRPr="00D275DD">
        <w:rPr>
          <w:lang w:val="en-AU" w:eastAsia="en-AU"/>
        </w:rPr>
        <w:instrText xml:space="preserve"> REF _Ref480739744 \h  \* MERGEFORMAT </w:instrText>
      </w:r>
      <w:r w:rsidR="00E27740" w:rsidRPr="00D275DD">
        <w:rPr>
          <w:lang w:val="en-AU" w:eastAsia="en-AU"/>
        </w:rPr>
      </w:r>
      <w:r w:rsidR="00E27740" w:rsidRPr="00D275DD">
        <w:rPr>
          <w:lang w:val="en-AU" w:eastAsia="en-AU"/>
        </w:rPr>
        <w:fldChar w:fldCharType="separate"/>
      </w:r>
      <w:r w:rsidR="00373D4B" w:rsidRPr="00373D4B">
        <w:rPr>
          <w:lang w:val="en-AU" w:eastAsia="en-AU"/>
        </w:rPr>
        <w:t>Figure H</w:t>
      </w:r>
      <w:r w:rsidR="00373D4B" w:rsidRPr="00373D4B">
        <w:rPr>
          <w:lang w:val="en-AU" w:eastAsia="en-AU"/>
        </w:rPr>
        <w:noBreakHyphen/>
        <w:t>1</w:t>
      </w:r>
      <w:r w:rsidR="00E27740" w:rsidRPr="00D275DD">
        <w:rPr>
          <w:lang w:val="en-AU" w:eastAsia="en-AU"/>
        </w:rPr>
        <w:fldChar w:fldCharType="end"/>
      </w:r>
      <w:r w:rsidR="00E27740" w:rsidRPr="00D275DD">
        <w:rPr>
          <w:lang w:val="en-AU" w:eastAsia="en-AU"/>
        </w:rPr>
        <w:t xml:space="preserve">). </w:t>
      </w:r>
    </w:p>
    <w:p w14:paraId="598678DB" w14:textId="77777777" w:rsidR="00E27740" w:rsidRDefault="00E27740" w:rsidP="002439C8">
      <w:pPr>
        <w:spacing w:line="276" w:lineRule="auto"/>
        <w:jc w:val="left"/>
        <w:rPr>
          <w:lang w:val="en-AU" w:eastAsia="en-AU"/>
        </w:rPr>
      </w:pPr>
    </w:p>
    <w:p w14:paraId="16D757A2" w14:textId="7053873C" w:rsidR="000B168F" w:rsidRPr="0013316C" w:rsidRDefault="0013316C" w:rsidP="002439C8">
      <w:pPr>
        <w:spacing w:line="276" w:lineRule="auto"/>
        <w:jc w:val="left"/>
        <w:rPr>
          <w:lang w:val="en-AU"/>
        </w:rPr>
      </w:pPr>
      <w:r>
        <w:t xml:space="preserve">The </w:t>
      </w:r>
      <w:r w:rsidR="005E2B71">
        <w:rPr>
          <w:lang w:val="en-AU" w:eastAsia="en-AU"/>
        </w:rPr>
        <w:t>ms</w:t>
      </w:r>
      <w:r w:rsidR="005E2B71">
        <w:rPr>
          <w:lang w:val="en-AU" w:eastAsia="en-AU"/>
        </w:rPr>
        <w:noBreakHyphen/>
        <w:t>PAF</w:t>
      </w:r>
      <w:r w:rsidRPr="000D3ED3">
        <w:rPr>
          <w:lang w:val="en-AU" w:eastAsia="en-AU"/>
        </w:rPr>
        <w:t xml:space="preserve"> values in </w:t>
      </w:r>
      <w:r>
        <w:rPr>
          <w:lang w:val="en-AU" w:eastAsia="en-AU"/>
        </w:rPr>
        <w:t xml:space="preserve">2017–18 at this site </w:t>
      </w:r>
      <w:r w:rsidRPr="00691CC8">
        <w:t xml:space="preserve">met the </w:t>
      </w:r>
      <w:r w:rsidRPr="00691CC8">
        <w:rPr>
          <w:lang w:eastAsia="en-AU"/>
        </w:rPr>
        <w:t xml:space="preserve">desired </w:t>
      </w:r>
      <w:r w:rsidRPr="00691CC8">
        <w:t xml:space="preserve">very low risk category 5: protective of 99% of species (i.e. </w:t>
      </w:r>
      <w:r w:rsidRPr="00144A2C">
        <w:t xml:space="preserve">less than 1% of species are affected) </w:t>
      </w:r>
      <w:r w:rsidRPr="00144A2C">
        <w:rPr>
          <w:lang w:val="en-AU" w:eastAsia="en-AU"/>
        </w:rPr>
        <w:t>for all except one deployment which returned a low risk, category 4 assessment</w:t>
      </w:r>
      <w:r>
        <w:rPr>
          <w:lang w:val="en-AU" w:eastAsia="en-AU"/>
        </w:rPr>
        <w:t xml:space="preserve"> at 1.5% of species affected</w:t>
      </w:r>
      <w:r w:rsidRPr="00144A2C">
        <w:rPr>
          <w:lang w:val="en-AU" w:eastAsia="en-AU"/>
        </w:rPr>
        <w:t xml:space="preserve">: </w:t>
      </w:r>
      <w:r w:rsidRPr="00144A2C">
        <w:t>protective of &gt;95% but &lt;99% of species (or 1 to &lt;5% of species affected)</w:t>
      </w:r>
      <w:r>
        <w:t xml:space="preserve">. </w:t>
      </w:r>
      <w:r w:rsidR="000B168F" w:rsidRPr="0013316C">
        <w:rPr>
          <w:highlight w:val="yellow"/>
          <w:lang w:val="en-AU" w:eastAsia="en-AU"/>
        </w:rPr>
        <w:t xml:space="preserve"> </w:t>
      </w:r>
    </w:p>
    <w:p w14:paraId="5E498ECF" w14:textId="77777777" w:rsidR="0031514D" w:rsidRDefault="0022328F" w:rsidP="002439C8">
      <w:pPr>
        <w:spacing w:line="276" w:lineRule="auto"/>
        <w:jc w:val="left"/>
        <w:rPr>
          <w:lang w:val="en-AU" w:eastAsia="en-AU"/>
        </w:rPr>
      </w:pPr>
      <w:r w:rsidRPr="0022328F">
        <w:rPr>
          <w:noProof/>
          <w:lang w:val="en-AU" w:eastAsia="en-AU" w:bidi="ar-SA"/>
        </w:rPr>
        <w:drawing>
          <wp:inline distT="0" distB="0" distL="0" distR="0" wp14:anchorId="27289701" wp14:editId="06F81355">
            <wp:extent cx="5588595" cy="3240000"/>
            <wp:effectExtent l="0" t="0" r="0" b="0"/>
            <wp:docPr id="7193" name="Picture 7193" descr="Temporal trends in % of species affected by PSII pesticides (as indicated by the black bars) in Sarina Inlet in 2017–18, together with the flow rates of adjacent rivers. Flow data from DNRM Stream Gauging Network." title="Sandy Creek flows and sarina inlet site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QAEHS-Research\Mueller Group\Sampling - Consultancy  Projects\AQUATIC PROJECTS\REEF RESCUE MMP\2018\May 2019 revision\NEW Appendix F - May2019\SARINA INLET - 2017-18.emf"/>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588595" cy="3240000"/>
                    </a:xfrm>
                    <a:prstGeom prst="rect">
                      <a:avLst/>
                    </a:prstGeom>
                    <a:noFill/>
                    <a:ln>
                      <a:noFill/>
                    </a:ln>
                  </pic:spPr>
                </pic:pic>
              </a:graphicData>
            </a:graphic>
          </wp:inline>
        </w:drawing>
      </w:r>
    </w:p>
    <w:p w14:paraId="46F87470" w14:textId="77777777" w:rsidR="0031514D" w:rsidRDefault="0031514D" w:rsidP="002439C8">
      <w:pPr>
        <w:spacing w:line="276" w:lineRule="auto"/>
        <w:jc w:val="left"/>
        <w:rPr>
          <w:lang w:val="en-AU"/>
        </w:rPr>
      </w:pPr>
    </w:p>
    <w:p w14:paraId="5A8801F1" w14:textId="05EA41C3" w:rsidR="00954FCA" w:rsidRPr="00CB093C" w:rsidRDefault="0031514D" w:rsidP="00954FCA">
      <w:pPr>
        <w:pStyle w:val="Caption"/>
        <w:rPr>
          <w:rFonts w:cs="Arial"/>
          <w:i/>
          <w:vanish/>
          <w:color w:val="000000"/>
          <w:specVanish/>
        </w:rPr>
      </w:pPr>
      <w:bookmarkStart w:id="575" w:name="_Toc15042913"/>
      <w:r w:rsidRPr="00C67333">
        <w:rPr>
          <w:b w:val="0"/>
          <w:sz w:val="20"/>
        </w:rPr>
        <w:t xml:space="preserve">Figure </w:t>
      </w:r>
      <w:r w:rsidRPr="00C67333">
        <w:rPr>
          <w:b w:val="0"/>
          <w:sz w:val="20"/>
        </w:rPr>
        <w:fldChar w:fldCharType="begin"/>
      </w:r>
      <w:r w:rsidRPr="00C67333">
        <w:rPr>
          <w:b w:val="0"/>
          <w:sz w:val="20"/>
        </w:rPr>
        <w:instrText xml:space="preserve"> SEQ Figure \* ARABIC </w:instrText>
      </w:r>
      <w:r w:rsidRPr="00C67333">
        <w:rPr>
          <w:b w:val="0"/>
          <w:sz w:val="20"/>
        </w:rPr>
        <w:fldChar w:fldCharType="separate"/>
      </w:r>
      <w:r w:rsidR="00373D4B">
        <w:rPr>
          <w:b w:val="0"/>
          <w:noProof/>
          <w:sz w:val="20"/>
        </w:rPr>
        <w:t>21</w:t>
      </w:r>
      <w:r w:rsidRPr="00C67333">
        <w:rPr>
          <w:b w:val="0"/>
          <w:sz w:val="20"/>
        </w:rPr>
        <w:fldChar w:fldCharType="end"/>
      </w:r>
      <w:r w:rsidRPr="00C67333">
        <w:rPr>
          <w:b w:val="0"/>
          <w:sz w:val="20"/>
        </w:rPr>
        <w:t xml:space="preserve">: Temporal trends in % of species affected by PSII pesticides (as indicated by the black bars) in </w:t>
      </w:r>
      <w:r>
        <w:rPr>
          <w:b w:val="0"/>
          <w:sz w:val="20"/>
        </w:rPr>
        <w:t xml:space="preserve">Sarina Inlet </w:t>
      </w:r>
      <w:r w:rsidRPr="00C67333">
        <w:rPr>
          <w:b w:val="0"/>
          <w:sz w:val="20"/>
        </w:rPr>
        <w:t xml:space="preserve">in </w:t>
      </w:r>
      <w:r w:rsidR="001B73E5">
        <w:rPr>
          <w:b w:val="0"/>
          <w:sz w:val="20"/>
        </w:rPr>
        <w:t>2017–18</w:t>
      </w:r>
      <w:r w:rsidRPr="00C67333">
        <w:rPr>
          <w:b w:val="0"/>
          <w:sz w:val="20"/>
        </w:rPr>
        <w:t>, together with the flow rate</w:t>
      </w:r>
      <w:r>
        <w:rPr>
          <w:b w:val="0"/>
          <w:sz w:val="20"/>
        </w:rPr>
        <w:t>s</w:t>
      </w:r>
      <w:r w:rsidRPr="00C67333">
        <w:rPr>
          <w:b w:val="0"/>
          <w:sz w:val="20"/>
        </w:rPr>
        <w:t xml:space="preserve"> of </w:t>
      </w:r>
      <w:r>
        <w:rPr>
          <w:b w:val="0"/>
          <w:sz w:val="20"/>
        </w:rPr>
        <w:t xml:space="preserve">adjacent </w:t>
      </w:r>
      <w:r w:rsidRPr="00C67333">
        <w:rPr>
          <w:b w:val="0"/>
          <w:sz w:val="20"/>
        </w:rPr>
        <w:t>river</w:t>
      </w:r>
      <w:r>
        <w:rPr>
          <w:b w:val="0"/>
          <w:sz w:val="20"/>
        </w:rPr>
        <w:t>s</w:t>
      </w:r>
      <w:r w:rsidRPr="00C67333">
        <w:rPr>
          <w:b w:val="0"/>
          <w:sz w:val="20"/>
        </w:rPr>
        <w:t>.</w:t>
      </w:r>
      <w:bookmarkEnd w:id="575"/>
    </w:p>
    <w:p w14:paraId="4497D357" w14:textId="77777777" w:rsidR="0031514D" w:rsidRPr="00C67333" w:rsidRDefault="0031514D" w:rsidP="002439C8">
      <w:pPr>
        <w:pStyle w:val="Caption"/>
        <w:keepNext/>
        <w:spacing w:line="276" w:lineRule="auto"/>
        <w:rPr>
          <w:b w:val="0"/>
          <w:sz w:val="20"/>
        </w:rPr>
      </w:pPr>
      <w:r w:rsidRPr="00C67333">
        <w:rPr>
          <w:b w:val="0"/>
          <w:sz w:val="20"/>
        </w:rPr>
        <w:t xml:space="preserve"> Flow data </w:t>
      </w:r>
      <w:r w:rsidR="00902C7A">
        <w:rPr>
          <w:b w:val="0"/>
          <w:sz w:val="20"/>
        </w:rPr>
        <w:t>from</w:t>
      </w:r>
      <w:r w:rsidRPr="00C67333">
        <w:rPr>
          <w:b w:val="0"/>
          <w:sz w:val="20"/>
        </w:rPr>
        <w:t xml:space="preserve"> DNRM Stream Gauging</w:t>
      </w:r>
      <w:r>
        <w:rPr>
          <w:b w:val="0"/>
          <w:sz w:val="20"/>
        </w:rPr>
        <w:t xml:space="preserve"> </w:t>
      </w:r>
      <w:r w:rsidRPr="00C67333">
        <w:rPr>
          <w:b w:val="0"/>
          <w:sz w:val="20"/>
        </w:rPr>
        <w:t>Network.</w:t>
      </w:r>
    </w:p>
    <w:p w14:paraId="0F93849A" w14:textId="77777777" w:rsidR="00D73E99" w:rsidRDefault="00D73E99" w:rsidP="002439C8">
      <w:pPr>
        <w:spacing w:line="276" w:lineRule="auto"/>
        <w:jc w:val="left"/>
        <w:rPr>
          <w:lang w:val="en-AU" w:eastAsia="en-AU"/>
        </w:rPr>
      </w:pPr>
    </w:p>
    <w:p w14:paraId="2952D32D" w14:textId="77777777" w:rsidR="00076160" w:rsidRPr="0099427D" w:rsidRDefault="00076160" w:rsidP="002439C8">
      <w:pPr>
        <w:pStyle w:val="Heading3"/>
        <w:jc w:val="left"/>
      </w:pPr>
      <w:bookmarkStart w:id="576" w:name="_Toc14435721"/>
      <w:r>
        <w:t>Factors influencing the pesticide concentrations in the Whitsunday region</w:t>
      </w:r>
      <w:bookmarkEnd w:id="576"/>
    </w:p>
    <w:p w14:paraId="697C26E8" w14:textId="77777777" w:rsidR="006E6910" w:rsidRDefault="00AC43D1" w:rsidP="002439C8">
      <w:pPr>
        <w:spacing w:line="276" w:lineRule="auto"/>
        <w:jc w:val="left"/>
        <w:rPr>
          <w:lang w:val="en-AU"/>
        </w:rPr>
      </w:pPr>
      <w:r w:rsidRPr="000C5D2A">
        <w:rPr>
          <w:lang w:val="en-AU"/>
        </w:rPr>
        <w:t xml:space="preserve">The </w:t>
      </w:r>
      <w:r w:rsidR="0021774D">
        <w:rPr>
          <w:lang w:val="en-AU"/>
        </w:rPr>
        <w:t xml:space="preserve">rivers influencing passive sampling sites in the </w:t>
      </w:r>
      <w:r w:rsidRPr="000C5D2A">
        <w:rPr>
          <w:lang w:val="en-AU"/>
        </w:rPr>
        <w:t xml:space="preserve">Mackay Whitsunday region </w:t>
      </w:r>
      <w:r w:rsidR="0021774D">
        <w:rPr>
          <w:lang w:val="en-AU"/>
        </w:rPr>
        <w:t xml:space="preserve">discharged below median volumes (0.3 – 0.6 times the </w:t>
      </w:r>
      <w:r w:rsidR="00CB75D5">
        <w:rPr>
          <w:lang w:val="en-AU"/>
        </w:rPr>
        <w:t>long-term</w:t>
      </w:r>
      <w:r w:rsidR="0021774D">
        <w:rPr>
          <w:lang w:val="en-AU"/>
        </w:rPr>
        <w:t xml:space="preserve"> median) this monitoring year. This is in contrast to the previous year, whe</w:t>
      </w:r>
      <w:r w:rsidR="009E517C">
        <w:rPr>
          <w:lang w:val="en-AU"/>
        </w:rPr>
        <w:t>n</w:t>
      </w:r>
      <w:r w:rsidR="0021774D">
        <w:rPr>
          <w:lang w:val="en-AU"/>
        </w:rPr>
        <w:t xml:space="preserve"> rainfall in excess of 500</w:t>
      </w:r>
      <w:r w:rsidR="00E91245">
        <w:rPr>
          <w:lang w:val="en-AU"/>
        </w:rPr>
        <w:t> </w:t>
      </w:r>
      <w:r w:rsidR="0021774D">
        <w:rPr>
          <w:lang w:val="en-AU"/>
        </w:rPr>
        <w:t xml:space="preserve">mm associated with </w:t>
      </w:r>
      <w:r w:rsidR="00902C7A">
        <w:rPr>
          <w:lang w:val="en-AU"/>
        </w:rPr>
        <w:t>c</w:t>
      </w:r>
      <w:r w:rsidR="0021774D">
        <w:rPr>
          <w:lang w:val="en-AU"/>
        </w:rPr>
        <w:t xml:space="preserve">yclone Debbie contributed to above median discharge in all relevant rivers. </w:t>
      </w:r>
    </w:p>
    <w:p w14:paraId="5AED9002" w14:textId="77777777" w:rsidR="006E6910" w:rsidRDefault="006E6910" w:rsidP="002439C8">
      <w:pPr>
        <w:spacing w:line="276" w:lineRule="auto"/>
        <w:jc w:val="left"/>
        <w:rPr>
          <w:lang w:val="en-AU"/>
        </w:rPr>
      </w:pPr>
    </w:p>
    <w:p w14:paraId="66BA94FC" w14:textId="77777777" w:rsidR="00DE38E0" w:rsidRDefault="0021774D" w:rsidP="002439C8">
      <w:pPr>
        <w:spacing w:line="276" w:lineRule="auto"/>
        <w:jc w:val="left"/>
        <w:rPr>
          <w:lang w:val="en-AU" w:eastAsia="en-AU"/>
        </w:rPr>
      </w:pPr>
      <w:r>
        <w:rPr>
          <w:lang w:val="en-AU"/>
        </w:rPr>
        <w:t xml:space="preserve">There were three wet season rainfall events in the </w:t>
      </w:r>
      <w:r w:rsidR="00BF37D6">
        <w:rPr>
          <w:lang w:val="en-AU"/>
        </w:rPr>
        <w:t>basin</w:t>
      </w:r>
      <w:r>
        <w:rPr>
          <w:lang w:val="en-AU"/>
        </w:rPr>
        <w:t xml:space="preserve">s this year occurring in late January, late February and late March 2018. This resulted in </w:t>
      </w:r>
      <w:r>
        <w:rPr>
          <w:lang w:val="en-AU" w:eastAsia="en-AU"/>
        </w:rPr>
        <w:t>numerous</w:t>
      </w:r>
      <w:r w:rsidR="00CE70A5" w:rsidRPr="00955D93">
        <w:rPr>
          <w:lang w:val="en-AU" w:eastAsia="en-AU"/>
        </w:rPr>
        <w:t xml:space="preserve"> flow events across the region</w:t>
      </w:r>
      <w:r>
        <w:rPr>
          <w:lang w:val="en-AU" w:eastAsia="en-AU"/>
        </w:rPr>
        <w:t xml:space="preserve"> during this period, with the highest flow </w:t>
      </w:r>
      <w:r w:rsidR="00E96227">
        <w:rPr>
          <w:lang w:val="en-AU" w:eastAsia="en-AU"/>
        </w:rPr>
        <w:t>event occurring following the late March rainfall event. Similarly to the Burdekin region, one</w:t>
      </w:r>
      <w:r w:rsidR="005F4132">
        <w:rPr>
          <w:lang w:val="en-AU" w:eastAsia="en-AU"/>
        </w:rPr>
        <w:t xml:space="preserve"> large</w:t>
      </w:r>
      <w:r w:rsidR="00E96227">
        <w:rPr>
          <w:lang w:val="en-AU" w:eastAsia="en-AU"/>
        </w:rPr>
        <w:t xml:space="preserve"> dry season flow </w:t>
      </w:r>
      <w:r w:rsidR="005F4132">
        <w:rPr>
          <w:lang w:val="en-AU" w:eastAsia="en-AU"/>
        </w:rPr>
        <w:t xml:space="preserve">event (similar in magnitude to the highest flow event in the wet season) </w:t>
      </w:r>
      <w:r w:rsidR="00E96227">
        <w:rPr>
          <w:lang w:val="en-AU" w:eastAsia="en-AU"/>
        </w:rPr>
        <w:t>occurr</w:t>
      </w:r>
      <w:r w:rsidR="00A956EB">
        <w:rPr>
          <w:lang w:val="en-AU" w:eastAsia="en-AU"/>
        </w:rPr>
        <w:t>ed</w:t>
      </w:r>
      <w:r w:rsidR="00E96227">
        <w:rPr>
          <w:lang w:val="en-AU" w:eastAsia="en-AU"/>
        </w:rPr>
        <w:t xml:space="preserve"> in May 2017</w:t>
      </w:r>
      <w:r w:rsidR="00CE70A5" w:rsidRPr="00955D93">
        <w:rPr>
          <w:lang w:val="en-AU" w:eastAsia="en-AU"/>
        </w:rPr>
        <w:t>.</w:t>
      </w:r>
      <w:r w:rsidR="00955D93" w:rsidRPr="00955D93">
        <w:rPr>
          <w:lang w:val="en-AU" w:eastAsia="en-AU"/>
        </w:rPr>
        <w:t xml:space="preserve"> </w:t>
      </w:r>
    </w:p>
    <w:p w14:paraId="1EF275D8" w14:textId="77777777" w:rsidR="00E96227" w:rsidRDefault="00E96227" w:rsidP="002439C8">
      <w:pPr>
        <w:spacing w:line="276" w:lineRule="auto"/>
        <w:jc w:val="left"/>
        <w:rPr>
          <w:lang w:val="en-AU" w:eastAsia="en-AU"/>
        </w:rPr>
      </w:pPr>
    </w:p>
    <w:p w14:paraId="569FA154" w14:textId="4B00F68B" w:rsidR="006E6910" w:rsidRDefault="00DF4666" w:rsidP="002439C8">
      <w:pPr>
        <w:spacing w:line="276" w:lineRule="auto"/>
        <w:jc w:val="left"/>
        <w:rPr>
          <w:lang w:val="en-AU" w:eastAsia="en-AU"/>
        </w:rPr>
      </w:pPr>
      <w:r>
        <w:rPr>
          <w:lang w:val="en-AU" w:eastAsia="en-AU"/>
        </w:rPr>
        <w:t>T</w:t>
      </w:r>
      <w:r w:rsidR="00FB1202">
        <w:rPr>
          <w:lang w:val="en-AU" w:eastAsia="en-AU"/>
        </w:rPr>
        <w:t>he i</w:t>
      </w:r>
      <w:r w:rsidR="00955D93" w:rsidRPr="00955D93">
        <w:rPr>
          <w:lang w:val="en-AU" w:eastAsia="en-AU"/>
        </w:rPr>
        <w:t xml:space="preserve">ncomplete sampling records </w:t>
      </w:r>
      <w:r w:rsidR="00FB1202">
        <w:rPr>
          <w:lang w:val="en-AU" w:eastAsia="en-AU"/>
        </w:rPr>
        <w:t xml:space="preserve">particularly </w:t>
      </w:r>
      <w:r w:rsidR="000C5D2A" w:rsidRPr="00955D93">
        <w:rPr>
          <w:lang w:val="en-AU" w:eastAsia="en-AU"/>
        </w:rPr>
        <w:t>at Repulse Bay and Sandy Creek</w:t>
      </w:r>
      <w:r w:rsidR="00FB1202">
        <w:rPr>
          <w:lang w:val="en-AU" w:eastAsia="en-AU"/>
        </w:rPr>
        <w:t xml:space="preserve"> </w:t>
      </w:r>
      <w:r>
        <w:rPr>
          <w:lang w:val="en-AU" w:eastAsia="en-AU"/>
        </w:rPr>
        <w:t xml:space="preserve">(no successful wet season sampling) </w:t>
      </w:r>
      <w:r w:rsidR="00E17142">
        <w:rPr>
          <w:lang w:val="en-AU" w:eastAsia="en-AU"/>
        </w:rPr>
        <w:t>mean the maximum concentrations may be underestimated for this monitoring year at those sites</w:t>
      </w:r>
      <w:r w:rsidR="00955D93" w:rsidRPr="00955D93">
        <w:rPr>
          <w:lang w:val="en-AU" w:eastAsia="en-AU"/>
        </w:rPr>
        <w:t xml:space="preserve">. </w:t>
      </w:r>
      <w:r w:rsidR="00B70D8D" w:rsidRPr="00B70D8D">
        <w:rPr>
          <w:lang w:val="en-AU"/>
        </w:rPr>
        <w:t xml:space="preserve">The </w:t>
      </w:r>
      <w:r w:rsidR="00E17142">
        <w:rPr>
          <w:lang w:val="en-AU"/>
        </w:rPr>
        <w:t>pesticide levels and risk of pesticide exposure</w:t>
      </w:r>
      <w:r w:rsidR="00B70D8D" w:rsidRPr="00B70D8D">
        <w:rPr>
          <w:lang w:val="en-AU"/>
        </w:rPr>
        <w:t xml:space="preserve"> recorded at Round Top Island were also the highest reported in ED samplers </w:t>
      </w:r>
      <w:r w:rsidR="00EC7BDD">
        <w:rPr>
          <w:lang w:val="en-AU"/>
        </w:rPr>
        <w:t>across all</w:t>
      </w:r>
      <w:r w:rsidR="00B70D8D" w:rsidRPr="00B70D8D">
        <w:rPr>
          <w:lang w:val="en-AU"/>
        </w:rPr>
        <w:t xml:space="preserve"> the sites currently being monitored, compared to both </w:t>
      </w:r>
      <w:r w:rsidR="00E17142">
        <w:rPr>
          <w:lang w:val="en-AU"/>
        </w:rPr>
        <w:t xml:space="preserve">the </w:t>
      </w:r>
      <w:r w:rsidR="00B70D8D" w:rsidRPr="00B70D8D">
        <w:rPr>
          <w:lang w:val="en-AU"/>
        </w:rPr>
        <w:t>current year and all historically reported levels</w:t>
      </w:r>
      <w:r w:rsidR="00690961">
        <w:rPr>
          <w:lang w:val="en-AU"/>
        </w:rPr>
        <w:t xml:space="preserve"> and is the first instance of a Risk </w:t>
      </w:r>
      <w:r w:rsidR="00727E0E">
        <w:rPr>
          <w:lang w:val="en-AU"/>
        </w:rPr>
        <w:t xml:space="preserve">Category </w:t>
      </w:r>
      <w:r w:rsidR="00690961">
        <w:rPr>
          <w:lang w:val="en-AU"/>
        </w:rPr>
        <w:t xml:space="preserve">1 using the </w:t>
      </w:r>
      <w:r w:rsidR="005E2B71">
        <w:rPr>
          <w:lang w:val="en-AU"/>
        </w:rPr>
        <w:t>ms</w:t>
      </w:r>
      <w:r w:rsidR="005E2B71">
        <w:rPr>
          <w:lang w:val="en-AU"/>
        </w:rPr>
        <w:noBreakHyphen/>
        <w:t>PAF</w:t>
      </w:r>
      <w:r w:rsidR="00690961">
        <w:rPr>
          <w:lang w:val="en-AU"/>
        </w:rPr>
        <w:t xml:space="preserve"> risk metric</w:t>
      </w:r>
      <w:r w:rsidR="00B70D8D" w:rsidRPr="00B70D8D">
        <w:rPr>
          <w:lang w:val="en-AU"/>
        </w:rPr>
        <w:t>.</w:t>
      </w:r>
      <w:r w:rsidR="00690961" w:rsidRPr="00690961">
        <w:rPr>
          <w:lang w:val="en-AU" w:eastAsia="en-AU"/>
        </w:rPr>
        <w:t xml:space="preserve"> </w:t>
      </w:r>
      <w:r w:rsidR="00690961">
        <w:rPr>
          <w:lang w:val="en-AU" w:eastAsia="en-AU"/>
        </w:rPr>
        <w:t xml:space="preserve">These high levels may be a result of the small first flush events coinciding with pesticide applications in the </w:t>
      </w:r>
      <w:r w:rsidR="00BF37D6">
        <w:rPr>
          <w:lang w:val="en-AU" w:eastAsia="en-AU"/>
        </w:rPr>
        <w:t>basin</w:t>
      </w:r>
      <w:r w:rsidR="00690961">
        <w:rPr>
          <w:lang w:val="en-AU" w:eastAsia="en-AU"/>
        </w:rPr>
        <w:t xml:space="preserve"> and therefore dilution effects were minimal</w:t>
      </w:r>
      <w:r w:rsidR="00690961" w:rsidRPr="00955D93">
        <w:rPr>
          <w:lang w:val="en-AU" w:eastAsia="en-AU"/>
        </w:rPr>
        <w:t>.</w:t>
      </w:r>
    </w:p>
    <w:p w14:paraId="44FD06C1" w14:textId="77777777" w:rsidR="002D4BF7" w:rsidRDefault="002D4BF7" w:rsidP="002439C8">
      <w:pPr>
        <w:spacing w:line="276" w:lineRule="auto"/>
        <w:jc w:val="left"/>
        <w:rPr>
          <w:lang w:val="en-AU" w:eastAsia="en-AU"/>
        </w:rPr>
      </w:pPr>
    </w:p>
    <w:p w14:paraId="39F901E4" w14:textId="10FAC78B" w:rsidR="00B70D8D" w:rsidRPr="00DE38E0" w:rsidRDefault="005E2B71" w:rsidP="002439C8">
      <w:pPr>
        <w:spacing w:line="276" w:lineRule="auto"/>
        <w:jc w:val="left"/>
        <w:rPr>
          <w:lang w:val="en-AU" w:eastAsia="en-AU"/>
        </w:rPr>
      </w:pPr>
      <w:r>
        <w:rPr>
          <w:lang w:val="en-AU" w:eastAsia="en-AU"/>
        </w:rPr>
        <w:t>PSII</w:t>
      </w:r>
      <w:r>
        <w:rPr>
          <w:lang w:val="en-AU" w:eastAsia="en-AU"/>
        </w:rPr>
        <w:noBreakHyphen/>
        <w:t>HEq</w:t>
      </w:r>
      <w:r w:rsidR="00B70D8D" w:rsidRPr="00DE38E0">
        <w:rPr>
          <w:lang w:val="en-AU" w:eastAsia="en-AU"/>
        </w:rPr>
        <w:t xml:space="preserve"> Max values</w:t>
      </w:r>
      <w:r w:rsidR="00827742">
        <w:rPr>
          <w:lang w:val="en-AU" w:eastAsia="en-AU"/>
        </w:rPr>
        <w:t xml:space="preserve"> </w:t>
      </w:r>
      <w:r w:rsidR="00C370EB">
        <w:rPr>
          <w:lang w:val="en-AU" w:eastAsia="en-AU"/>
        </w:rPr>
        <w:t xml:space="preserve">and the retrospective calculation of </w:t>
      </w:r>
      <w:r>
        <w:rPr>
          <w:lang w:val="en-AU" w:eastAsia="en-AU"/>
        </w:rPr>
        <w:t>ms</w:t>
      </w:r>
      <w:r>
        <w:rPr>
          <w:lang w:val="en-AU" w:eastAsia="en-AU"/>
        </w:rPr>
        <w:noBreakHyphen/>
        <w:t>PAF</w:t>
      </w:r>
      <w:r w:rsidR="00C370EB">
        <w:rPr>
          <w:lang w:val="en-AU" w:eastAsia="en-AU"/>
        </w:rPr>
        <w:t xml:space="preserve"> </w:t>
      </w:r>
      <w:r w:rsidR="00827742">
        <w:rPr>
          <w:lang w:val="en-AU" w:eastAsia="en-AU"/>
        </w:rPr>
        <w:t>for 2016</w:t>
      </w:r>
      <w:r w:rsidR="00AC3280">
        <w:rPr>
          <w:lang w:val="en-AU" w:eastAsia="en-AU"/>
        </w:rPr>
        <w:t>–</w:t>
      </w:r>
      <w:r w:rsidR="00827742">
        <w:rPr>
          <w:lang w:val="en-AU" w:eastAsia="en-AU"/>
        </w:rPr>
        <w:t>2017</w:t>
      </w:r>
      <w:r w:rsidR="00C370EB">
        <w:rPr>
          <w:lang w:val="en-AU" w:eastAsia="en-AU"/>
        </w:rPr>
        <w:t xml:space="preserve"> </w:t>
      </w:r>
      <w:r w:rsidR="00B70D8D" w:rsidRPr="00DE38E0">
        <w:rPr>
          <w:lang w:val="en-AU" w:eastAsia="en-AU"/>
        </w:rPr>
        <w:t xml:space="preserve">at sites located in this region have been consistently higher than sites in other </w:t>
      </w:r>
      <w:r w:rsidR="00E75386">
        <w:rPr>
          <w:lang w:val="en-AU" w:eastAsia="en-AU"/>
        </w:rPr>
        <w:t xml:space="preserve">Natural Resource Management </w:t>
      </w:r>
      <w:r w:rsidR="00B70D8D" w:rsidRPr="00DE38E0">
        <w:rPr>
          <w:lang w:val="en-AU" w:eastAsia="en-AU"/>
        </w:rPr>
        <w:t>regions</w:t>
      </w:r>
      <w:r w:rsidR="00C370EB">
        <w:rPr>
          <w:lang w:val="en-AU" w:eastAsia="en-AU"/>
        </w:rPr>
        <w:t xml:space="preserve">. </w:t>
      </w:r>
      <w:r w:rsidR="001C1B87">
        <w:rPr>
          <w:lang w:val="en-AU" w:eastAsia="en-AU"/>
        </w:rPr>
        <w:t xml:space="preserve">According to HEq </w:t>
      </w:r>
      <w:r w:rsidR="00827742">
        <w:rPr>
          <w:lang w:val="en-AU" w:eastAsia="en-AU"/>
        </w:rPr>
        <w:t>Max data, t</w:t>
      </w:r>
      <w:r w:rsidR="00B70D8D" w:rsidRPr="00DE38E0">
        <w:rPr>
          <w:lang w:val="en-AU" w:eastAsia="en-AU"/>
        </w:rPr>
        <w:t xml:space="preserve">his is the </w:t>
      </w:r>
      <w:r w:rsidR="00C370EB">
        <w:rPr>
          <w:lang w:val="en-AU" w:eastAsia="en-AU"/>
        </w:rPr>
        <w:t>ninth</w:t>
      </w:r>
      <w:r w:rsidR="00C370EB" w:rsidRPr="00DE38E0">
        <w:t xml:space="preserve"> </w:t>
      </w:r>
      <w:r w:rsidR="00B70D8D" w:rsidRPr="00DE38E0">
        <w:t xml:space="preserve">consecutive year that </w:t>
      </w:r>
      <w:r w:rsidR="00F5511A">
        <w:t>a</w:t>
      </w:r>
      <w:r w:rsidR="00B70D8D" w:rsidRPr="00DE38E0">
        <w:t xml:space="preserve"> </w:t>
      </w:r>
      <w:r w:rsidR="008477B8">
        <w:t xml:space="preserve">site in the </w:t>
      </w:r>
      <w:r w:rsidR="00B70D8D" w:rsidRPr="00DE38E0">
        <w:t>Mackay Whitsunday</w:t>
      </w:r>
      <w:r w:rsidR="008477B8">
        <w:t xml:space="preserve"> region</w:t>
      </w:r>
      <w:r w:rsidR="00B70D8D" w:rsidRPr="00DE38E0">
        <w:t xml:space="preserve"> </w:t>
      </w:r>
      <w:r w:rsidR="00F5511A">
        <w:t>had</w:t>
      </w:r>
      <w:r w:rsidR="00B70D8D" w:rsidRPr="00DE38E0">
        <w:t xml:space="preserve"> the highest </w:t>
      </w:r>
      <w:r w:rsidR="00C370EB">
        <w:t>risk of exposure to pesticides using either risk metric</w:t>
      </w:r>
      <w:r w:rsidR="00B70D8D" w:rsidRPr="00DE38E0">
        <w:t xml:space="preserve">. </w:t>
      </w:r>
      <w:r w:rsidR="00B70D8D" w:rsidRPr="00DE38E0">
        <w:rPr>
          <w:lang w:val="en-AU" w:eastAsia="en-AU"/>
        </w:rPr>
        <w:t xml:space="preserve">These comparatively higher concentrations may reflect the land use, pesticide usage and land management practices of the adjacent </w:t>
      </w:r>
      <w:r w:rsidR="00BF37D6">
        <w:rPr>
          <w:lang w:val="en-AU" w:eastAsia="en-AU"/>
        </w:rPr>
        <w:t>basin</w:t>
      </w:r>
      <w:r w:rsidR="00DE38E0">
        <w:rPr>
          <w:lang w:val="en-AU" w:eastAsia="en-AU"/>
        </w:rPr>
        <w:t>, but also</w:t>
      </w:r>
      <w:r w:rsidR="00B70D8D" w:rsidRPr="00DE38E0">
        <w:rPr>
          <w:lang w:val="en-AU" w:eastAsia="en-AU"/>
        </w:rPr>
        <w:t xml:space="preserve"> the ideal positioning of the monitoring sites to intercept flood plumes from nearby rivers.</w:t>
      </w:r>
      <w:r w:rsidR="00C370EB">
        <w:rPr>
          <w:lang w:val="en-AU" w:eastAsia="en-AU"/>
        </w:rPr>
        <w:t xml:space="preserve"> Unfortunately</w:t>
      </w:r>
      <w:r w:rsidR="00827742">
        <w:rPr>
          <w:lang w:val="en-AU" w:eastAsia="en-AU"/>
        </w:rPr>
        <w:t>,</w:t>
      </w:r>
      <w:r w:rsidR="00C370EB">
        <w:rPr>
          <w:lang w:val="en-AU" w:eastAsia="en-AU"/>
        </w:rPr>
        <w:t xml:space="preserve"> these sites experience some of the highest sampler losses due to possible human interference and lost moorings associated with poor weather, and sampling records are often incomplete. Efforts to improve the </w:t>
      </w:r>
      <w:r w:rsidR="00F50221">
        <w:rPr>
          <w:lang w:val="en-AU" w:eastAsia="en-AU"/>
        </w:rPr>
        <w:t xml:space="preserve">sampler </w:t>
      </w:r>
      <w:r w:rsidR="00C370EB">
        <w:rPr>
          <w:lang w:val="en-AU" w:eastAsia="en-AU"/>
        </w:rPr>
        <w:t>return rate are ongoing.</w:t>
      </w:r>
    </w:p>
    <w:p w14:paraId="20CA5143" w14:textId="77777777" w:rsidR="006E6910" w:rsidRDefault="006E6910" w:rsidP="002439C8">
      <w:pPr>
        <w:spacing w:line="276" w:lineRule="auto"/>
        <w:jc w:val="left"/>
        <w:rPr>
          <w:lang w:val="en-AU" w:eastAsia="en-AU"/>
        </w:rPr>
      </w:pPr>
    </w:p>
    <w:p w14:paraId="0C9C2B1E" w14:textId="77777777" w:rsidR="00E75386" w:rsidRDefault="00C77453" w:rsidP="002439C8">
      <w:pPr>
        <w:spacing w:line="276" w:lineRule="auto"/>
        <w:jc w:val="left"/>
      </w:pPr>
      <w:r w:rsidRPr="00A33FB5">
        <w:rPr>
          <w:lang w:val="en-AU"/>
        </w:rPr>
        <w:t>H</w:t>
      </w:r>
      <w:r w:rsidR="003A2650" w:rsidRPr="00A33FB5">
        <w:rPr>
          <w:lang w:val="en-AU"/>
        </w:rPr>
        <w:t>istorical data from all MMP monitoring sites</w:t>
      </w:r>
      <w:r w:rsidRPr="00A33FB5">
        <w:rPr>
          <w:lang w:val="en-AU"/>
        </w:rPr>
        <w:t xml:space="preserve"> indicate</w:t>
      </w:r>
      <w:r w:rsidR="00AE2598">
        <w:rPr>
          <w:lang w:val="en-AU"/>
        </w:rPr>
        <w:t>s</w:t>
      </w:r>
      <w:r w:rsidRPr="00A33FB5">
        <w:rPr>
          <w:lang w:val="en-AU"/>
        </w:rPr>
        <w:t xml:space="preserve"> that high </w:t>
      </w:r>
      <w:r w:rsidR="003A3DAD" w:rsidRPr="00A33FB5">
        <w:rPr>
          <w:lang w:val="en-AU"/>
        </w:rPr>
        <w:t xml:space="preserve">pesticide </w:t>
      </w:r>
      <w:r w:rsidRPr="00A33FB5">
        <w:rPr>
          <w:lang w:val="en-AU"/>
        </w:rPr>
        <w:t xml:space="preserve">concentrations (and guideline exceedances) are not </w:t>
      </w:r>
      <w:r w:rsidR="003A3DAD" w:rsidRPr="00A33FB5">
        <w:rPr>
          <w:lang w:val="en-AU"/>
        </w:rPr>
        <w:t xml:space="preserve">necessarily </w:t>
      </w:r>
      <w:r w:rsidRPr="00A33FB5">
        <w:rPr>
          <w:lang w:val="en-AU"/>
        </w:rPr>
        <w:t>correlated with large</w:t>
      </w:r>
      <w:r w:rsidR="003024DC" w:rsidRPr="00A33FB5">
        <w:rPr>
          <w:lang w:val="en-AU"/>
        </w:rPr>
        <w:t xml:space="preserve"> flow</w:t>
      </w:r>
      <w:r w:rsidRPr="00A33FB5">
        <w:rPr>
          <w:lang w:val="en-AU"/>
        </w:rPr>
        <w:t xml:space="preserve"> events possibly due to dilution effects associated with </w:t>
      </w:r>
      <w:r w:rsidR="003024DC" w:rsidRPr="00A33FB5">
        <w:rPr>
          <w:lang w:val="en-AU"/>
        </w:rPr>
        <w:t xml:space="preserve">the </w:t>
      </w:r>
      <w:r w:rsidRPr="00A33FB5">
        <w:rPr>
          <w:lang w:val="en-AU"/>
        </w:rPr>
        <w:t xml:space="preserve">high volume </w:t>
      </w:r>
      <w:r w:rsidR="003024DC" w:rsidRPr="00A33FB5">
        <w:rPr>
          <w:lang w:val="en-AU"/>
        </w:rPr>
        <w:t xml:space="preserve">of water </w:t>
      </w:r>
      <w:r w:rsidRPr="00A33FB5">
        <w:rPr>
          <w:lang w:val="en-AU"/>
        </w:rPr>
        <w:t>discharged during these events.</w:t>
      </w:r>
      <w:r w:rsidR="003A2650" w:rsidRPr="00A33FB5">
        <w:rPr>
          <w:lang w:val="en-AU"/>
        </w:rPr>
        <w:t xml:space="preserve"> </w:t>
      </w:r>
      <w:r w:rsidR="00EB55B1" w:rsidRPr="00A33FB5">
        <w:t>Pesticide c</w:t>
      </w:r>
      <w:r w:rsidRPr="00A33FB5">
        <w:t xml:space="preserve">oncentrations </w:t>
      </w:r>
      <w:r w:rsidR="00EB55B1" w:rsidRPr="00A33FB5">
        <w:t>in river discharge</w:t>
      </w:r>
      <w:r w:rsidR="003024DC" w:rsidRPr="00A33FB5">
        <w:t>s</w:t>
      </w:r>
      <w:r w:rsidR="00EB55B1" w:rsidRPr="00A33FB5">
        <w:t xml:space="preserve"> </w:t>
      </w:r>
      <w:r w:rsidRPr="00A33FB5">
        <w:t>may therefore be higher in drier years because there is less</w:t>
      </w:r>
      <w:r w:rsidR="00A1026B">
        <w:t xml:space="preserve"> of a</w:t>
      </w:r>
      <w:r w:rsidRPr="00A33FB5">
        <w:t xml:space="preserve"> dilution</w:t>
      </w:r>
      <w:r w:rsidR="00A1026B">
        <w:t xml:space="preserve"> effect</w:t>
      </w:r>
      <w:r w:rsidRPr="00A33FB5">
        <w:t xml:space="preserve">. </w:t>
      </w:r>
      <w:r w:rsidR="003A3DAD" w:rsidRPr="00A33FB5">
        <w:t xml:space="preserve">However, in dry years, </w:t>
      </w:r>
      <w:r w:rsidR="00A1026B">
        <w:t xml:space="preserve">a </w:t>
      </w:r>
      <w:r w:rsidR="003A3DAD" w:rsidRPr="00A33FB5">
        <w:t>sufficient</w:t>
      </w:r>
      <w:r w:rsidR="00A1026B">
        <w:t>ly large</w:t>
      </w:r>
      <w:r w:rsidR="003A3DAD" w:rsidRPr="00A33FB5">
        <w:t xml:space="preserve"> discharge </w:t>
      </w:r>
      <w:r w:rsidR="00A1026B">
        <w:t xml:space="preserve">volume </w:t>
      </w:r>
      <w:r w:rsidR="003A3DAD" w:rsidRPr="00A33FB5">
        <w:t xml:space="preserve">is required for pesticides to reach monitoring sites that are not </w:t>
      </w:r>
      <w:r w:rsidR="00A1026B">
        <w:t xml:space="preserve">located directly at </w:t>
      </w:r>
      <w:r w:rsidR="003A3DAD" w:rsidRPr="00A33FB5">
        <w:t xml:space="preserve">the river mouth. </w:t>
      </w:r>
    </w:p>
    <w:p w14:paraId="5E2EE514" w14:textId="77777777" w:rsidR="00E75386" w:rsidRDefault="00E75386" w:rsidP="002439C8">
      <w:pPr>
        <w:spacing w:line="276" w:lineRule="auto"/>
        <w:jc w:val="left"/>
      </w:pPr>
    </w:p>
    <w:p w14:paraId="48171F89" w14:textId="77777777" w:rsidR="00E75386" w:rsidRDefault="00E75386" w:rsidP="002439C8">
      <w:pPr>
        <w:spacing w:line="276" w:lineRule="auto"/>
        <w:jc w:val="left"/>
        <w:rPr>
          <w:lang w:val="en-AU" w:eastAsia="en-AU"/>
        </w:rPr>
      </w:pPr>
      <w:r>
        <w:rPr>
          <w:lang w:val="en-AU" w:eastAsia="en-AU"/>
        </w:rPr>
        <w:t xml:space="preserve">Water type frequencies recorded at the sites in this region indicated both Repulse Bay and Sarina Inlet were frequently impacted by primary flood plume water types for at least half the wet season (Table E-2; Appendix E). Round Top Island and Sandy Creek did not experience water types with colour classes above 4. Despite the apparent low influence of flood plumes on the Round Top site, the highest pesticide concentrations for all sites was detected here.  </w:t>
      </w:r>
    </w:p>
    <w:p w14:paraId="3A219A7E" w14:textId="77777777" w:rsidR="00827742" w:rsidRDefault="00827742" w:rsidP="002439C8">
      <w:pPr>
        <w:spacing w:line="276" w:lineRule="auto"/>
        <w:jc w:val="left"/>
        <w:rPr>
          <w:lang w:val="en-AU" w:eastAsia="en-AU"/>
        </w:rPr>
      </w:pPr>
    </w:p>
    <w:p w14:paraId="3630B7CE" w14:textId="77777777" w:rsidR="0059608E" w:rsidRPr="00EC7BDD" w:rsidRDefault="0059608E" w:rsidP="002439C8">
      <w:pPr>
        <w:pStyle w:val="Heading2"/>
        <w:jc w:val="left"/>
      </w:pPr>
      <w:bookmarkStart w:id="577" w:name="_Toc535848723"/>
      <w:bookmarkStart w:id="578" w:name="_Toc335638619"/>
      <w:bookmarkStart w:id="579" w:name="_Toc335641229"/>
      <w:bookmarkStart w:id="580" w:name="_Toc335638620"/>
      <w:bookmarkStart w:id="581" w:name="_Toc335641230"/>
      <w:bookmarkStart w:id="582" w:name="_Toc335638621"/>
      <w:bookmarkStart w:id="583" w:name="_Toc335641231"/>
      <w:bookmarkStart w:id="584" w:name="_Toc335638622"/>
      <w:bookmarkStart w:id="585" w:name="_Toc335641232"/>
      <w:bookmarkStart w:id="586" w:name="_Toc335638623"/>
      <w:bookmarkStart w:id="587" w:name="_Toc335641233"/>
      <w:bookmarkStart w:id="588" w:name="_Toc335638624"/>
      <w:bookmarkStart w:id="589" w:name="_Toc335641234"/>
      <w:bookmarkStart w:id="590" w:name="_Toc461457777"/>
      <w:bookmarkStart w:id="591" w:name="_Toc14435722"/>
      <w:bookmarkEnd w:id="577"/>
      <w:bookmarkEnd w:id="578"/>
      <w:bookmarkEnd w:id="579"/>
      <w:bookmarkEnd w:id="580"/>
      <w:bookmarkEnd w:id="581"/>
      <w:bookmarkEnd w:id="582"/>
      <w:bookmarkEnd w:id="583"/>
      <w:bookmarkEnd w:id="584"/>
      <w:bookmarkEnd w:id="585"/>
      <w:bookmarkEnd w:id="586"/>
      <w:bookmarkEnd w:id="587"/>
      <w:bookmarkEnd w:id="588"/>
      <w:bookmarkEnd w:id="589"/>
      <w:r w:rsidRPr="00EC7BDD">
        <w:t>Fitzroy Region</w:t>
      </w:r>
      <w:bookmarkEnd w:id="590"/>
      <w:bookmarkEnd w:id="591"/>
    </w:p>
    <w:p w14:paraId="0608201F" w14:textId="77777777" w:rsidR="0064232B" w:rsidRPr="0099427D" w:rsidRDefault="0064232B" w:rsidP="002439C8">
      <w:pPr>
        <w:pStyle w:val="Heading3"/>
        <w:jc w:val="left"/>
      </w:pPr>
      <w:bookmarkStart w:id="592" w:name="_Toc14435723"/>
      <w:r>
        <w:t>North Keppel Island</w:t>
      </w:r>
      <w:bookmarkEnd w:id="592"/>
    </w:p>
    <w:p w14:paraId="00C50747" w14:textId="77777777" w:rsidR="00CB6421" w:rsidRDefault="0055462C" w:rsidP="002439C8">
      <w:pPr>
        <w:spacing w:line="276" w:lineRule="auto"/>
        <w:jc w:val="left"/>
        <w:rPr>
          <w:lang w:val="en-AU"/>
        </w:rPr>
      </w:pPr>
      <w:r>
        <w:rPr>
          <w:lang w:val="en-AU"/>
        </w:rPr>
        <w:t xml:space="preserve">There </w:t>
      </w:r>
      <w:r w:rsidR="00AC3280">
        <w:rPr>
          <w:lang w:val="en-AU"/>
        </w:rPr>
        <w:t>was</w:t>
      </w:r>
      <w:r>
        <w:rPr>
          <w:lang w:val="en-AU"/>
        </w:rPr>
        <w:t xml:space="preserve"> n</w:t>
      </w:r>
      <w:r w:rsidR="00CB6421">
        <w:rPr>
          <w:lang w:val="en-AU"/>
        </w:rPr>
        <w:t>o exceedances</w:t>
      </w:r>
      <w:r>
        <w:rPr>
          <w:lang w:val="en-AU"/>
        </w:rPr>
        <w:t xml:space="preserve"> </w:t>
      </w:r>
      <w:r w:rsidRPr="00411026">
        <w:t xml:space="preserve">at North Keppel Island </w:t>
      </w:r>
      <w:r w:rsidR="00506C14">
        <w:t xml:space="preserve">in the Fitzroy region during </w:t>
      </w:r>
      <w:r>
        <w:t xml:space="preserve">the </w:t>
      </w:r>
      <w:r w:rsidR="00AC3280">
        <w:t>2017–18 monitoring year</w:t>
      </w:r>
      <w:r w:rsidR="00437B69">
        <w:t>.</w:t>
      </w:r>
      <w:r w:rsidR="001B73E5">
        <w:t xml:space="preserve"> </w:t>
      </w:r>
      <w:r w:rsidR="00737BDD">
        <w:t xml:space="preserve"> </w:t>
      </w:r>
    </w:p>
    <w:p w14:paraId="21B4E33F" w14:textId="77777777" w:rsidR="00410833" w:rsidRDefault="00410833" w:rsidP="002439C8">
      <w:pPr>
        <w:spacing w:line="276" w:lineRule="auto"/>
        <w:jc w:val="left"/>
        <w:rPr>
          <w:lang w:val="en-AU"/>
        </w:rPr>
      </w:pPr>
    </w:p>
    <w:p w14:paraId="337EA10F" w14:textId="42C2A221" w:rsidR="00CB6421" w:rsidRDefault="00CB6421" w:rsidP="002439C8">
      <w:pPr>
        <w:spacing w:line="276" w:lineRule="auto"/>
        <w:jc w:val="left"/>
      </w:pPr>
      <w:r w:rsidRPr="00411026">
        <w:t xml:space="preserve">PSII herbicides detected at North Keppel Island in </w:t>
      </w:r>
      <w:r w:rsidR="001B73E5">
        <w:t>2017–18</w:t>
      </w:r>
      <w:r w:rsidR="00737BDD">
        <w:t xml:space="preserve"> </w:t>
      </w:r>
      <w:r w:rsidRPr="00411026">
        <w:t>included atrazine, diuron, hexazinone, simazine and tebuthiuron (</w:t>
      </w:r>
      <w:r w:rsidRPr="00411026">
        <w:fldChar w:fldCharType="begin"/>
      </w:r>
      <w:r w:rsidRPr="00411026">
        <w:instrText xml:space="preserve"> REF _Ref480725602 \h </w:instrText>
      </w:r>
      <w:r w:rsidR="002439C8">
        <w:instrText xml:space="preserve"> \* MERGEFORMAT </w:instrText>
      </w:r>
      <w:r w:rsidRPr="00411026">
        <w:fldChar w:fldCharType="separate"/>
      </w:r>
      <w:r w:rsidR="00373D4B">
        <w:t xml:space="preserve">Table </w:t>
      </w:r>
      <w:r w:rsidR="00373D4B">
        <w:rPr>
          <w:noProof/>
        </w:rPr>
        <w:t>F</w:t>
      </w:r>
      <w:r w:rsidR="00373D4B">
        <w:rPr>
          <w:noProof/>
        </w:rPr>
        <w:noBreakHyphen/>
        <w:t>12</w:t>
      </w:r>
      <w:r w:rsidRPr="00411026">
        <w:fldChar w:fldCharType="end"/>
      </w:r>
      <w:r w:rsidRPr="00411026">
        <w:t xml:space="preserve">). </w:t>
      </w:r>
      <w:r>
        <w:t xml:space="preserve">Metolachlor, terbuthylazine, </w:t>
      </w:r>
      <w:r w:rsidR="00FE6E97">
        <w:t>2,4</w:t>
      </w:r>
      <w:r w:rsidR="00FE6E97">
        <w:noBreakHyphen/>
        <w:t>D</w:t>
      </w:r>
      <w:r>
        <w:t xml:space="preserve"> and MCPA were also </w:t>
      </w:r>
      <w:r w:rsidR="00786F03">
        <w:t>d</w:t>
      </w:r>
      <w:r>
        <w:t xml:space="preserve">etected, at relatively low concentrations. </w:t>
      </w:r>
      <w:r w:rsidR="00786F03">
        <w:t>Diuron</w:t>
      </w:r>
      <w:r w:rsidRPr="00411026">
        <w:t xml:space="preserve"> typically dominates the PSII herbicide profile at North Keppel Island</w:t>
      </w:r>
      <w:r w:rsidR="00786F03">
        <w:t xml:space="preserve"> with the maximum concentration of 6.1</w:t>
      </w:r>
      <w:r w:rsidR="00961C35">
        <w:t> ng L</w:t>
      </w:r>
      <w:r w:rsidR="00A209AA" w:rsidRPr="00A209AA">
        <w:rPr>
          <w:vertAlign w:val="superscript"/>
        </w:rPr>
        <w:noBreakHyphen/>
        <w:t>1</w:t>
      </w:r>
      <w:r w:rsidR="00786F03">
        <w:t xml:space="preserve"> at the beginning of the wet season.</w:t>
      </w:r>
      <w:r w:rsidRPr="00411026">
        <w:t xml:space="preserve"> </w:t>
      </w:r>
    </w:p>
    <w:p w14:paraId="1BF59222" w14:textId="77777777" w:rsidR="00CB6421" w:rsidRPr="00411026" w:rsidRDefault="00CB6421" w:rsidP="002439C8">
      <w:pPr>
        <w:spacing w:line="276" w:lineRule="auto"/>
        <w:jc w:val="left"/>
        <w:rPr>
          <w:lang w:val="en-AU" w:eastAsia="en-AU"/>
        </w:rPr>
      </w:pPr>
    </w:p>
    <w:p w14:paraId="36F3DDBC" w14:textId="7C816CC7" w:rsidR="0062735B" w:rsidRDefault="0062735B" w:rsidP="002439C8">
      <w:pPr>
        <w:spacing w:line="276" w:lineRule="auto"/>
        <w:jc w:val="left"/>
        <w:rPr>
          <w:lang w:val="en-AU" w:eastAsia="en-AU"/>
        </w:rPr>
      </w:pPr>
      <w:r>
        <w:rPr>
          <w:lang w:val="en-AU" w:eastAsia="en-AU"/>
        </w:rPr>
        <w:t>T</w:t>
      </w:r>
      <w:r>
        <w:t xml:space="preserve">he </w:t>
      </w:r>
      <w:r w:rsidR="005E2B71">
        <w:rPr>
          <w:lang w:val="en-AU" w:eastAsia="en-AU"/>
        </w:rPr>
        <w:t>ms</w:t>
      </w:r>
      <w:r w:rsidR="005E2B71">
        <w:rPr>
          <w:lang w:val="en-AU" w:eastAsia="en-AU"/>
        </w:rPr>
        <w:noBreakHyphen/>
        <w:t>PAF</w:t>
      </w:r>
      <w:r w:rsidRPr="000D3ED3">
        <w:rPr>
          <w:lang w:val="en-AU" w:eastAsia="en-AU"/>
        </w:rPr>
        <w:t xml:space="preserve"> values </w:t>
      </w:r>
      <w:r w:rsidRPr="001A490D">
        <w:rPr>
          <w:lang w:val="en-AU" w:eastAsia="en-AU"/>
        </w:rPr>
        <w:t xml:space="preserve">met the desired very low risk category 5: protective of 99% of species (i.e. less than 1% of species are affected) for all </w:t>
      </w:r>
      <w:r>
        <w:rPr>
          <w:lang w:val="en-AU" w:eastAsia="en-AU"/>
        </w:rPr>
        <w:t xml:space="preserve">passive sampler </w:t>
      </w:r>
      <w:r w:rsidRPr="001A490D">
        <w:rPr>
          <w:lang w:val="en-AU" w:eastAsia="en-AU"/>
        </w:rPr>
        <w:t>deployments</w:t>
      </w:r>
      <w:r>
        <w:rPr>
          <w:lang w:val="en-AU" w:eastAsia="en-AU"/>
        </w:rPr>
        <w:t xml:space="preserve">. </w:t>
      </w:r>
    </w:p>
    <w:p w14:paraId="448E3A0B" w14:textId="77777777" w:rsidR="003D39FE" w:rsidRDefault="003D39FE" w:rsidP="002439C8">
      <w:pPr>
        <w:spacing w:line="276" w:lineRule="auto"/>
        <w:jc w:val="left"/>
      </w:pPr>
    </w:p>
    <w:p w14:paraId="1F5597C2" w14:textId="3003EC3A" w:rsidR="003D39FE" w:rsidRPr="00BE05C8" w:rsidRDefault="003D39FE" w:rsidP="002439C8">
      <w:pPr>
        <w:tabs>
          <w:tab w:val="left" w:pos="1985"/>
        </w:tabs>
        <w:spacing w:line="276" w:lineRule="auto"/>
        <w:jc w:val="left"/>
      </w:pPr>
      <w:r>
        <w:t>Te</w:t>
      </w:r>
      <w:r w:rsidRPr="00894099">
        <w:t>buthiuron</w:t>
      </w:r>
      <w:r>
        <w:t xml:space="preserve"> </w:t>
      </w:r>
      <w:r w:rsidRPr="00894099">
        <w:t xml:space="preserve">is only discharged at trace levels from </w:t>
      </w:r>
      <w:r>
        <w:t>basin</w:t>
      </w:r>
      <w:r w:rsidRPr="00894099">
        <w:t xml:space="preserve">s other than the Fitzroy but is consistently detected up and down the Reef coastline at low levels. This suggests tebuthiuron has long-range transport potential reaching as far as the Wet Tropics region, which is consistent with its long half-life (under Reef relevant conditions) of over 900 days </w:t>
      </w:r>
      <w:r w:rsidRPr="00894099">
        <w:fldChar w:fldCharType="begin"/>
      </w:r>
      <w:r>
        <w:instrText xml:space="preserve"> ADDIN EN.CITE &lt;EndNote&gt;&lt;Cite&gt;&lt;Author&gt;Negri&lt;/Author&gt;&lt;Year&gt;2014&lt;/Year&gt;&lt;RecNum&gt;60&lt;/RecNum&gt;&lt;DisplayText&gt;(Negri et al., 2014)&lt;/DisplayText&gt;&lt;record&gt;&lt;rec-number&gt;60&lt;/rec-number&gt;&lt;foreign-keys&gt;&lt;key app="EN" db-id="xtpvpwz0ufxa2me5tv6v2prn2ez5p9atsvtr" timestamp="1539144944"&gt;60&lt;/key&gt;&lt;/foreign-keys&gt;&lt;ref-type name="Report"&gt;27&lt;/ref-type&gt;&lt;contributors&gt;&lt;authors&gt;&lt;author&gt;Negri, A.P.&lt;/author&gt;&lt;author&gt;Mercurio, P.&lt;/author&gt;&lt;author&gt;Flores, F.&lt;/author&gt;&lt;author&gt;Mueller, J.F.&lt;/author&gt;&lt;/authors&gt;&lt;/contributors&gt;&lt;titles&gt;&lt;title&gt;Pesticide dynamics in the Great Barrier Reef catchment and lagoon: grazing, bananas and grain. Herbicide persistence in the marine environment. Report to the Reef Rescue Water Quality Research &amp;amp; Development Program&lt;/title&gt;&lt;/titles&gt;&lt;dates&gt;&lt;year&gt;2014&lt;/year&gt;&lt;/dates&gt;&lt;pub-location&gt;Reef and Rainforest Research Centre Limited, Cairns &lt;/pub-location&gt;&lt;urls&gt;&lt;/urls&gt;&lt;/record&gt;&lt;/Cite&gt;&lt;/EndNote&gt;</w:instrText>
      </w:r>
      <w:r w:rsidRPr="00894099">
        <w:fldChar w:fldCharType="separate"/>
      </w:r>
      <w:r w:rsidRPr="00894099">
        <w:rPr>
          <w:noProof/>
        </w:rPr>
        <w:t>(Negri et al., 2014)</w:t>
      </w:r>
      <w:r w:rsidRPr="00894099">
        <w:fldChar w:fldCharType="end"/>
      </w:r>
      <w:r w:rsidRPr="00894099">
        <w:t xml:space="preserve">. Despite its widespread usage in grazing areas, there is little data relating to tebuthiuron application in Reef </w:t>
      </w:r>
      <w:r>
        <w:t>basin</w:t>
      </w:r>
      <w:r w:rsidRPr="00894099">
        <w:t xml:space="preserve">s and its movement in </w:t>
      </w:r>
      <w:r>
        <w:t>basin</w:t>
      </w:r>
      <w:r w:rsidRPr="00894099">
        <w:t xml:space="preserve"> run-off </w:t>
      </w:r>
      <w:r w:rsidRPr="00894099">
        <w:fldChar w:fldCharType="begin"/>
      </w:r>
      <w:r>
        <w:instrText xml:space="preserve"> ADDIN EN.CITE &lt;EndNote&gt;&lt;Cite&gt;&lt;Author&gt;Devlin&lt;/Author&gt;&lt;Year&gt;2015&lt;/Year&gt;&lt;RecNum&gt;16&lt;/RecNum&gt;&lt;DisplayText&gt;(Devlin et al., 2015)&lt;/DisplayText&gt;&lt;record&gt;&lt;rec-number&gt;16&lt;/rec-number&gt;&lt;foreign-keys&gt;&lt;key app="EN" db-id="xtpvpwz0ufxa2me5tv6v2prn2ez5p9atsvtr" timestamp="1539144943"&gt;16&lt;/key&gt;&lt;/foreign-keys&gt;&lt;ref-type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Cairns.&lt;/pub-location&gt;&lt;urls&gt;&lt;/urls&gt;&lt;/record&gt;&lt;/Cite&gt;&lt;/EndNote&gt;</w:instrText>
      </w:r>
      <w:r w:rsidRPr="00894099">
        <w:fldChar w:fldCharType="separate"/>
      </w:r>
      <w:r w:rsidRPr="00894099">
        <w:rPr>
          <w:noProof/>
        </w:rPr>
        <w:t>(Devlin et al., 2015)</w:t>
      </w:r>
      <w:r w:rsidRPr="00894099">
        <w:fldChar w:fldCharType="end"/>
      </w:r>
      <w:r w:rsidRPr="00894099">
        <w:t>.</w:t>
      </w:r>
      <w:r>
        <w:t xml:space="preserve"> T</w:t>
      </w:r>
      <w:r w:rsidRPr="00894099">
        <w:t>ebuthiuron</w:t>
      </w:r>
      <w:r>
        <w:t xml:space="preserve"> also has a relatively high </w:t>
      </w:r>
      <w:r w:rsidR="00FB10A9">
        <w:t>PGV</w:t>
      </w:r>
      <w:r>
        <w:t xml:space="preserve"> (4700</w:t>
      </w:r>
      <w:r w:rsidR="001C1B87">
        <w:rPr>
          <w:lang w:val="en-AU" w:eastAsia="en-AU"/>
        </w:rPr>
        <w:t> </w:t>
      </w:r>
      <w:r>
        <w:t>n</w:t>
      </w:r>
      <w:r w:rsidR="00FE6E97">
        <w:t>g L</w:t>
      </w:r>
      <w:r w:rsidR="005C25EE" w:rsidRPr="00A209AA">
        <w:rPr>
          <w:vertAlign w:val="superscript"/>
          <w:lang w:val="en-GB" w:eastAsia="en-AU"/>
        </w:rPr>
        <w:noBreakHyphen/>
        <w:t>1</w:t>
      </w:r>
      <w:r>
        <w:t xml:space="preserve">), much higher than the levels </w:t>
      </w:r>
      <w:r w:rsidR="0062735B">
        <w:t>typically</w:t>
      </w:r>
      <w:r>
        <w:t xml:space="preserve"> found in Reef samples.</w:t>
      </w:r>
    </w:p>
    <w:p w14:paraId="31ABA633" w14:textId="77777777" w:rsidR="00CB6421" w:rsidRDefault="00CB6421" w:rsidP="002439C8">
      <w:pPr>
        <w:spacing w:line="276" w:lineRule="auto"/>
        <w:jc w:val="left"/>
        <w:rPr>
          <w:lang w:val="en-AU"/>
        </w:rPr>
      </w:pPr>
    </w:p>
    <w:p w14:paraId="2113B943" w14:textId="40BF85C3" w:rsidR="001D227D" w:rsidRDefault="0022328F" w:rsidP="002439C8">
      <w:pPr>
        <w:spacing w:line="276" w:lineRule="auto"/>
        <w:jc w:val="left"/>
        <w:rPr>
          <w:lang w:val="en-AU"/>
        </w:rPr>
      </w:pPr>
      <w:r w:rsidRPr="0022328F">
        <w:rPr>
          <w:noProof/>
          <w:lang w:val="en-AU" w:eastAsia="en-AU" w:bidi="ar-SA"/>
        </w:rPr>
        <w:drawing>
          <wp:inline distT="0" distB="0" distL="0" distR="0" wp14:anchorId="3C216BD2" wp14:editId="77F5F68D">
            <wp:extent cx="5491003" cy="3240000"/>
            <wp:effectExtent l="0" t="0" r="0" b="0"/>
            <wp:docPr id="7194" name="Picture 7194" descr="Temporal trends in ms-PAF values in 2017-18, relative to the flow rate of the Fitzroy River influencing North Keppel Island’s fixed passive sampler site. Flow data from DNRM Stream Gauging Network." title="Fitzroy River flows and north keppel island sites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QAEHS-Research\Mueller Group\Sampling - Consultancy  Projects\AQUATIC PROJECTS\REEF RESCUE MMP\2018\May 2019 revision\NEW Appendix F - May2019\NORTH KEPPEL - 2017-18.emf"/>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491003" cy="3240000"/>
                    </a:xfrm>
                    <a:prstGeom prst="rect">
                      <a:avLst/>
                    </a:prstGeom>
                    <a:noFill/>
                    <a:ln>
                      <a:noFill/>
                    </a:ln>
                  </pic:spPr>
                </pic:pic>
              </a:graphicData>
            </a:graphic>
          </wp:inline>
        </w:drawing>
      </w:r>
    </w:p>
    <w:p w14:paraId="004A62DE" w14:textId="77777777" w:rsidR="00165FBB" w:rsidRDefault="00165FBB" w:rsidP="002439C8">
      <w:pPr>
        <w:spacing w:line="276" w:lineRule="auto"/>
        <w:jc w:val="left"/>
        <w:rPr>
          <w:lang w:val="en-AU"/>
        </w:rPr>
      </w:pPr>
    </w:p>
    <w:p w14:paraId="06E99289" w14:textId="55247B36" w:rsidR="00954FCA" w:rsidRPr="00CB093C" w:rsidRDefault="00F368AA" w:rsidP="00954FCA">
      <w:pPr>
        <w:pStyle w:val="Caption"/>
        <w:rPr>
          <w:rFonts w:cs="Arial"/>
          <w:i/>
          <w:vanish/>
          <w:color w:val="000000"/>
          <w:specVanish/>
        </w:rPr>
      </w:pPr>
      <w:bookmarkStart w:id="593" w:name="_Ref535566912"/>
      <w:bookmarkStart w:id="594" w:name="_Toc15042914"/>
      <w:bookmarkStart w:id="595" w:name="_Toc527468591"/>
      <w:r w:rsidRPr="00165FBB">
        <w:rPr>
          <w:b w:val="0"/>
          <w:sz w:val="20"/>
          <w:szCs w:val="20"/>
        </w:rPr>
        <w:t xml:space="preserve">Figure </w:t>
      </w:r>
      <w:r w:rsidRPr="00165FBB">
        <w:rPr>
          <w:b w:val="0"/>
          <w:sz w:val="20"/>
          <w:szCs w:val="20"/>
        </w:rPr>
        <w:fldChar w:fldCharType="begin"/>
      </w:r>
      <w:r w:rsidRPr="00165FBB">
        <w:rPr>
          <w:b w:val="0"/>
          <w:sz w:val="20"/>
          <w:szCs w:val="20"/>
        </w:rPr>
        <w:instrText xml:space="preserve"> SEQ Figure \* ARABIC </w:instrText>
      </w:r>
      <w:r w:rsidRPr="00165FBB">
        <w:rPr>
          <w:b w:val="0"/>
          <w:sz w:val="20"/>
          <w:szCs w:val="20"/>
        </w:rPr>
        <w:fldChar w:fldCharType="separate"/>
      </w:r>
      <w:r w:rsidR="00373D4B">
        <w:rPr>
          <w:b w:val="0"/>
          <w:noProof/>
          <w:sz w:val="20"/>
          <w:szCs w:val="20"/>
        </w:rPr>
        <w:t>22</w:t>
      </w:r>
      <w:r w:rsidRPr="00165FBB">
        <w:rPr>
          <w:b w:val="0"/>
          <w:sz w:val="20"/>
          <w:szCs w:val="20"/>
        </w:rPr>
        <w:fldChar w:fldCharType="end"/>
      </w:r>
      <w:bookmarkEnd w:id="593"/>
      <w:r w:rsidR="00165FBB" w:rsidRPr="00165FBB">
        <w:rPr>
          <w:b w:val="0"/>
          <w:sz w:val="20"/>
          <w:szCs w:val="20"/>
        </w:rPr>
        <w:t>.</w:t>
      </w:r>
      <w:r w:rsidRPr="00165FBB">
        <w:rPr>
          <w:b w:val="0"/>
          <w:sz w:val="20"/>
          <w:szCs w:val="20"/>
        </w:rPr>
        <w:t xml:space="preserve"> Temporal trends in </w:t>
      </w:r>
      <w:r w:rsidR="005E2B71">
        <w:rPr>
          <w:b w:val="0"/>
          <w:sz w:val="20"/>
          <w:szCs w:val="20"/>
        </w:rPr>
        <w:t>ms</w:t>
      </w:r>
      <w:r w:rsidR="005E2B71">
        <w:rPr>
          <w:b w:val="0"/>
          <w:sz w:val="20"/>
          <w:szCs w:val="20"/>
        </w:rPr>
        <w:noBreakHyphen/>
        <w:t>PAF</w:t>
      </w:r>
      <w:r w:rsidRPr="00165FBB">
        <w:rPr>
          <w:b w:val="0"/>
          <w:sz w:val="20"/>
          <w:szCs w:val="20"/>
        </w:rPr>
        <w:t xml:space="preserve"> values in 2017-18, relative to the flow rate of the Fitzroy River influencing North Keppel Island’s fixed passive sampler site.</w:t>
      </w:r>
      <w:bookmarkEnd w:id="594"/>
    </w:p>
    <w:p w14:paraId="643FEE8F" w14:textId="37EBE79C" w:rsidR="00342135" w:rsidRPr="00165FBB" w:rsidRDefault="00F368AA" w:rsidP="00165FBB">
      <w:pPr>
        <w:pStyle w:val="Caption"/>
        <w:rPr>
          <w:b w:val="0"/>
          <w:sz w:val="20"/>
          <w:szCs w:val="20"/>
        </w:rPr>
      </w:pPr>
      <w:r w:rsidRPr="00165FBB">
        <w:rPr>
          <w:b w:val="0"/>
          <w:sz w:val="20"/>
          <w:szCs w:val="20"/>
        </w:rPr>
        <w:t xml:space="preserve"> Flow data </w:t>
      </w:r>
      <w:r w:rsidR="00CB3D5C" w:rsidRPr="00165FBB">
        <w:rPr>
          <w:b w:val="0"/>
          <w:sz w:val="20"/>
          <w:szCs w:val="20"/>
        </w:rPr>
        <w:t>from DNRM Stream Gauging Network</w:t>
      </w:r>
      <w:r w:rsidRPr="00165FBB">
        <w:rPr>
          <w:b w:val="0"/>
          <w:sz w:val="20"/>
          <w:szCs w:val="20"/>
        </w:rPr>
        <w:t>.</w:t>
      </w:r>
      <w:bookmarkEnd w:id="595"/>
    </w:p>
    <w:p w14:paraId="03AFC5BC" w14:textId="77777777" w:rsidR="005950F3" w:rsidRDefault="005950F3" w:rsidP="002439C8">
      <w:pPr>
        <w:jc w:val="left"/>
        <w:rPr>
          <w:lang w:val="en-AU" w:eastAsia="en-AU"/>
        </w:rPr>
      </w:pPr>
    </w:p>
    <w:p w14:paraId="0941725A" w14:textId="77777777" w:rsidR="00827742" w:rsidRPr="0099427D" w:rsidRDefault="00827742" w:rsidP="002439C8">
      <w:pPr>
        <w:pStyle w:val="Heading3"/>
        <w:jc w:val="left"/>
      </w:pPr>
      <w:bookmarkStart w:id="596" w:name="_Toc14435724"/>
      <w:r>
        <w:t>Factors influencing the pesticide concentrations in the Fitzroy region</w:t>
      </w:r>
      <w:bookmarkEnd w:id="596"/>
    </w:p>
    <w:p w14:paraId="2ECC8AE3" w14:textId="6D1E14FB" w:rsidR="00827742" w:rsidRDefault="00827742" w:rsidP="002439C8">
      <w:pPr>
        <w:spacing w:line="276" w:lineRule="auto"/>
        <w:jc w:val="left"/>
        <w:rPr>
          <w:lang w:val="en-AU"/>
        </w:rPr>
      </w:pPr>
      <w:r w:rsidRPr="000C5D2A">
        <w:rPr>
          <w:lang w:val="en-AU"/>
        </w:rPr>
        <w:t xml:space="preserve">The </w:t>
      </w:r>
      <w:r>
        <w:rPr>
          <w:lang w:val="en-AU"/>
        </w:rPr>
        <w:t xml:space="preserve">rivers influencing passive site, </w:t>
      </w:r>
      <w:r w:rsidRPr="00EC7BDD">
        <w:rPr>
          <w:lang w:val="en-AU"/>
        </w:rPr>
        <w:t>the Fitzroy River</w:t>
      </w:r>
      <w:r>
        <w:rPr>
          <w:lang w:val="en-AU"/>
        </w:rPr>
        <w:t>, had</w:t>
      </w:r>
      <w:r w:rsidRPr="00EC7BDD">
        <w:rPr>
          <w:lang w:val="en-AU"/>
        </w:rPr>
        <w:t xml:space="preserve"> </w:t>
      </w:r>
      <w:r>
        <w:rPr>
          <w:lang w:val="en-AU"/>
        </w:rPr>
        <w:t>significantly lower d</w:t>
      </w:r>
      <w:r w:rsidR="00CB3D5C">
        <w:rPr>
          <w:lang w:val="en-AU"/>
        </w:rPr>
        <w:t>i</w:t>
      </w:r>
      <w:r>
        <w:rPr>
          <w:lang w:val="en-AU"/>
        </w:rPr>
        <w:t xml:space="preserve">scharge in 2017–18 (0.3 times the long-term median) than </w:t>
      </w:r>
      <w:r w:rsidRPr="00EC7BDD">
        <w:rPr>
          <w:lang w:val="en-AU"/>
        </w:rPr>
        <w:t xml:space="preserve">in </w:t>
      </w:r>
      <w:r>
        <w:rPr>
          <w:lang w:val="en-AU"/>
        </w:rPr>
        <w:t xml:space="preserve">the previous monitoring year </w:t>
      </w:r>
      <w:r w:rsidRPr="00EC7BDD">
        <w:rPr>
          <w:lang w:val="en-AU"/>
        </w:rPr>
        <w:t>(2.</w:t>
      </w:r>
      <w:r>
        <w:rPr>
          <w:lang w:val="en-AU"/>
        </w:rPr>
        <w:t>2</w:t>
      </w:r>
      <w:r w:rsidRPr="00EC7BDD">
        <w:rPr>
          <w:lang w:val="en-AU"/>
        </w:rPr>
        <w:t xml:space="preserve"> times the </w:t>
      </w:r>
      <w:r>
        <w:rPr>
          <w:lang w:val="en-AU"/>
        </w:rPr>
        <w:t>long-term</w:t>
      </w:r>
      <w:r w:rsidRPr="00EC7BDD">
        <w:rPr>
          <w:lang w:val="en-AU"/>
        </w:rPr>
        <w:t xml:space="preserve"> </w:t>
      </w:r>
      <w:r>
        <w:rPr>
          <w:lang w:val="en-AU"/>
        </w:rPr>
        <w:t>median</w:t>
      </w:r>
      <w:r w:rsidRPr="00EC7BDD">
        <w:rPr>
          <w:lang w:val="en-AU"/>
        </w:rPr>
        <w:t>)</w:t>
      </w:r>
      <w:r>
        <w:rPr>
          <w:lang w:val="en-AU"/>
        </w:rPr>
        <w:t xml:space="preserve">. An initial peak in river flow occurred in the dry season in October 2017. Only two moderate rainfall periods occurred throughout February (both &lt;100 mm) which resulted in one main river flow event in late February/ early March 2018 </w:t>
      </w:r>
      <w:r w:rsidRPr="00411026">
        <w:rPr>
          <w:lang w:val="en-AU"/>
        </w:rPr>
        <w:t>(</w:t>
      </w:r>
      <w:r>
        <w:rPr>
          <w:lang w:val="en-AU"/>
        </w:rPr>
        <w:fldChar w:fldCharType="begin"/>
      </w:r>
      <w:r>
        <w:rPr>
          <w:lang w:val="en-AU"/>
        </w:rPr>
        <w:instrText xml:space="preserve"> REF _Ref535566912 \h </w:instrText>
      </w:r>
      <w:r w:rsidR="002439C8">
        <w:rPr>
          <w:lang w:val="en-AU"/>
        </w:rPr>
        <w:instrText xml:space="preserve"> \* MERGEFORMAT </w:instrText>
      </w:r>
      <w:r>
        <w:rPr>
          <w:lang w:val="en-AU"/>
        </w:rPr>
      </w:r>
      <w:r>
        <w:rPr>
          <w:lang w:val="en-AU"/>
        </w:rPr>
        <w:fldChar w:fldCharType="separate"/>
      </w:r>
      <w:r w:rsidR="00373D4B" w:rsidRPr="00373D4B">
        <w:t xml:space="preserve">Figure </w:t>
      </w:r>
      <w:r w:rsidR="00373D4B" w:rsidRPr="00373D4B">
        <w:rPr>
          <w:noProof/>
        </w:rPr>
        <w:t>22</w:t>
      </w:r>
      <w:r>
        <w:rPr>
          <w:lang w:val="en-AU"/>
        </w:rPr>
        <w:fldChar w:fldCharType="end"/>
      </w:r>
      <w:r w:rsidRPr="00411026">
        <w:rPr>
          <w:lang w:val="en-AU"/>
        </w:rPr>
        <w:t xml:space="preserve">). </w:t>
      </w:r>
    </w:p>
    <w:p w14:paraId="77F8F609" w14:textId="77777777" w:rsidR="00827742" w:rsidRDefault="00827742" w:rsidP="002439C8">
      <w:pPr>
        <w:spacing w:line="276" w:lineRule="auto"/>
        <w:jc w:val="left"/>
        <w:rPr>
          <w:lang w:val="en-AU"/>
        </w:rPr>
      </w:pPr>
    </w:p>
    <w:p w14:paraId="2503B3BA" w14:textId="3617D8EC" w:rsidR="00827742" w:rsidRDefault="00827742" w:rsidP="002439C8">
      <w:pPr>
        <w:spacing w:line="276" w:lineRule="auto"/>
        <w:jc w:val="left"/>
        <w:rPr>
          <w:lang w:val="en-AU"/>
        </w:rPr>
      </w:pPr>
      <w:r>
        <w:rPr>
          <w:lang w:val="en-AU"/>
        </w:rPr>
        <w:t>Water type at the passive sampler site at North Keppel Island remained colour class 5 (indicative of secondary flood plumes) for the entirety of the wet season. Historically, this site is the one of the least impacted by primary plume water types, which is unsurprising, given its relatively distant location (50 km) from the Fitzroy River mouth. Despite the relatively low discharge, concentrations of pesticides detected</w:t>
      </w:r>
      <w:r w:rsidRPr="00411026">
        <w:rPr>
          <w:lang w:val="en-AU"/>
        </w:rPr>
        <w:t xml:space="preserve"> during the wet season at North Keppel Island were </w:t>
      </w:r>
      <w:r>
        <w:rPr>
          <w:lang w:val="en-AU"/>
        </w:rPr>
        <w:t xml:space="preserve">the highest detected </w:t>
      </w:r>
      <w:r w:rsidRPr="00411026">
        <w:rPr>
          <w:lang w:val="en-AU"/>
        </w:rPr>
        <w:t>since 201</w:t>
      </w:r>
      <w:r>
        <w:rPr>
          <w:lang w:val="en-AU"/>
        </w:rPr>
        <w:t>2</w:t>
      </w:r>
      <w:r w:rsidR="0062735B">
        <w:rPr>
          <w:lang w:val="en-AU"/>
        </w:rPr>
        <w:t>–</w:t>
      </w:r>
      <w:r>
        <w:rPr>
          <w:lang w:val="en-AU"/>
        </w:rPr>
        <w:t>1</w:t>
      </w:r>
      <w:r w:rsidRPr="00411026">
        <w:rPr>
          <w:lang w:val="en-AU"/>
        </w:rPr>
        <w:t xml:space="preserve">3 at this site (for historical data see </w:t>
      </w:r>
      <w:r w:rsidRPr="00411026">
        <w:rPr>
          <w:highlight w:val="yellow"/>
          <w:lang w:val="en-AU"/>
        </w:rPr>
        <w:fldChar w:fldCharType="begin"/>
      </w:r>
      <w:r w:rsidRPr="00411026">
        <w:rPr>
          <w:highlight w:val="yellow"/>
          <w:lang w:val="en-AU"/>
        </w:rPr>
        <w:instrText xml:space="preserve"> REF _Ref480728568 \h </w:instrText>
      </w:r>
      <w:r w:rsidR="002439C8">
        <w:rPr>
          <w:highlight w:val="yellow"/>
          <w:lang w:val="en-AU"/>
        </w:rPr>
        <w:instrText xml:space="preserve"> \* MERGEFORMAT </w:instrText>
      </w:r>
      <w:r w:rsidRPr="00411026">
        <w:rPr>
          <w:highlight w:val="yellow"/>
          <w:lang w:val="en-AU"/>
        </w:rPr>
      </w:r>
      <w:r w:rsidRPr="00411026">
        <w:rPr>
          <w:highlight w:val="yellow"/>
          <w:lang w:val="en-AU"/>
        </w:rPr>
        <w:fldChar w:fldCharType="separate"/>
      </w:r>
      <w:r w:rsidR="00373D4B">
        <w:t xml:space="preserve">Figure </w:t>
      </w:r>
      <w:r w:rsidR="00373D4B">
        <w:rPr>
          <w:noProof/>
        </w:rPr>
        <w:t>H</w:t>
      </w:r>
      <w:r w:rsidR="00373D4B">
        <w:rPr>
          <w:noProof/>
        </w:rPr>
        <w:noBreakHyphen/>
        <w:t>11</w:t>
      </w:r>
      <w:r w:rsidRPr="00411026">
        <w:rPr>
          <w:highlight w:val="yellow"/>
          <w:lang w:val="en-AU"/>
        </w:rPr>
        <w:fldChar w:fldCharType="end"/>
      </w:r>
      <w:r w:rsidRPr="00411026">
        <w:rPr>
          <w:lang w:val="en-AU"/>
        </w:rPr>
        <w:t>)</w:t>
      </w:r>
      <w:r>
        <w:rPr>
          <w:lang w:val="en-AU"/>
        </w:rPr>
        <w:t>, albeit still at relatively low concentrations</w:t>
      </w:r>
      <w:r w:rsidRPr="00411026">
        <w:rPr>
          <w:lang w:val="en-AU"/>
        </w:rPr>
        <w:t xml:space="preserve">. </w:t>
      </w:r>
    </w:p>
    <w:p w14:paraId="1A12B52C" w14:textId="77777777" w:rsidR="004523BF" w:rsidRDefault="004523BF" w:rsidP="002439C8">
      <w:pPr>
        <w:jc w:val="left"/>
        <w:rPr>
          <w:lang w:val="en-AU"/>
        </w:rPr>
      </w:pPr>
    </w:p>
    <w:p w14:paraId="5ABD2137" w14:textId="77777777" w:rsidR="00827742" w:rsidRDefault="00827742" w:rsidP="002439C8">
      <w:pPr>
        <w:jc w:val="left"/>
        <w:rPr>
          <w:lang w:val="en-AU"/>
        </w:rPr>
      </w:pPr>
    </w:p>
    <w:p w14:paraId="24B018B8" w14:textId="77777777" w:rsidR="00827742" w:rsidRDefault="00827742" w:rsidP="002439C8">
      <w:pPr>
        <w:ind w:firstLine="357"/>
        <w:jc w:val="left"/>
        <w:rPr>
          <w:lang w:val="en-AU"/>
        </w:rPr>
      </w:pPr>
      <w:r>
        <w:rPr>
          <w:lang w:val="en-AU"/>
        </w:rPr>
        <w:br w:type="page"/>
      </w:r>
    </w:p>
    <w:p w14:paraId="12B1073D" w14:textId="77777777" w:rsidR="0059608E" w:rsidRPr="004E0EF8" w:rsidRDefault="0059608E" w:rsidP="002439C8">
      <w:pPr>
        <w:pStyle w:val="Heading1"/>
        <w:jc w:val="left"/>
      </w:pPr>
      <w:bookmarkStart w:id="597" w:name="_Toc535848727"/>
      <w:bookmarkStart w:id="598" w:name="_Toc335638626"/>
      <w:bookmarkStart w:id="599" w:name="_Toc335641236"/>
      <w:bookmarkStart w:id="600" w:name="_Toc335638627"/>
      <w:bookmarkStart w:id="601" w:name="_Toc335641237"/>
      <w:bookmarkStart w:id="602" w:name="_Toc335638628"/>
      <w:bookmarkStart w:id="603" w:name="_Toc335641238"/>
      <w:bookmarkStart w:id="604" w:name="_Toc335638629"/>
      <w:bookmarkStart w:id="605" w:name="_Toc335641239"/>
      <w:bookmarkStart w:id="606" w:name="_Toc335638630"/>
      <w:bookmarkStart w:id="607" w:name="_Toc335641240"/>
      <w:bookmarkStart w:id="608" w:name="_Toc335638631"/>
      <w:bookmarkStart w:id="609" w:name="_Toc335641241"/>
      <w:bookmarkStart w:id="610" w:name="_Toc535848728"/>
      <w:bookmarkStart w:id="611" w:name="_Discussion"/>
      <w:bookmarkStart w:id="612" w:name="_Toc461457778"/>
      <w:bookmarkStart w:id="613" w:name="_Toc14435725"/>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r w:rsidRPr="004E0EF8">
        <w:t>Discussion</w:t>
      </w:r>
      <w:bookmarkEnd w:id="612"/>
      <w:bookmarkEnd w:id="613"/>
    </w:p>
    <w:p w14:paraId="2C6F7213" w14:textId="77777777" w:rsidR="00771CCE" w:rsidRDefault="007864F8" w:rsidP="002439C8">
      <w:pPr>
        <w:spacing w:line="276" w:lineRule="auto"/>
        <w:jc w:val="left"/>
      </w:pPr>
      <w:bookmarkStart w:id="614" w:name="_Hlk481006447"/>
      <w:bookmarkStart w:id="615" w:name="_Hlk481475764"/>
      <w:r w:rsidRPr="00F5511A">
        <w:rPr>
          <w:b/>
        </w:rPr>
        <w:t>P</w:t>
      </w:r>
      <w:r w:rsidR="00EA1B29" w:rsidRPr="00F5511A">
        <w:rPr>
          <w:b/>
        </w:rPr>
        <w:t xml:space="preserve">ressures </w:t>
      </w:r>
      <w:r w:rsidR="0086754F" w:rsidRPr="00F5511A">
        <w:rPr>
          <w:b/>
        </w:rPr>
        <w:t>and overall trends in pesticide level</w:t>
      </w:r>
      <w:r w:rsidR="006B667F" w:rsidRPr="00F5511A">
        <w:rPr>
          <w:b/>
        </w:rPr>
        <w:t xml:space="preserve">s at fixed monitoring </w:t>
      </w:r>
      <w:r w:rsidR="006B667F" w:rsidRPr="00A9434F">
        <w:rPr>
          <w:b/>
        </w:rPr>
        <w:t>sites</w:t>
      </w:r>
      <w:r w:rsidR="00EA1B29" w:rsidRPr="00A9434F">
        <w:rPr>
          <w:b/>
        </w:rPr>
        <w:t>.</w:t>
      </w:r>
      <w:r w:rsidR="00EA1B29" w:rsidRPr="00A9434F">
        <w:t xml:space="preserve"> </w:t>
      </w:r>
      <w:bookmarkStart w:id="616" w:name="_Hlk509053511"/>
    </w:p>
    <w:p w14:paraId="4A77FE3F" w14:textId="77777777" w:rsidR="002533FA" w:rsidRDefault="002533FA" w:rsidP="002439C8">
      <w:pPr>
        <w:tabs>
          <w:tab w:val="left" w:pos="10065"/>
        </w:tabs>
        <w:spacing w:line="276" w:lineRule="auto"/>
        <w:jc w:val="left"/>
        <w:rPr>
          <w:lang w:val="en-AU" w:eastAsia="en-AU"/>
        </w:rPr>
      </w:pPr>
    </w:p>
    <w:p w14:paraId="78618B54" w14:textId="77777777" w:rsidR="002609B4" w:rsidRDefault="002533FA" w:rsidP="002439C8">
      <w:pPr>
        <w:tabs>
          <w:tab w:val="left" w:pos="10065"/>
        </w:tabs>
        <w:spacing w:line="276" w:lineRule="auto"/>
        <w:jc w:val="left"/>
      </w:pPr>
      <w:r w:rsidRPr="00FC248F">
        <w:rPr>
          <w:lang w:val="en-AU" w:eastAsia="en-AU"/>
        </w:rPr>
        <w:t xml:space="preserve">In </w:t>
      </w:r>
      <w:r w:rsidR="001B73E5">
        <w:rPr>
          <w:lang w:val="en-AU" w:eastAsia="en-AU"/>
        </w:rPr>
        <w:t>2017–18</w:t>
      </w:r>
      <w:r w:rsidRPr="00FC248F">
        <w:rPr>
          <w:lang w:val="en-AU" w:eastAsia="en-AU"/>
        </w:rPr>
        <w:t xml:space="preserve">, trends in the pesticide </w:t>
      </w:r>
      <w:r>
        <w:rPr>
          <w:lang w:val="en-AU" w:eastAsia="en-AU"/>
        </w:rPr>
        <w:t xml:space="preserve">concentrations </w:t>
      </w:r>
      <w:r w:rsidRPr="00FC248F">
        <w:rPr>
          <w:lang w:val="en-AU" w:eastAsia="en-AU"/>
        </w:rPr>
        <w:t xml:space="preserve">could be broadly interpreted </w:t>
      </w:r>
      <w:r>
        <w:rPr>
          <w:lang w:val="en-AU" w:eastAsia="en-AU"/>
        </w:rPr>
        <w:t xml:space="preserve">with respect to </w:t>
      </w:r>
      <w:r w:rsidRPr="00FC248F">
        <w:rPr>
          <w:lang w:val="en-AU" w:eastAsia="en-AU"/>
        </w:rPr>
        <w:t>hydrological conditions</w:t>
      </w:r>
      <w:r>
        <w:rPr>
          <w:lang w:val="en-AU" w:eastAsia="en-AU"/>
        </w:rPr>
        <w:t xml:space="preserve"> (river discharge and rainfall on adjacent basins). </w:t>
      </w:r>
      <w:r w:rsidR="00472A6B" w:rsidRPr="00A9434F">
        <w:t>T</w:t>
      </w:r>
      <w:r w:rsidR="00EA1B29" w:rsidRPr="00A9434F">
        <w:t>he</w:t>
      </w:r>
      <w:r w:rsidR="00AC52D3" w:rsidRPr="00A9434F">
        <w:t xml:space="preserve"> </w:t>
      </w:r>
      <w:r w:rsidR="001408CC" w:rsidRPr="00A9434F">
        <w:t xml:space="preserve">pressures governing the release of pesticides into the Reef lagoon were highly localised in the </w:t>
      </w:r>
      <w:r w:rsidR="00AC52D3" w:rsidRPr="00A9434F">
        <w:t>current monitoring year</w:t>
      </w:r>
      <w:r w:rsidR="00D71C3E">
        <w:t xml:space="preserve">, and were </w:t>
      </w:r>
      <w:r w:rsidR="00EF5F47">
        <w:t>somewhat inverse</w:t>
      </w:r>
      <w:r w:rsidR="003313ED">
        <w:t>ly related</w:t>
      </w:r>
      <w:r w:rsidR="00D71C3E">
        <w:t xml:space="preserve"> to the previous monitoring year</w:t>
      </w:r>
      <w:r w:rsidR="001408CC" w:rsidRPr="00A9434F">
        <w:t xml:space="preserve">. </w:t>
      </w:r>
      <w:bookmarkStart w:id="617" w:name="_Hlk509053544"/>
      <w:bookmarkEnd w:id="616"/>
    </w:p>
    <w:p w14:paraId="512B0A8E" w14:textId="77777777" w:rsidR="002609B4" w:rsidRDefault="00EF5F47" w:rsidP="002439C8">
      <w:pPr>
        <w:pStyle w:val="ListParagraph"/>
        <w:numPr>
          <w:ilvl w:val="0"/>
          <w:numId w:val="27"/>
        </w:numPr>
        <w:spacing w:line="276" w:lineRule="auto"/>
        <w:jc w:val="left"/>
      </w:pPr>
      <w:r>
        <w:t>This year, r</w:t>
      </w:r>
      <w:r w:rsidR="00AB5B96" w:rsidRPr="00A9434F">
        <w:t>iver discharge in the</w:t>
      </w:r>
      <w:r w:rsidR="001408CC" w:rsidRPr="00A9434F">
        <w:t xml:space="preserve"> northern NRM </w:t>
      </w:r>
      <w:r w:rsidR="00BF37D6">
        <w:t>basin</w:t>
      </w:r>
      <w:r w:rsidR="001408CC" w:rsidRPr="00A9434F">
        <w:t xml:space="preserve">s (Wet Tropics and Burdekin) </w:t>
      </w:r>
      <w:r w:rsidR="00AB5B96" w:rsidRPr="00A9434F">
        <w:t xml:space="preserve">was </w:t>
      </w:r>
      <w:r>
        <w:t>slightly above</w:t>
      </w:r>
      <w:r w:rsidR="001408CC" w:rsidRPr="00A9434F">
        <w:t xml:space="preserve"> the </w:t>
      </w:r>
      <w:r w:rsidR="00AB5B96" w:rsidRPr="00A9434F">
        <w:t>long-term</w:t>
      </w:r>
      <w:r w:rsidR="001408CC" w:rsidRPr="00A9434F">
        <w:t xml:space="preserve"> </w:t>
      </w:r>
      <w:r>
        <w:t>median</w:t>
      </w:r>
      <w:r w:rsidR="00AB5B96" w:rsidRPr="00A9434F">
        <w:t xml:space="preserve"> and for </w:t>
      </w:r>
      <w:r>
        <w:t>the Wet Tropics region,</w:t>
      </w:r>
      <w:r w:rsidR="00AB5B96" w:rsidRPr="00A9434F">
        <w:t xml:space="preserve"> </w:t>
      </w:r>
      <w:r>
        <w:t xml:space="preserve">several </w:t>
      </w:r>
      <w:r w:rsidR="00BF37D6">
        <w:t>basin</w:t>
      </w:r>
      <w:r>
        <w:t xml:space="preserve">s experienced weekly </w:t>
      </w:r>
      <w:r w:rsidR="00AB5B96" w:rsidRPr="00A9434F">
        <w:t>rainfall</w:t>
      </w:r>
      <w:r>
        <w:t xml:space="preserve"> during the wet season exceeding</w:t>
      </w:r>
      <w:r w:rsidR="00AB5B96" w:rsidRPr="00A9434F">
        <w:t xml:space="preserve"> </w:t>
      </w:r>
      <w:r>
        <w:t xml:space="preserve">500 mm and above average rainfall during the dry season across the entire region. For both regions, it was the fourth consecutive year of increase in regional river discharge. </w:t>
      </w:r>
    </w:p>
    <w:p w14:paraId="7B40B8EF" w14:textId="77777777" w:rsidR="00EA1B29" w:rsidRPr="00BE05C8" w:rsidRDefault="001408CC" w:rsidP="002439C8">
      <w:pPr>
        <w:pStyle w:val="ListParagraph"/>
        <w:numPr>
          <w:ilvl w:val="0"/>
          <w:numId w:val="27"/>
        </w:numPr>
        <w:spacing w:line="276" w:lineRule="auto"/>
        <w:jc w:val="left"/>
      </w:pPr>
      <w:r w:rsidRPr="00A9434F">
        <w:t xml:space="preserve">Further south in the Mackay Whitsunday and Fitzroy regions, </w:t>
      </w:r>
      <w:r w:rsidR="00EF5F47">
        <w:t xml:space="preserve">regional river discharge was below the long term median, and significantly lower than the previous year which was impacted by high rainfall and above median river discharge </w:t>
      </w:r>
      <w:r w:rsidR="002B2CF9">
        <w:t>associated with</w:t>
      </w:r>
      <w:r w:rsidR="00EF5F47">
        <w:t xml:space="preserve"> </w:t>
      </w:r>
      <w:r w:rsidR="00D20BF2">
        <w:t>c</w:t>
      </w:r>
      <w:r w:rsidRPr="00A9434F">
        <w:t>yclone Debbie in late March 2017</w:t>
      </w:r>
      <w:r w:rsidR="00EF5F47">
        <w:t xml:space="preserve">. </w:t>
      </w:r>
      <w:r w:rsidRPr="00A9434F">
        <w:t xml:space="preserve"> </w:t>
      </w:r>
      <w:bookmarkEnd w:id="617"/>
    </w:p>
    <w:p w14:paraId="7D03905F" w14:textId="77777777" w:rsidR="007864F8" w:rsidRPr="00BE05C8" w:rsidRDefault="007864F8" w:rsidP="002439C8">
      <w:pPr>
        <w:jc w:val="left"/>
      </w:pPr>
    </w:p>
    <w:p w14:paraId="0CC68DEB" w14:textId="77777777" w:rsidR="00C71138" w:rsidRDefault="00C71138" w:rsidP="002439C8">
      <w:pPr>
        <w:tabs>
          <w:tab w:val="left" w:pos="10065"/>
        </w:tabs>
        <w:spacing w:line="276" w:lineRule="auto"/>
        <w:jc w:val="left"/>
      </w:pPr>
      <w:bookmarkStart w:id="618" w:name="_Hlk509053720"/>
      <w:r>
        <w:t>P</w:t>
      </w:r>
      <w:r w:rsidRPr="000E3C66">
        <w:t xml:space="preserve">esticide concentrations at fixed monitoring sites were, </w:t>
      </w:r>
      <w:r>
        <w:t>in most cases</w:t>
      </w:r>
      <w:r w:rsidRPr="000E3C66">
        <w:t xml:space="preserve">, higher than the previous monitoring year. </w:t>
      </w:r>
      <w:r>
        <w:t>Three currently monitored sites (Low Isles, Normanby Island and North Keppel Island) have long term (relatively) continuous monitoring data that extends to the ‘very wet’</w:t>
      </w:r>
      <w:r w:rsidRPr="0015020C">
        <w:t xml:space="preserve"> La Niña years </w:t>
      </w:r>
      <w:r>
        <w:t xml:space="preserve">(2007– 2012) </w:t>
      </w:r>
      <w:r w:rsidRPr="0015020C">
        <w:t>when rainfall</w:t>
      </w:r>
      <w:r>
        <w:t>, river discharge</w:t>
      </w:r>
      <w:r w:rsidRPr="0015020C">
        <w:t xml:space="preserve"> and cyclonic activity were considerably above long-term averages. </w:t>
      </w:r>
    </w:p>
    <w:p w14:paraId="383F1829" w14:textId="77777777" w:rsidR="00C71138" w:rsidRDefault="00C71138" w:rsidP="002439C8">
      <w:pPr>
        <w:tabs>
          <w:tab w:val="left" w:pos="10065"/>
        </w:tabs>
        <w:spacing w:line="276" w:lineRule="auto"/>
        <w:jc w:val="left"/>
      </w:pPr>
    </w:p>
    <w:p w14:paraId="678EA1AD" w14:textId="0256EAB5" w:rsidR="00FE3D0A" w:rsidRDefault="00FE3D0A" w:rsidP="002439C8">
      <w:pPr>
        <w:spacing w:line="276" w:lineRule="auto"/>
        <w:jc w:val="left"/>
      </w:pPr>
      <w:r w:rsidRPr="001B6DA9">
        <w:rPr>
          <w:rFonts w:cs="Arial"/>
        </w:rPr>
        <w:t xml:space="preserve">No </w:t>
      </w:r>
      <w:r w:rsidRPr="002D0872">
        <w:t>individual</w:t>
      </w:r>
      <w:r w:rsidRPr="001B6DA9">
        <w:rPr>
          <w:rFonts w:cs="Arial"/>
        </w:rPr>
        <w:t xml:space="preserve"> exceedances of the </w:t>
      </w:r>
      <w:r w:rsidRPr="001B6DA9">
        <w:t xml:space="preserve">current </w:t>
      </w:r>
      <w:r>
        <w:t xml:space="preserve">marine trigger values (i.e. water quality guideline values) </w:t>
      </w:r>
      <w:r w:rsidRPr="001B6DA9">
        <w:rPr>
          <w:rFonts w:cs="Arial"/>
        </w:rPr>
        <w:t xml:space="preserve">were detected </w:t>
      </w:r>
      <w:r>
        <w:rPr>
          <w:rFonts w:cs="Arial"/>
        </w:rPr>
        <w:t xml:space="preserve">although </w:t>
      </w:r>
      <w:r w:rsidR="00D20BF2">
        <w:rPr>
          <w:rFonts w:cs="Arial"/>
        </w:rPr>
        <w:t xml:space="preserve">some of </w:t>
      </w:r>
      <w:r>
        <w:rPr>
          <w:rFonts w:cs="Arial"/>
        </w:rPr>
        <w:t xml:space="preserve">these values are undergoing a review. Assessment against the </w:t>
      </w:r>
      <w:r w:rsidR="00413BEA">
        <w:rPr>
          <w:rFonts w:cs="Arial"/>
        </w:rPr>
        <w:t>proposed PGVs</w:t>
      </w:r>
      <w:r>
        <w:rPr>
          <w:rFonts w:cs="Arial"/>
        </w:rPr>
        <w:t xml:space="preserve"> </w:t>
      </w:r>
      <w:r w:rsidR="00413BEA">
        <w:rPr>
          <w:rFonts w:cs="Arial"/>
        </w:rPr>
        <w:t xml:space="preserve">for diuron </w:t>
      </w:r>
      <w:r w:rsidRPr="001B6DA9">
        <w:t xml:space="preserve">(levels </w:t>
      </w:r>
      <w:r>
        <w:t>determined to</w:t>
      </w:r>
      <w:r w:rsidRPr="001B6DA9">
        <w:t xml:space="preserve"> protect 99</w:t>
      </w:r>
      <w:r>
        <w:t xml:space="preserve"> %</w:t>
      </w:r>
      <w:r w:rsidRPr="001B6DA9">
        <w:t xml:space="preserve"> of marine species)</w:t>
      </w:r>
      <w:r>
        <w:t xml:space="preserve"> would however result in two instances of exceedance, both</w:t>
      </w:r>
      <w:r w:rsidRPr="00302628">
        <w:t xml:space="preserve"> </w:t>
      </w:r>
      <w:r>
        <w:t xml:space="preserve">from passive samplers located at Round Top Island, in </w:t>
      </w:r>
      <w:r w:rsidR="00413BEA">
        <w:t>the Mackay Whitsunday region</w:t>
      </w:r>
      <w:r>
        <w:t xml:space="preserve">: 778 and 531 </w:t>
      </w:r>
      <w:r w:rsidRPr="00585850">
        <w:rPr>
          <w:lang w:val="en-AU"/>
        </w:rPr>
        <w:t xml:space="preserve">compared to the proposed </w:t>
      </w:r>
      <w:r w:rsidRPr="00E9556D">
        <w:rPr>
          <w:lang w:val="en-AU"/>
        </w:rPr>
        <w:t xml:space="preserve">value of </w:t>
      </w:r>
      <w:r>
        <w:rPr>
          <w:lang w:val="en-AU"/>
        </w:rPr>
        <w:t>430</w:t>
      </w:r>
      <w:r w:rsidR="00961C35">
        <w:rPr>
          <w:lang w:val="en-AU"/>
        </w:rPr>
        <w:t> ng L</w:t>
      </w:r>
      <w:r w:rsidR="00A209AA" w:rsidRPr="00A209AA">
        <w:rPr>
          <w:vertAlign w:val="superscript"/>
          <w:lang w:val="en-AU"/>
        </w:rPr>
        <w:noBreakHyphen/>
        <w:t>1</w:t>
      </w:r>
      <w:r>
        <w:t>. If these values are adopted, the pesticide exposure risk at this site will be interpreted higher</w:t>
      </w:r>
      <w:r w:rsidRPr="00023322">
        <w:t>.</w:t>
      </w:r>
    </w:p>
    <w:p w14:paraId="65DD604F" w14:textId="77777777" w:rsidR="00CB6421" w:rsidRDefault="00CB6421" w:rsidP="002439C8">
      <w:pPr>
        <w:tabs>
          <w:tab w:val="left" w:pos="10065"/>
        </w:tabs>
        <w:spacing w:line="276" w:lineRule="auto"/>
        <w:jc w:val="left"/>
      </w:pPr>
    </w:p>
    <w:p w14:paraId="78C49734" w14:textId="77777777" w:rsidR="00853256" w:rsidRDefault="00C71138" w:rsidP="002439C8">
      <w:pPr>
        <w:tabs>
          <w:tab w:val="left" w:pos="10065"/>
        </w:tabs>
        <w:spacing w:line="276" w:lineRule="auto"/>
        <w:jc w:val="left"/>
        <w:rPr>
          <w:lang w:val="en-AU" w:eastAsia="en-AU"/>
        </w:rPr>
      </w:pPr>
      <w:r>
        <w:t xml:space="preserve">This is the third year running that proposed guideline exceedances have occurred at </w:t>
      </w:r>
      <w:r w:rsidR="00853256">
        <w:t>the Round Top Island</w:t>
      </w:r>
      <w:r>
        <w:t xml:space="preserve"> site (incomplete data from 2014–2015 does not allow comparison with the first year of sampling), suggesting this may be a higher risk site. The end-of-basin loads, ideal location of the monitoring site within the flood plumes, seasonal pulses of river flow patterns, discharge volumes and other factors (such as timing of pesticide application) affecting the transport of pesticides from the river mouth to the site all likely contribute to the higher concentrations at this site. </w:t>
      </w:r>
      <w:r w:rsidR="00853256">
        <w:rPr>
          <w:lang w:val="en-AU" w:eastAsia="en-AU"/>
        </w:rPr>
        <w:t>Historically</w:t>
      </w:r>
      <w:r w:rsidR="00853256" w:rsidRPr="00FC248F">
        <w:rPr>
          <w:lang w:val="en-AU" w:eastAsia="en-AU"/>
        </w:rPr>
        <w:t xml:space="preserve">, </w:t>
      </w:r>
      <w:r w:rsidR="00853256">
        <w:rPr>
          <w:lang w:val="en-AU" w:eastAsia="en-AU"/>
        </w:rPr>
        <w:t xml:space="preserve">the </w:t>
      </w:r>
      <w:r w:rsidR="00853256" w:rsidRPr="00FC248F">
        <w:rPr>
          <w:lang w:val="en-AU" w:eastAsia="en-AU"/>
        </w:rPr>
        <w:t xml:space="preserve">highest pesticide concentrations </w:t>
      </w:r>
      <w:r w:rsidR="00853256">
        <w:rPr>
          <w:lang w:val="en-AU" w:eastAsia="en-AU"/>
        </w:rPr>
        <w:t>have been</w:t>
      </w:r>
      <w:r w:rsidR="00853256" w:rsidRPr="00FC248F">
        <w:rPr>
          <w:lang w:val="en-AU" w:eastAsia="en-AU"/>
        </w:rPr>
        <w:t xml:space="preserve"> detected at the Mackay Whitsunday sites</w:t>
      </w:r>
      <w:r w:rsidR="00853256">
        <w:rPr>
          <w:lang w:val="en-AU" w:eastAsia="en-AU"/>
        </w:rPr>
        <w:t xml:space="preserve">, which correlates with the dominant </w:t>
      </w:r>
      <w:r w:rsidR="00853256" w:rsidRPr="00FC248F">
        <w:rPr>
          <w:lang w:val="en-AU" w:eastAsia="en-AU"/>
        </w:rPr>
        <w:t xml:space="preserve">land-use in the adjacent </w:t>
      </w:r>
      <w:r w:rsidR="00853256">
        <w:rPr>
          <w:lang w:val="en-AU" w:eastAsia="en-AU"/>
        </w:rPr>
        <w:t>basin</w:t>
      </w:r>
      <w:r w:rsidR="00853256" w:rsidRPr="00FC248F">
        <w:rPr>
          <w:lang w:val="en-AU" w:eastAsia="en-AU"/>
        </w:rPr>
        <w:t xml:space="preserve">s. </w:t>
      </w:r>
    </w:p>
    <w:bookmarkEnd w:id="618"/>
    <w:p w14:paraId="28E9A44C" w14:textId="77777777" w:rsidR="00CB6421" w:rsidRDefault="00CB6421" w:rsidP="002439C8">
      <w:pPr>
        <w:tabs>
          <w:tab w:val="left" w:pos="10065"/>
        </w:tabs>
        <w:spacing w:line="276" w:lineRule="auto"/>
        <w:jc w:val="left"/>
      </w:pPr>
    </w:p>
    <w:p w14:paraId="2650BB92" w14:textId="77777777" w:rsidR="00413BEA" w:rsidRDefault="00E13203" w:rsidP="002439C8">
      <w:pPr>
        <w:tabs>
          <w:tab w:val="left" w:pos="10065"/>
        </w:tabs>
        <w:spacing w:line="276" w:lineRule="auto"/>
        <w:jc w:val="left"/>
      </w:pPr>
      <w:r>
        <w:t>T</w:t>
      </w:r>
      <w:r w:rsidR="0015020C" w:rsidRPr="000E3C66">
        <w:t xml:space="preserve">he </w:t>
      </w:r>
      <w:r w:rsidR="0059656A" w:rsidRPr="000E3C66">
        <w:t xml:space="preserve">observed </w:t>
      </w:r>
      <w:r w:rsidR="0015020C" w:rsidRPr="000E3C66">
        <w:t>increase</w:t>
      </w:r>
      <w:r w:rsidR="0059656A" w:rsidRPr="000E3C66">
        <w:t xml:space="preserve"> in pesticide levels</w:t>
      </w:r>
      <w:r w:rsidR="0015020C" w:rsidRPr="000E3C66">
        <w:t xml:space="preserve"> was highe</w:t>
      </w:r>
      <w:r w:rsidR="0059656A" w:rsidRPr="000E3C66">
        <w:t>st</w:t>
      </w:r>
      <w:r w:rsidR="0015020C" w:rsidRPr="000E3C66">
        <w:t xml:space="preserve"> for the northern Reef </w:t>
      </w:r>
      <w:r w:rsidR="00BF37D6">
        <w:t>basin</w:t>
      </w:r>
      <w:r w:rsidR="000E3C66" w:rsidRPr="000E3C66">
        <w:t xml:space="preserve">s, </w:t>
      </w:r>
      <w:r w:rsidR="00F4216B">
        <w:t xml:space="preserve">which may be the result of the </w:t>
      </w:r>
      <w:r w:rsidR="000E3C66" w:rsidRPr="000E3C66">
        <w:t xml:space="preserve">moderately increased river discharge </w:t>
      </w:r>
      <w:r w:rsidR="00F4216B">
        <w:t xml:space="preserve">delivering pesticide-rich water </w:t>
      </w:r>
      <w:r w:rsidR="00074785">
        <w:t>following three ‘dry’ years</w:t>
      </w:r>
      <w:r>
        <w:t xml:space="preserve"> (Wet Tropics) and five ‘dry’ years (Burdekin)</w:t>
      </w:r>
      <w:r w:rsidR="00074785">
        <w:t xml:space="preserve">. </w:t>
      </w:r>
      <w:r w:rsidR="00413BEA">
        <w:t xml:space="preserve">Nevertheless, risk assessment of mixtures at these sites returned only low or very low risks. </w:t>
      </w:r>
    </w:p>
    <w:p w14:paraId="0238A037" w14:textId="77777777" w:rsidR="00413BEA" w:rsidRDefault="00413BEA" w:rsidP="002439C8">
      <w:pPr>
        <w:tabs>
          <w:tab w:val="left" w:pos="10065"/>
        </w:tabs>
        <w:spacing w:line="276" w:lineRule="auto"/>
        <w:jc w:val="left"/>
      </w:pPr>
    </w:p>
    <w:p w14:paraId="51671F18" w14:textId="6904FAA9" w:rsidR="000E3C66" w:rsidRDefault="0054602F" w:rsidP="002439C8">
      <w:pPr>
        <w:tabs>
          <w:tab w:val="left" w:pos="10065"/>
        </w:tabs>
        <w:spacing w:line="276" w:lineRule="auto"/>
        <w:jc w:val="left"/>
      </w:pPr>
      <w:r>
        <w:t xml:space="preserve">In the southern Reef </w:t>
      </w:r>
      <w:r w:rsidR="00BF37D6">
        <w:t>basin</w:t>
      </w:r>
      <w:r>
        <w:t>s, t</w:t>
      </w:r>
      <w:r w:rsidR="0059656A" w:rsidRPr="000E3C66">
        <w:t xml:space="preserve">he </w:t>
      </w:r>
      <w:r w:rsidR="00E13203">
        <w:t xml:space="preserve">incomplete sampling records at the sites located in the Mackay Whitsundays (particularly at Repulse Bay, Round Top Island and Sandy Creek) makes comparison with the previous year </w:t>
      </w:r>
      <w:r w:rsidR="0059656A" w:rsidRPr="000E3C66">
        <w:t xml:space="preserve">wet season </w:t>
      </w:r>
      <w:r w:rsidR="00E13203">
        <w:t xml:space="preserve">less meaningful. </w:t>
      </w:r>
      <w:r>
        <w:t>Nonetheless, d</w:t>
      </w:r>
      <w:r w:rsidR="00E13203">
        <w:t xml:space="preserve">espite below average rainfall across </w:t>
      </w:r>
      <w:r w:rsidR="00F4216B">
        <w:t xml:space="preserve">much of </w:t>
      </w:r>
      <w:r w:rsidR="00E13203">
        <w:t xml:space="preserve">the </w:t>
      </w:r>
      <w:r>
        <w:t xml:space="preserve">Mackay Whitsunday </w:t>
      </w:r>
      <w:r w:rsidR="00E13203">
        <w:t>region during the wet season</w:t>
      </w:r>
      <w:r w:rsidR="00F4216B">
        <w:t>, the</w:t>
      </w:r>
      <w:r w:rsidR="0059656A" w:rsidRPr="000E3C66">
        <w:t xml:space="preserve"> </w:t>
      </w:r>
      <w:r w:rsidR="00F4216B">
        <w:t>observed</w:t>
      </w:r>
      <w:r w:rsidR="007F212B">
        <w:t xml:space="preserve"> inte</w:t>
      </w:r>
      <w:r w:rsidR="00FE3D0A">
        <w:t>grated</w:t>
      </w:r>
      <w:r w:rsidR="00F4216B">
        <w:t xml:space="preserve"> maximum </w:t>
      </w:r>
      <w:r w:rsidR="0059656A" w:rsidRPr="000E3C66">
        <w:t xml:space="preserve">levels of pesticides </w:t>
      </w:r>
      <w:r w:rsidR="00413BEA">
        <w:t>remained high</w:t>
      </w:r>
      <w:r w:rsidR="00F4216B">
        <w:t xml:space="preserve"> at </w:t>
      </w:r>
      <w:r>
        <w:t>Round Top Island</w:t>
      </w:r>
      <w:r w:rsidR="00220329">
        <w:t xml:space="preserve">, continuing </w:t>
      </w:r>
      <w:r w:rsidR="00413BEA">
        <w:t>from</w:t>
      </w:r>
      <w:r w:rsidR="00220329">
        <w:t xml:space="preserve"> the previous three monitoring years</w:t>
      </w:r>
      <w:r>
        <w:t xml:space="preserve">. </w:t>
      </w:r>
      <w:r w:rsidR="00220329">
        <w:t xml:space="preserve">The below median river discharge during this ‘dry’ year in these southern </w:t>
      </w:r>
      <w:r w:rsidR="00BF37D6">
        <w:t>basin</w:t>
      </w:r>
      <w:r w:rsidR="00220329">
        <w:t>s, likely resulted in a</w:t>
      </w:r>
      <w:r>
        <w:t xml:space="preserve"> reduction in the</w:t>
      </w:r>
      <w:r w:rsidR="00F4216B">
        <w:t xml:space="preserve"> </w:t>
      </w:r>
      <w:r w:rsidR="0059656A" w:rsidRPr="000E3C66">
        <w:t xml:space="preserve">dilution effects </w:t>
      </w:r>
      <w:r>
        <w:t xml:space="preserve">commonly </w:t>
      </w:r>
      <w:r w:rsidR="0059656A" w:rsidRPr="000E3C66">
        <w:t xml:space="preserve">associated with the large volumes of water during </w:t>
      </w:r>
      <w:r>
        <w:t>‘wet’ years</w:t>
      </w:r>
      <w:r w:rsidR="0059656A" w:rsidRPr="000E3C66">
        <w:t xml:space="preserve"> </w:t>
      </w:r>
      <w:r w:rsidR="00220329">
        <w:t xml:space="preserve">and </w:t>
      </w:r>
      <w:r>
        <w:t>may have contributed to the observed increase in pesticide levels at these sites</w:t>
      </w:r>
      <w:r w:rsidR="000E3C66" w:rsidRPr="000E3C66">
        <w:t>.</w:t>
      </w:r>
      <w:r w:rsidR="0059656A" w:rsidRPr="000E3C66">
        <w:t xml:space="preserve"> </w:t>
      </w:r>
    </w:p>
    <w:p w14:paraId="7C20AFA3" w14:textId="77777777" w:rsidR="00741943" w:rsidRDefault="00741943" w:rsidP="002439C8">
      <w:pPr>
        <w:tabs>
          <w:tab w:val="left" w:pos="10065"/>
        </w:tabs>
        <w:spacing w:line="276" w:lineRule="auto"/>
        <w:jc w:val="left"/>
      </w:pPr>
    </w:p>
    <w:p w14:paraId="0CFF01D8" w14:textId="77777777" w:rsidR="000F32C5" w:rsidRDefault="00741943" w:rsidP="002439C8">
      <w:pPr>
        <w:tabs>
          <w:tab w:val="left" w:pos="10065"/>
        </w:tabs>
        <w:spacing w:line="276" w:lineRule="auto"/>
        <w:jc w:val="left"/>
      </w:pPr>
      <w:r>
        <w:t>As suggested by the current year’s data, e</w:t>
      </w:r>
      <w:r w:rsidR="0021010D" w:rsidRPr="007178B0">
        <w:t>ven when complete monitoring data sets are available, i</w:t>
      </w:r>
      <w:r w:rsidR="00EA1B29" w:rsidRPr="007178B0">
        <w:t xml:space="preserve">t can </w:t>
      </w:r>
      <w:r w:rsidR="0021010D" w:rsidRPr="007178B0">
        <w:t xml:space="preserve">still </w:t>
      </w:r>
      <w:r w:rsidR="00EA1B29" w:rsidRPr="007178B0">
        <w:t xml:space="preserve">be </w:t>
      </w:r>
      <w:r w:rsidR="006B17D9" w:rsidRPr="007178B0">
        <w:t>challenging</w:t>
      </w:r>
      <w:r w:rsidR="00EA1B29" w:rsidRPr="007178B0">
        <w:t xml:space="preserve"> to elucidate </w:t>
      </w:r>
      <w:r w:rsidR="0021010D" w:rsidRPr="007178B0">
        <w:t xml:space="preserve">the reasons </w:t>
      </w:r>
      <w:r w:rsidR="006B17D9" w:rsidRPr="007178B0">
        <w:t>behind observed</w:t>
      </w:r>
      <w:r w:rsidR="0021010D" w:rsidRPr="007178B0">
        <w:t xml:space="preserve"> </w:t>
      </w:r>
      <w:r w:rsidR="00EA1B29" w:rsidRPr="007178B0">
        <w:t xml:space="preserve">trends </w:t>
      </w:r>
      <w:r w:rsidR="006B17D9" w:rsidRPr="007178B0">
        <w:t xml:space="preserve">in monitored offshore pesticide data, especially when changes to </w:t>
      </w:r>
      <w:r w:rsidR="002D48AF">
        <w:t xml:space="preserve">multiple </w:t>
      </w:r>
      <w:r w:rsidR="006B17D9" w:rsidRPr="007178B0">
        <w:t xml:space="preserve">pressures occur simultaneously. Whether a reduction in pesticide detections at offshore </w:t>
      </w:r>
      <w:r w:rsidR="00237998" w:rsidRPr="007178B0">
        <w:t xml:space="preserve">monitoring </w:t>
      </w:r>
      <w:r w:rsidR="006B17D9" w:rsidRPr="007178B0">
        <w:t xml:space="preserve">sites is due to, for example, climatic variabilities influencing pesticide transport potential from </w:t>
      </w:r>
      <w:r w:rsidR="00BF37D6">
        <w:t>basin</w:t>
      </w:r>
      <w:r w:rsidR="006B17D9" w:rsidRPr="007178B0">
        <w:t xml:space="preserve"> to Reef or better land management practices reducing pesticide usage and runoff, or both, requires a detailed understanding of all the factors driving these changes</w:t>
      </w:r>
      <w:r w:rsidR="00EA1B29" w:rsidRPr="007178B0">
        <w:t>. Quite often, the necessary data needed to interpret these changes (particularly pesticide usage and application rates) are either not available or only updated periodically. All these factors</w:t>
      </w:r>
      <w:r w:rsidR="00894618" w:rsidRPr="007178B0">
        <w:t xml:space="preserve">, as well as the </w:t>
      </w:r>
      <w:r w:rsidR="00CB7C97" w:rsidRPr="007178B0">
        <w:t>overall</w:t>
      </w:r>
      <w:r w:rsidR="00894618" w:rsidRPr="007178B0">
        <w:t xml:space="preserve"> small number of fixed passive sampling sites,</w:t>
      </w:r>
      <w:r w:rsidR="00EA1B29" w:rsidRPr="007178B0">
        <w:t xml:space="preserve"> make it difficult to quantitatively assess the link between improved land management </w:t>
      </w:r>
      <w:r w:rsidR="0056147F" w:rsidRPr="007178B0">
        <w:t>practices</w:t>
      </w:r>
      <w:r w:rsidR="00EA1B29" w:rsidRPr="007178B0">
        <w:t xml:space="preserve"> as a direct result of Reef </w:t>
      </w:r>
      <w:r w:rsidR="000F32C5">
        <w:t xml:space="preserve">2050 WQIP </w:t>
      </w:r>
      <w:r w:rsidR="00EA1B29" w:rsidRPr="007178B0">
        <w:t xml:space="preserve">initiatives and changes in </w:t>
      </w:r>
      <w:r w:rsidR="00163671" w:rsidRPr="007178B0">
        <w:t xml:space="preserve">nearshore marine </w:t>
      </w:r>
      <w:r w:rsidR="00EA1B29" w:rsidRPr="007178B0">
        <w:t>water quality.</w:t>
      </w:r>
      <w:r w:rsidR="006B667F" w:rsidRPr="007178B0">
        <w:t xml:space="preserve"> </w:t>
      </w:r>
    </w:p>
    <w:p w14:paraId="2DF6783D" w14:textId="77777777" w:rsidR="000F32C5" w:rsidRDefault="000F32C5" w:rsidP="002439C8">
      <w:pPr>
        <w:tabs>
          <w:tab w:val="left" w:pos="10065"/>
        </w:tabs>
        <w:spacing w:line="276" w:lineRule="auto"/>
        <w:jc w:val="left"/>
      </w:pPr>
    </w:p>
    <w:p w14:paraId="636F7B8C" w14:textId="77777777" w:rsidR="00EA1B29" w:rsidRPr="007178B0" w:rsidRDefault="00186F38" w:rsidP="002439C8">
      <w:pPr>
        <w:tabs>
          <w:tab w:val="left" w:pos="10065"/>
        </w:tabs>
        <w:spacing w:line="276" w:lineRule="auto"/>
        <w:jc w:val="left"/>
      </w:pPr>
      <w:r w:rsidRPr="007178B0">
        <w:t xml:space="preserve">Since pesticides are </w:t>
      </w:r>
      <w:r w:rsidR="002035F1" w:rsidRPr="007178B0">
        <w:t xml:space="preserve">principally </w:t>
      </w:r>
      <w:r w:rsidRPr="007178B0">
        <w:t xml:space="preserve">exported during </w:t>
      </w:r>
      <w:r w:rsidR="002035F1" w:rsidRPr="007178B0">
        <w:t>runoff</w:t>
      </w:r>
      <w:r w:rsidRPr="007178B0">
        <w:t xml:space="preserve"> events in the wet season, river discharge is expected to be a key driver of pesticide concentrations reaching offshore monitoring sites. To assess the </w:t>
      </w:r>
      <w:r w:rsidR="00CB6421">
        <w:t xml:space="preserve">ability of the monitoring program to trace the effectiveness </w:t>
      </w:r>
      <w:r w:rsidRPr="007178B0">
        <w:t xml:space="preserve">of Reef </w:t>
      </w:r>
      <w:r w:rsidR="00CB6421">
        <w:t>2050 WQIP</w:t>
      </w:r>
      <w:r w:rsidRPr="007178B0">
        <w:t>, a</w:t>
      </w:r>
      <w:r w:rsidR="004D01EA">
        <w:t xml:space="preserve"> statistical </w:t>
      </w:r>
      <w:r w:rsidR="00CB6421">
        <w:t>investigation of the data</w:t>
      </w:r>
      <w:r w:rsidR="0031303D" w:rsidRPr="007178B0">
        <w:t xml:space="preserve"> </w:t>
      </w:r>
      <w:r w:rsidR="00771CCE">
        <w:t>is proposed</w:t>
      </w:r>
      <w:r w:rsidR="006B667F" w:rsidRPr="007178B0">
        <w:t xml:space="preserve">. </w:t>
      </w:r>
    </w:p>
    <w:bookmarkEnd w:id="614"/>
    <w:p w14:paraId="46E39D53" w14:textId="77777777" w:rsidR="00597F4F" w:rsidRPr="000825F1" w:rsidRDefault="00597F4F" w:rsidP="002439C8">
      <w:pPr>
        <w:tabs>
          <w:tab w:val="left" w:pos="10065"/>
        </w:tabs>
        <w:spacing w:line="276" w:lineRule="auto"/>
        <w:jc w:val="left"/>
        <w:rPr>
          <w:color w:val="0070C0"/>
        </w:rPr>
      </w:pPr>
    </w:p>
    <w:p w14:paraId="25174F79" w14:textId="77777777" w:rsidR="00771CCE" w:rsidRDefault="0031303D" w:rsidP="002439C8">
      <w:pPr>
        <w:tabs>
          <w:tab w:val="left" w:pos="10065"/>
        </w:tabs>
        <w:spacing w:line="276" w:lineRule="auto"/>
        <w:jc w:val="left"/>
      </w:pPr>
      <w:bookmarkStart w:id="619" w:name="_Hlk509041019"/>
      <w:r w:rsidRPr="00741943">
        <w:rPr>
          <w:b/>
        </w:rPr>
        <w:t>PSII herbicide</w:t>
      </w:r>
      <w:r w:rsidR="00490905" w:rsidRPr="00741943">
        <w:rPr>
          <w:b/>
        </w:rPr>
        <w:t xml:space="preserve"> profiles</w:t>
      </w:r>
      <w:r w:rsidR="00490905" w:rsidRPr="00741943">
        <w:t xml:space="preserve"> </w:t>
      </w:r>
    </w:p>
    <w:p w14:paraId="0A509207" w14:textId="77777777" w:rsidR="005650A1" w:rsidRDefault="000F32C5" w:rsidP="002439C8">
      <w:pPr>
        <w:tabs>
          <w:tab w:val="left" w:pos="10065"/>
        </w:tabs>
        <w:spacing w:line="276" w:lineRule="auto"/>
        <w:jc w:val="left"/>
        <w:rPr>
          <w:lang w:val="en-AU" w:eastAsia="en-AU"/>
        </w:rPr>
      </w:pPr>
      <w:r>
        <w:t>Similar to</w:t>
      </w:r>
      <w:r w:rsidR="007E0EEA" w:rsidRPr="007255D5">
        <w:t xml:space="preserve"> previous monitoring years, diuron, atrazine and hexazinone were the most </w:t>
      </w:r>
      <w:r w:rsidR="007255D5" w:rsidRPr="007255D5">
        <w:t>consistently</w:t>
      </w:r>
      <w:r w:rsidR="007E0EEA" w:rsidRPr="007255D5">
        <w:t xml:space="preserve"> detected and abundant PSII herbicides </w:t>
      </w:r>
      <w:r w:rsidR="00766BAF" w:rsidRPr="007255D5">
        <w:t xml:space="preserve">at most sites </w:t>
      </w:r>
      <w:r w:rsidR="00C91BF5" w:rsidRPr="007255D5">
        <w:fldChar w:fldCharType="begin">
          <w:fldData xml:space="preserve">PEVuZE5vdGU+PENpdGU+PEF1dGhvcj5HYWxsZW48L0F1dGhvcj48WWVhcj4yMDE0PC9ZZWFyPjxS
ZWNOdW0+MzE8L1JlY051bT48RGlzcGxheVRleHQ+KEJlbnRsZXkgZXQgYWwuLCAyMDEyOyBHYWxs
ZW4gZXQgYWwuLCAyMDEzOyBHYWxsZW4gZXQgYWwuLCAyMDE0OyBHYWxsZW4gZXQgYWwuLCAyMDE2
OyBHcmFudCBldCBhbC4sIDIwMTc7IEtlbm5lZHkgZXQgYWwuLCAyMDEwOyBLZW5uZWR5IGV0IGFs
LiwgMjAxMik8L0Rpc3BsYXlUZXh0PjxyZWNvcmQ+PHJlYy1udW1iZXI+MzE8L3JlYy1udW1iZXI+
PGZvcmVpZ24ta2V5cz48a2V5IGFwcD0iRU4iIGRiLWlkPSJ4dHB2cHd6MHVmeGEybWU1dHY2djJw
cm4yZXo1cDlhdHN2dHIiIHRpbWVzdGFtcD0iMTUzOTE0NDk0MyI+MzE8L2tleT48L2ZvcmVpZ24t
a2V5cz48cmVmLXR5cGUgbmFtZT0iUmVwb3J0Ij4yNzwvcmVmLXR5cGU+PGNvbnRyaWJ1dG9ycz48
YXV0aG9ycz48YXV0aG9yPkdhbGxlbiwgQzwvYXV0aG9yPjxhdXRob3I+RGV2bGluLCBNPC9hdXRo
b3I+PGF1dGhvcj5UaG9tcHNvbiwgSzwvYXV0aG9yPjxhdXRob3I+UGF4bWFuLCBDPC9hdXRob3I+
PGF1dGhvcj5NdWVsbGVyLCBKPC9hdXRob3I+PC9hdXRob3JzPjwvY29udHJpYnV0b3JzPjx0aXRs
ZXM+PHRpdGxlPlBlc3RpY2lkZSBtb25pdG9yaW5nIGluIGluc2hvcmUgd2F0ZXJzIG9mIHRoZSBH
cmVhdCBCYXJyaWVyIFJlZWYgdXNpbmcgYm90aCB0aW1lLWludGVncmF0ZWQgYW5kIGV2ZW50IG1v
bml0b3JpbmcgdGVjaG5pcXVlcyAoMjAxMy0yMDE0KTwvdGl0bGU+PC90aXRsZXM+PGRhdGVzPjx5
ZWFyPjIwMTQ8L3llYXI+PC9kYXRlcz48cHViLWxvY2F0aW9uPlRoZSBVbml2ZXJzaXR5IG9mIFF1
ZWVuc2xhbmQsIFRoZSBOYXRpb25hbCBSZXNlYXJjaCBDZW50cmUgZm9yIEVudmlyb25tZW50YWwg
VG94aWNvbG9neSAoRW50b3gpPC9wdWItbG9jYXRpb24+PHVybHM+PC91cmxzPjwvcmVjb3JkPjwv
Q2l0ZT48Q2l0ZT48QXV0aG9yPkdhbGxlbjwvQXV0aG9yPjxZZWFyPjIwMTM8L1llYXI+PFJlY051
bT4zMDwvUmVjTnVtPjxyZWNvcmQ+PHJlYy1udW1iZXI+MzA8L3JlYy1udW1iZXI+PGZvcmVpZ24t
a2V5cz48a2V5IGFwcD0iRU4iIGRiLWlkPSJ4dHB2cHd6MHVmeGEybWU1dHY2djJwcm4yZXo1cDlh
dHN2dHIiIHRpbWVzdGFtcD0iMTUzOTE0NDk0MyI+MzA8L2tleT48L2ZvcmVpZ24ta2V5cz48cmVm
LXR5cGUgbmFtZT0iUmVwb3J0Ij4yNzwvcmVmLXR5cGU+PGNvbnRyaWJ1dG9ycz48YXV0aG9ycz48
YXV0aG9yPkdhbGxlbiwgQzwvYXV0aG9yPjxhdXRob3I+RGV2bGluLCBNPC9hdXRob3I+PGF1dGhv
cj5QYXhtYW4sIEM8L2F1dGhvcj48YXV0aG9yPkJhbmtzLCBBPC9hdXRob3I+PGF1dGhvcj5NdWVs
bGVyLCBKPC9hdXRob3I+PC9hdXRob3JzPjwvY29udHJpYnV0b3JzPjx0aXRsZXM+PHRpdGxlPlBl
c3RpY2lkZSBtb25pdG9yaW5nIGluIGluc2hvcmUgd2F0ZXJzIG9mIHRoZSBHcmVhdCBCYXJyaWVy
IFJlZWYgdXNpbmcgYm90aCB0aW1lLWludGVncmF0ZWQgYW5kIGV2ZW50IG1vbml0b3JpbmcgdGVj
aG5pcXVlcyAoMjAxMi0yMDEzKTwvdGl0bGU+PC90aXRsZXM+PGRhdGVzPjx5ZWFyPjIwMTM8L3ll
YXI+PC9kYXRlcz48cHViLWxvY2F0aW9uPlRoZSBVbml2ZXJzaXR5IG9mIFF1ZWVuc2xhbmQsIFRo
ZSBOYXRpb25hbCBSZXNlYXJjaCBDZW50cmUgZm9yIEVudmlyb25tZW50YWwgVG94aWNvbG9neSAo
RW50b3gpLjwvcHViLWxvY2F0aW9uPjx1cmxzPjwvdXJscz48L3JlY29yZD48L0NpdGU+PENpdGU+
PEF1dGhvcj5CZW50bGV5PC9BdXRob3I+PFllYXI+MjAxMjwvWWVhcj48UmVjTnVtPjU0PC9SZWNO
dW0+PHJlY29yZD48cmVjLW51bWJlcj41NDwvcmVjLW51bWJlcj48Zm9yZWlnbi1rZXlzPjxrZXkg
YXBwPSJFTiIgZGItaWQ9Inh0cHZwd3owdWZ4YTJtZTV0djZ2MnBybjJlejVwOWF0c3Z0ciIgdGlt
ZXN0YW1wPSIxNTM5MTQ0OTQ0Ij41NDwva2V5PjwvZm9yZWlnbi1rZXlzPjxyZWYtdHlwZSBuYW1l
PSJKb3VybmFsIEFydGljbGUiPjE3PC9yZWYtdHlwZT48Y29udHJpYnV0b3JzPjxhdXRob3JzPjxh
dXRob3I+QmVudGxleSwgQzwvYXV0aG9yPjxhdXRob3I+RGV2bGluLCBNPC9hdXRob3I+PGF1dGhv
cj5QYXhtYW4sIEM8L2F1dGhvcj48YXV0aG9yPkNodWUsIEtMPC9hdXRob3I+PGF1dGhvcj5NdWVs
bGVyLCBKPC9hdXRob3I+PC9hdXRob3JzPjwvY29udHJpYnV0b3JzPjx0aXRsZXM+PHRpdGxlPlBl
c3RpY2lkZSBtb25pdG9yaW5nIGluIGluc2hvcmUgd2F0ZXJzIG9mIHRoZSBHcmVhdCBCYXJyaWVy
IFJlZWYgdXNpbmcgYm90aCB0aW1lLWludGVncmF0ZWQgYW5kIGV2ZW50IG1vbml0b3JpbmcgdGVj
aG5pcXVlcyAoMjAxMS0yMDEyKTwvdGl0bGU+PC90aXRsZXM+PGRhdGVzPjx5ZWFyPjIwMTI8L3ll
YXI+PC9kYXRlcz48dXJscz48L3VybHM+PC9yZWNvcmQ+PC9DaXRlPjxDaXRlPjxBdXRob3I+S2Vu
bmVkeTwvQXV0aG9yPjxZZWFyPjIwMTA8L1llYXI+PFJlY051bT41NTwvUmVjTnVtPjxyZWNvcmQ+
PHJlYy1udW1iZXI+NTU8L3JlYy1udW1iZXI+PGZvcmVpZ24ta2V5cz48a2V5IGFwcD0iRU4iIGRi
LWlkPSJ4dHB2cHd6MHVmeGEybWU1dHY2djJwcm4yZXo1cDlhdHN2dHIiIHRpbWVzdGFtcD0iMTUz
OTE0NDk0NCI+NTU8L2tleT48L2ZvcmVpZ24ta2V5cz48cmVmLXR5cGUgbmFtZT0iSm91cm5hbCBB
cnRpY2xlIj4xNzwvcmVmLXR5cGU+PGNvbnRyaWJ1dG9ycz48YXV0aG9ycz48YXV0aG9yPktlbm5l
ZHksIEthcmVuPC9hdXRob3I+PGF1dGhvcj5CZW50bGV5LCBDaHJpc3RpZTwvYXV0aG9yPjxhdXRo
b3I+UGF4bWFuLCBDaHJpczwvYXV0aG9yPjxhdXRob3I+RHVubiwgQW5kcmV3PC9hdXRob3I+PGF1
dGhvcj5IZWZmZXJuYW4sIEFteTwvYXV0aG9yPjxhdXRob3I+S2FzZXJ6b24sIFNhcml0PC9hdXRo
b3I+PGF1dGhvcj5NdWVsbGVyLCBKb2NoZW48L2F1dGhvcj48L2F1dGhvcnM+PC9jb250cmlidXRv
cnM+PHRpdGxlcz48dGl0bGU+RmluYWwgUmVwb3J0LU1vbml0b3Jpbmcgb2Ygb3JnYW5pYyBjaGVt
aWNhbHMgaW4gdGhlIEdyZWF0IEJhcnJpZXIgUmVlZiBNYXJpbmUgUGFyayB1c2luZyB0aW1lIGlu
dGVncmF0ZWQgbW9uaXRvcmluZyB0b29scyAoMjAwOS0yMDEwKTwvdGl0bGU+PC90aXRsZXM+PGRh
dGVzPjx5ZWFyPjIwMTA8L3llYXI+PC9kYXRlcz48dXJscz48L3VybHM+PC9yZWNvcmQ+PC9DaXRl
PjxDaXRlPjxBdXRob3I+S2VubmVkeTwvQXV0aG9yPjxZZWFyPjIwMTI8L1llYXI+PFJlY051bT4y
OTwvUmVjTnVtPjxyZWNvcmQ+PHJlYy1udW1iZXI+Mjk8L3JlYy1udW1iZXI+PGZvcmVpZ24ta2V5
cz48a2V5IGFwcD0iRU4iIGRiLWlkPSJ4dHB2cHd6MHVmeGEybWU1dHY2djJwcm4yZXo1cDlhdHN2
dHIiIHRpbWVzdGFtcD0iMTUzOTE0NDk0MyI+Mjk8L2tleT48L2ZvcmVpZ24ta2V5cz48cmVmLXR5
cGUgbmFtZT0iUmVwb3J0Ij4yNzwvcmVmLXR5cGU+PGNvbnRyaWJ1dG9ycz48YXV0aG9ycz48YXV0
aG9yPktlbm5lZHksIEthcmVuPC9hdXRob3I+PGF1dGhvcj5EZXZsaW4sIE08L2F1dGhvcj48YXV0
aG9yPkJlbnRsZXksIEM8L2F1dGhvcj48YXV0aG9yPlBheG1hbiwgQzwvYXV0aG9yPjxhdXRob3I+
Q2h1ZSwgS0w8L2F1dGhvcj48YXV0aG9yPk11ZWxsZXIsIEo8L2F1dGhvcj48L2F1dGhvcnM+PC9j
b250cmlidXRvcnM+PHRpdGxlcz48dGl0bGU+UGVzdGljaWRlIG1vbml0b3JpbmcgaW4gaW5zaG9y
ZSB3YXRlcnMgb2YgdGhlIEdyZWF0IEJhcnJpZXIgUmVlZiB1c2luZyBib3RoIHRpbWUtaW50ZWdy
YXRlZCBhbmQgZXZlbnQgbW9uaXRvcmluZyB0ZWNobmlxdWVzICgyMDEwLTIwMTEpPC90aXRsZT48
L3RpdGxlcz48ZGF0ZXM+PHllYXI+MjAxMjwveWVhcj48L2RhdGVzPjxwdWItbG9jYXRpb24+VGhl
IFVuaXZlcnNpdHkgb2YgUXVlZW5zbGFuZCwgVGhlIE5hdGlvbmFsIFJlc2VhcmNoIENlbnRyZSBm
b3IgRW52aXJvbm1lbnRhbCBUb3hpY29sb2d5IChFbnRveCk8L3B1Yi1sb2NhdGlvbj48dXJscz48
L3VybHM+PC9yZWNvcmQ+PC9DaXRlPjxDaXRlPjxBdXRob3I+R2FsbGVuPC9BdXRob3I+PFllYXI+
MjAxNjwvWWVhcj48UmVjTnVtPjMyPC9SZWNOdW0+PHJlY29yZD48cmVjLW51bWJlcj4zMjwvcmVj
LW51bWJlcj48Zm9yZWlnbi1rZXlzPjxrZXkgYXBwPSJFTiIgZGItaWQ9Inh0cHZwd3owdWZ4YTJt
ZTV0djZ2MnBybjJlejVwOWF0c3Z0ciIgdGltZXN0YW1wPSIxNTM5MTQ0OTQzIj4zMjwva2V5Pjwv
Zm9yZWlnbi1rZXlzPjxyZWYtdHlwZSBuYW1lPSJSZXBvcnQiPjI3PC9yZWYtdHlwZT48Y29udHJp
YnV0b3JzPjxhdXRob3JzPjxhdXRob3I+R2FsbGVuLCBDLjwvYXV0aG9yPjxhdXRob3I+VGhvbXBz
b24sIEsuPC9hdXRob3I+PGF1dGhvcj5QYXhtYW4sIEMuPC9hdXRob3I+PGF1dGhvcj5EZXZsaW4s
IE0uPC9hdXRob3I+PGF1dGhvcj5NdWVsbGVyLCBKLjwvYXV0aG9yPjwvYXV0aG9ycz48L2NvbnRy
aWJ1dG9ycz48dGl0bGVzPjx0aXRsZT5NYXJpbmUgTW9uaXRvcmluZyBQcm9ncmFtLiAgQW5udWFs
IFJlcG9ydCBmb3IgaW5zaG9yZSBwZXN0aWNpZGUgbW9uaXRvcmluZzogMjAxNCB0byAyMDE1LiBS
ZXBvcnQgZm9yIHRoZSBHcmVhdCBCYXJyaWVyIFJlZWYgTWFyaW5lIFBhcmsgQXV0aG9yaXR5PC90
aXRsZT48L3RpdGxlcz48ZGF0ZXM+PHllYXI+MjAxNjwveWVhcj48L2RhdGVzPjxwdWJsaXNoZXI+
VGhlIFVuaXZlcnNpdHkgb2YgUXVlZW5zbGFuZCwgVGhlIE5hdGlvbmFsIFJlc2VhcmNoIENlbnRy
ZSBmb3IgRW52aXJvbm1lbnRhbCBUb3hpY29sb2d5IChFbnRveCksIEJyaXNiYW5lPC9wdWJsaXNo
ZXI+PHVybHM+PC91cmxzPjwvcmVjb3JkPjwvQ2l0ZT48Q2l0ZT48QXV0aG9yPkdyYW50PC9BdXRo
b3I+PFllYXI+MjAxNzwvWWVhcj48UmVjTnVtPjMzPC9SZWNOdW0+PHJlY29yZD48cmVjLW51bWJl
cj4zMzwvcmVjLW51bWJlcj48Zm9yZWlnbi1rZXlzPjxrZXkgYXBwPSJFTiIgZGItaWQ9Inh0cHZw
d3owdWZ4YTJtZTV0djZ2MnBybjJlejVwOWF0c3Z0ciIgdGltZXN0YW1wPSIxNTM5MTQ0OTQzIj4z
Mzwva2V5PjwvZm9yZWlnbi1rZXlzPjxyZWYtdHlwZSBuYW1lPSJSZXBvcnQiPjI3PC9yZWYtdHlw
ZT48Y29udHJpYnV0b3JzPjxhdXRob3JzPjxhdXRob3I+R3JhbnQsIFMuPC9hdXRob3I+PGF1dGhv
cj5HYWxsZW4sIEMuPC9hdXRob3I+PGF1dGhvcj5UaG9tcHNvbiwgSy48L2F1dGhvcj48YXV0aG9y
PlBheG1hbiwgQy48L2F1dGhvcj48YXV0aG9yPlRyYWNleSwgRC48L2F1dGhvcj48YXV0aG9yPk11
ZWxsZXIsIEouPC9hdXRob3I+PC9hdXRob3JzPjwvY29udHJpYnV0b3JzPjx0aXRsZXM+PHRpdGxl
Pk1hcmluZSBNb25pdG9yaW5nIFByb2dyYW0uICBBbm51YWwgUmVwb3J0IGZvciBpbnNob3JlIHBl
c3RpY2lkZSBtb25pdG9yaW5nOiAyMDE1LTIwMTYuIFJlcG9ydCBmb3IgdGhlIEdyZWF0IEJhcnJp
ZXIgUmVlZiBNYXJpbmUgUGFyayBBdXRob3JpdHk8L3RpdGxlPjwvdGl0bGVzPjxwYWdlcz5wcCAx
Mjc8L3BhZ2VzPjxkYXRlcz48eWVhcj4yMDE3PC95ZWFyPjwvZGF0ZXM+PHB1Ymxpc2hlcj5HcmVh
dCBCYXJyaWVyIFJlZWYgTWFyaW5lIFBhcmsgQXV0aG9yaXR5LCBUb3duc3ZpbGxlPC9wdWJsaXNo
ZXI+PHVybHM+PC91cmxzPjwvcmVjb3JkPjwvQ2l0ZT48L0VuZE5vdGU+
</w:fldData>
        </w:fldChar>
      </w:r>
      <w:r w:rsidR="002D0872">
        <w:instrText xml:space="preserve"> ADDIN EN.CITE </w:instrText>
      </w:r>
      <w:r w:rsidR="002D0872">
        <w:fldChar w:fldCharType="begin">
          <w:fldData xml:space="preserve">PEVuZE5vdGU+PENpdGU+PEF1dGhvcj5HYWxsZW48L0F1dGhvcj48WWVhcj4yMDE0PC9ZZWFyPjxS
ZWNOdW0+MzE8L1JlY051bT48RGlzcGxheVRleHQ+KEJlbnRsZXkgZXQgYWwuLCAyMDEyOyBHYWxs
ZW4gZXQgYWwuLCAyMDEzOyBHYWxsZW4gZXQgYWwuLCAyMDE0OyBHYWxsZW4gZXQgYWwuLCAyMDE2
OyBHcmFudCBldCBhbC4sIDIwMTc7IEtlbm5lZHkgZXQgYWwuLCAyMDEwOyBLZW5uZWR5IGV0IGFs
LiwgMjAxMik8L0Rpc3BsYXlUZXh0PjxyZWNvcmQ+PHJlYy1udW1iZXI+MzE8L3JlYy1udW1iZXI+
PGZvcmVpZ24ta2V5cz48a2V5IGFwcD0iRU4iIGRiLWlkPSJ4dHB2cHd6MHVmeGEybWU1dHY2djJw
cm4yZXo1cDlhdHN2dHIiIHRpbWVzdGFtcD0iMTUzOTE0NDk0MyI+MzE8L2tleT48L2ZvcmVpZ24t
a2V5cz48cmVmLXR5cGUgbmFtZT0iUmVwb3J0Ij4yNzwvcmVmLXR5cGU+PGNvbnRyaWJ1dG9ycz48
YXV0aG9ycz48YXV0aG9yPkdhbGxlbiwgQzwvYXV0aG9yPjxhdXRob3I+RGV2bGluLCBNPC9hdXRo
b3I+PGF1dGhvcj5UaG9tcHNvbiwgSzwvYXV0aG9yPjxhdXRob3I+UGF4bWFuLCBDPC9hdXRob3I+
PGF1dGhvcj5NdWVsbGVyLCBKPC9hdXRob3I+PC9hdXRob3JzPjwvY29udHJpYnV0b3JzPjx0aXRs
ZXM+PHRpdGxlPlBlc3RpY2lkZSBtb25pdG9yaW5nIGluIGluc2hvcmUgd2F0ZXJzIG9mIHRoZSBH
cmVhdCBCYXJyaWVyIFJlZWYgdXNpbmcgYm90aCB0aW1lLWludGVncmF0ZWQgYW5kIGV2ZW50IG1v
bml0b3JpbmcgdGVjaG5pcXVlcyAoMjAxMy0yMDE0KTwvdGl0bGU+PC90aXRsZXM+PGRhdGVzPjx5
ZWFyPjIwMTQ8L3llYXI+PC9kYXRlcz48cHViLWxvY2F0aW9uPlRoZSBVbml2ZXJzaXR5IG9mIFF1
ZWVuc2xhbmQsIFRoZSBOYXRpb25hbCBSZXNlYXJjaCBDZW50cmUgZm9yIEVudmlyb25tZW50YWwg
VG94aWNvbG9neSAoRW50b3gpPC9wdWItbG9jYXRpb24+PHVybHM+PC91cmxzPjwvcmVjb3JkPjwv
Q2l0ZT48Q2l0ZT48QXV0aG9yPkdhbGxlbjwvQXV0aG9yPjxZZWFyPjIwMTM8L1llYXI+PFJlY051
bT4zMDwvUmVjTnVtPjxyZWNvcmQ+PHJlYy1udW1iZXI+MzA8L3JlYy1udW1iZXI+PGZvcmVpZ24t
a2V5cz48a2V5IGFwcD0iRU4iIGRiLWlkPSJ4dHB2cHd6MHVmeGEybWU1dHY2djJwcm4yZXo1cDlh
dHN2dHIiIHRpbWVzdGFtcD0iMTUzOTE0NDk0MyI+MzA8L2tleT48L2ZvcmVpZ24ta2V5cz48cmVm
LXR5cGUgbmFtZT0iUmVwb3J0Ij4yNzwvcmVmLXR5cGU+PGNvbnRyaWJ1dG9ycz48YXV0aG9ycz48
YXV0aG9yPkdhbGxlbiwgQzwvYXV0aG9yPjxhdXRob3I+RGV2bGluLCBNPC9hdXRob3I+PGF1dGhv
cj5QYXhtYW4sIEM8L2F1dGhvcj48YXV0aG9yPkJhbmtzLCBBPC9hdXRob3I+PGF1dGhvcj5NdWVs
bGVyLCBKPC9hdXRob3I+PC9hdXRob3JzPjwvY29udHJpYnV0b3JzPjx0aXRsZXM+PHRpdGxlPlBl
c3RpY2lkZSBtb25pdG9yaW5nIGluIGluc2hvcmUgd2F0ZXJzIG9mIHRoZSBHcmVhdCBCYXJyaWVy
IFJlZWYgdXNpbmcgYm90aCB0aW1lLWludGVncmF0ZWQgYW5kIGV2ZW50IG1vbml0b3JpbmcgdGVj
aG5pcXVlcyAoMjAxMi0yMDEzKTwvdGl0bGU+PC90aXRsZXM+PGRhdGVzPjx5ZWFyPjIwMTM8L3ll
YXI+PC9kYXRlcz48cHViLWxvY2F0aW9uPlRoZSBVbml2ZXJzaXR5IG9mIFF1ZWVuc2xhbmQsIFRo
ZSBOYXRpb25hbCBSZXNlYXJjaCBDZW50cmUgZm9yIEVudmlyb25tZW50YWwgVG94aWNvbG9neSAo
RW50b3gpLjwvcHViLWxvY2F0aW9uPjx1cmxzPjwvdXJscz48L3JlY29yZD48L0NpdGU+PENpdGU+
PEF1dGhvcj5CZW50bGV5PC9BdXRob3I+PFllYXI+MjAxMjwvWWVhcj48UmVjTnVtPjU0PC9SZWNO
dW0+PHJlY29yZD48cmVjLW51bWJlcj41NDwvcmVjLW51bWJlcj48Zm9yZWlnbi1rZXlzPjxrZXkg
YXBwPSJFTiIgZGItaWQ9Inh0cHZwd3owdWZ4YTJtZTV0djZ2MnBybjJlejVwOWF0c3Z0ciIgdGlt
ZXN0YW1wPSIxNTM5MTQ0OTQ0Ij41NDwva2V5PjwvZm9yZWlnbi1rZXlzPjxyZWYtdHlwZSBuYW1l
PSJKb3VybmFsIEFydGljbGUiPjE3PC9yZWYtdHlwZT48Y29udHJpYnV0b3JzPjxhdXRob3JzPjxh
dXRob3I+QmVudGxleSwgQzwvYXV0aG9yPjxhdXRob3I+RGV2bGluLCBNPC9hdXRob3I+PGF1dGhv
cj5QYXhtYW4sIEM8L2F1dGhvcj48YXV0aG9yPkNodWUsIEtMPC9hdXRob3I+PGF1dGhvcj5NdWVs
bGVyLCBKPC9hdXRob3I+PC9hdXRob3JzPjwvY29udHJpYnV0b3JzPjx0aXRsZXM+PHRpdGxlPlBl
c3RpY2lkZSBtb25pdG9yaW5nIGluIGluc2hvcmUgd2F0ZXJzIG9mIHRoZSBHcmVhdCBCYXJyaWVy
IFJlZWYgdXNpbmcgYm90aCB0aW1lLWludGVncmF0ZWQgYW5kIGV2ZW50IG1vbml0b3JpbmcgdGVj
aG5pcXVlcyAoMjAxMS0yMDEyKTwvdGl0bGU+PC90aXRsZXM+PGRhdGVzPjx5ZWFyPjIwMTI8L3ll
YXI+PC9kYXRlcz48dXJscz48L3VybHM+PC9yZWNvcmQ+PC9DaXRlPjxDaXRlPjxBdXRob3I+S2Vu
bmVkeTwvQXV0aG9yPjxZZWFyPjIwMTA8L1llYXI+PFJlY051bT41NTwvUmVjTnVtPjxyZWNvcmQ+
PHJlYy1udW1iZXI+NTU8L3JlYy1udW1iZXI+PGZvcmVpZ24ta2V5cz48a2V5IGFwcD0iRU4iIGRi
LWlkPSJ4dHB2cHd6MHVmeGEybWU1dHY2djJwcm4yZXo1cDlhdHN2dHIiIHRpbWVzdGFtcD0iMTUz
OTE0NDk0NCI+NTU8L2tleT48L2ZvcmVpZ24ta2V5cz48cmVmLXR5cGUgbmFtZT0iSm91cm5hbCBB
cnRpY2xlIj4xNzwvcmVmLXR5cGU+PGNvbnRyaWJ1dG9ycz48YXV0aG9ycz48YXV0aG9yPktlbm5l
ZHksIEthcmVuPC9hdXRob3I+PGF1dGhvcj5CZW50bGV5LCBDaHJpc3RpZTwvYXV0aG9yPjxhdXRo
b3I+UGF4bWFuLCBDaHJpczwvYXV0aG9yPjxhdXRob3I+RHVubiwgQW5kcmV3PC9hdXRob3I+PGF1
dGhvcj5IZWZmZXJuYW4sIEFteTwvYXV0aG9yPjxhdXRob3I+S2FzZXJ6b24sIFNhcml0PC9hdXRo
b3I+PGF1dGhvcj5NdWVsbGVyLCBKb2NoZW48L2F1dGhvcj48L2F1dGhvcnM+PC9jb250cmlidXRv
cnM+PHRpdGxlcz48dGl0bGU+RmluYWwgUmVwb3J0LU1vbml0b3Jpbmcgb2Ygb3JnYW5pYyBjaGVt
aWNhbHMgaW4gdGhlIEdyZWF0IEJhcnJpZXIgUmVlZiBNYXJpbmUgUGFyayB1c2luZyB0aW1lIGlu
dGVncmF0ZWQgbW9uaXRvcmluZyB0b29scyAoMjAwOS0yMDEwKTwvdGl0bGU+PC90aXRsZXM+PGRh
dGVzPjx5ZWFyPjIwMTA8L3llYXI+PC9kYXRlcz48dXJscz48L3VybHM+PC9yZWNvcmQ+PC9DaXRl
PjxDaXRlPjxBdXRob3I+S2VubmVkeTwvQXV0aG9yPjxZZWFyPjIwMTI8L1llYXI+PFJlY051bT4y
OTwvUmVjTnVtPjxyZWNvcmQ+PHJlYy1udW1iZXI+Mjk8L3JlYy1udW1iZXI+PGZvcmVpZ24ta2V5
cz48a2V5IGFwcD0iRU4iIGRiLWlkPSJ4dHB2cHd6MHVmeGEybWU1dHY2djJwcm4yZXo1cDlhdHN2
dHIiIHRpbWVzdGFtcD0iMTUzOTE0NDk0MyI+Mjk8L2tleT48L2ZvcmVpZ24ta2V5cz48cmVmLXR5
cGUgbmFtZT0iUmVwb3J0Ij4yNzwvcmVmLXR5cGU+PGNvbnRyaWJ1dG9ycz48YXV0aG9ycz48YXV0
aG9yPktlbm5lZHksIEthcmVuPC9hdXRob3I+PGF1dGhvcj5EZXZsaW4sIE08L2F1dGhvcj48YXV0
aG9yPkJlbnRsZXksIEM8L2F1dGhvcj48YXV0aG9yPlBheG1hbiwgQzwvYXV0aG9yPjxhdXRob3I+
Q2h1ZSwgS0w8L2F1dGhvcj48YXV0aG9yPk11ZWxsZXIsIEo8L2F1dGhvcj48L2F1dGhvcnM+PC9j
b250cmlidXRvcnM+PHRpdGxlcz48dGl0bGU+UGVzdGljaWRlIG1vbml0b3JpbmcgaW4gaW5zaG9y
ZSB3YXRlcnMgb2YgdGhlIEdyZWF0IEJhcnJpZXIgUmVlZiB1c2luZyBib3RoIHRpbWUtaW50ZWdy
YXRlZCBhbmQgZXZlbnQgbW9uaXRvcmluZyB0ZWNobmlxdWVzICgyMDEwLTIwMTEpPC90aXRsZT48
L3RpdGxlcz48ZGF0ZXM+PHllYXI+MjAxMjwveWVhcj48L2RhdGVzPjxwdWItbG9jYXRpb24+VGhl
IFVuaXZlcnNpdHkgb2YgUXVlZW5zbGFuZCwgVGhlIE5hdGlvbmFsIFJlc2VhcmNoIENlbnRyZSBm
b3IgRW52aXJvbm1lbnRhbCBUb3hpY29sb2d5IChFbnRveCk8L3B1Yi1sb2NhdGlvbj48dXJscz48
L3VybHM+PC9yZWNvcmQ+PC9DaXRlPjxDaXRlPjxBdXRob3I+R2FsbGVuPC9BdXRob3I+PFllYXI+
MjAxNjwvWWVhcj48UmVjTnVtPjMyPC9SZWNOdW0+PHJlY29yZD48cmVjLW51bWJlcj4zMjwvcmVj
LW51bWJlcj48Zm9yZWlnbi1rZXlzPjxrZXkgYXBwPSJFTiIgZGItaWQ9Inh0cHZwd3owdWZ4YTJt
ZTV0djZ2MnBybjJlejVwOWF0c3Z0ciIgdGltZXN0YW1wPSIxNTM5MTQ0OTQzIj4zMjwva2V5Pjwv
Zm9yZWlnbi1rZXlzPjxyZWYtdHlwZSBuYW1lPSJSZXBvcnQiPjI3PC9yZWYtdHlwZT48Y29udHJp
YnV0b3JzPjxhdXRob3JzPjxhdXRob3I+R2FsbGVuLCBDLjwvYXV0aG9yPjxhdXRob3I+VGhvbXBz
b24sIEsuPC9hdXRob3I+PGF1dGhvcj5QYXhtYW4sIEMuPC9hdXRob3I+PGF1dGhvcj5EZXZsaW4s
IE0uPC9hdXRob3I+PGF1dGhvcj5NdWVsbGVyLCBKLjwvYXV0aG9yPjwvYXV0aG9ycz48L2NvbnRy
aWJ1dG9ycz48dGl0bGVzPjx0aXRsZT5NYXJpbmUgTW9uaXRvcmluZyBQcm9ncmFtLiAgQW5udWFs
IFJlcG9ydCBmb3IgaW5zaG9yZSBwZXN0aWNpZGUgbW9uaXRvcmluZzogMjAxNCB0byAyMDE1LiBS
ZXBvcnQgZm9yIHRoZSBHcmVhdCBCYXJyaWVyIFJlZWYgTWFyaW5lIFBhcmsgQXV0aG9yaXR5PC90
aXRsZT48L3RpdGxlcz48ZGF0ZXM+PHllYXI+MjAxNjwveWVhcj48L2RhdGVzPjxwdWJsaXNoZXI+
VGhlIFVuaXZlcnNpdHkgb2YgUXVlZW5zbGFuZCwgVGhlIE5hdGlvbmFsIFJlc2VhcmNoIENlbnRy
ZSBmb3IgRW52aXJvbm1lbnRhbCBUb3hpY29sb2d5IChFbnRveCksIEJyaXNiYW5lPC9wdWJsaXNo
ZXI+PHVybHM+PC91cmxzPjwvcmVjb3JkPjwvQ2l0ZT48Q2l0ZT48QXV0aG9yPkdyYW50PC9BdXRo
b3I+PFllYXI+MjAxNzwvWWVhcj48UmVjTnVtPjMzPC9SZWNOdW0+PHJlY29yZD48cmVjLW51bWJl
cj4zMzwvcmVjLW51bWJlcj48Zm9yZWlnbi1rZXlzPjxrZXkgYXBwPSJFTiIgZGItaWQ9Inh0cHZw
d3owdWZ4YTJtZTV0djZ2MnBybjJlejVwOWF0c3Z0ciIgdGltZXN0YW1wPSIxNTM5MTQ0OTQzIj4z
Mzwva2V5PjwvZm9yZWlnbi1rZXlzPjxyZWYtdHlwZSBuYW1lPSJSZXBvcnQiPjI3PC9yZWYtdHlw
ZT48Y29udHJpYnV0b3JzPjxhdXRob3JzPjxhdXRob3I+R3JhbnQsIFMuPC9hdXRob3I+PGF1dGhv
cj5HYWxsZW4sIEMuPC9hdXRob3I+PGF1dGhvcj5UaG9tcHNvbiwgSy48L2F1dGhvcj48YXV0aG9y
PlBheG1hbiwgQy48L2F1dGhvcj48YXV0aG9yPlRyYWNleSwgRC48L2F1dGhvcj48YXV0aG9yPk11
ZWxsZXIsIEouPC9hdXRob3I+PC9hdXRob3JzPjwvY29udHJpYnV0b3JzPjx0aXRsZXM+PHRpdGxl
Pk1hcmluZSBNb25pdG9yaW5nIFByb2dyYW0uICBBbm51YWwgUmVwb3J0IGZvciBpbnNob3JlIHBl
c3RpY2lkZSBtb25pdG9yaW5nOiAyMDE1LTIwMTYuIFJlcG9ydCBmb3IgdGhlIEdyZWF0IEJhcnJp
ZXIgUmVlZiBNYXJpbmUgUGFyayBBdXRob3JpdHk8L3RpdGxlPjwvdGl0bGVzPjxwYWdlcz5wcCAx
Mjc8L3BhZ2VzPjxkYXRlcz48eWVhcj4yMDE3PC95ZWFyPjwvZGF0ZXM+PHB1Ymxpc2hlcj5HcmVh
dCBCYXJyaWVyIFJlZWYgTWFyaW5lIFBhcmsgQXV0aG9yaXR5LCBUb3duc3ZpbGxlPC9wdWJsaXNo
ZXI+PHVybHM+PC91cmxzPjwvcmVjb3JkPjwvQ2l0ZT48L0VuZE5vdGU+
</w:fldData>
        </w:fldChar>
      </w:r>
      <w:r w:rsidR="002D0872">
        <w:instrText xml:space="preserve"> ADDIN EN.CITE.DATA </w:instrText>
      </w:r>
      <w:r w:rsidR="002D0872">
        <w:fldChar w:fldCharType="end"/>
      </w:r>
      <w:r w:rsidR="00C91BF5" w:rsidRPr="007255D5">
        <w:fldChar w:fldCharType="separate"/>
      </w:r>
      <w:r w:rsidR="002D0872">
        <w:rPr>
          <w:noProof/>
        </w:rPr>
        <w:t>(Bentley et al., 2012; Gallen et al., 2013; Gallen et al., 2014; Gallen et al., 2016; Grant et al., 2017; Kennedy et al., 2010; Kennedy et al., 2012)</w:t>
      </w:r>
      <w:r w:rsidR="00C91BF5" w:rsidRPr="007255D5">
        <w:fldChar w:fldCharType="end"/>
      </w:r>
      <w:r w:rsidR="007E0EEA" w:rsidRPr="007255D5">
        <w:t xml:space="preserve">. </w:t>
      </w:r>
      <w:r w:rsidR="00597F4F" w:rsidRPr="007255D5">
        <w:rPr>
          <w:lang w:val="en-AU" w:eastAsia="en-AU"/>
        </w:rPr>
        <w:t xml:space="preserve">These herbicide residues </w:t>
      </w:r>
      <w:r w:rsidR="003A5429" w:rsidRPr="007255D5">
        <w:rPr>
          <w:lang w:val="en-AU" w:eastAsia="en-AU"/>
        </w:rPr>
        <w:t xml:space="preserve">reflect land-use </w:t>
      </w:r>
      <w:r w:rsidR="00597F4F" w:rsidRPr="007255D5">
        <w:rPr>
          <w:lang w:val="en-AU" w:eastAsia="en-AU"/>
        </w:rPr>
        <w:t xml:space="preserve">applications primarily in the sugar cane, horticulture and grain cropping industries </w:t>
      </w:r>
      <w:r w:rsidR="00C91BF5" w:rsidRPr="007255D5">
        <w:rPr>
          <w:lang w:val="en-AU" w:eastAsia="en-AU"/>
        </w:rPr>
        <w:fldChar w:fldCharType="begin">
          <w:fldData xml:space="preserve">PEVuZE5vdGU+PENpdGU+PEF1dGhvcj5CYWluYnJpZGdlPC9BdXRob3I+PFllYXI+MjAwOTwvWWVh
cj48UmVjTnVtPjU2PC9SZWNOdW0+PERpc3BsYXlUZXh0PihCYWluYnJpZGdlIGV0IGFsLiwgMjAw
OTsgRGV2bGluIGV0IGFsLiwgMjAxNTsgS3Jvb24gZXQgYWwuLCAyMDEzOyBMZXdpcyBldCBhbC4s
IDIwMDkpPC9EaXNwbGF5VGV4dD48cmVjb3JkPjxyZWMtbnVtYmVyPjU2PC9yZWMtbnVtYmVyPjxm
b3JlaWduLWtleXM+PGtleSBhcHA9IkVOIiBkYi1pZD0ieHRwdnB3ejB1ZnhhMm1lNXR2NnYycHJu
MmV6NXA5YXRzdnRyIiB0aW1lc3RhbXA9IjE1MzkxNDQ5NDQiPjU2PC9rZXk+PC9mb3JlaWduLWtl
eXM+PHJlZi10eXBlIG5hbWU9IkpvdXJuYWwgQXJ0aWNsZSI+MTc8L3JlZi10eXBlPjxjb250cmli
dXRvcnM+PGF1dGhvcnM+PGF1dGhvcj5CYWluYnJpZGdlLCBab2UgVDwvYXV0aG9yPjxhdXRob3I+
QnJvZGllLCBKb24gRTwvYXV0aG9yPjxhdXRob3I+RmFpdGhmdWwsIEpvaG4gVzwvYXV0aG9yPjxh
dXRob3I+U3lkZXMsIERhbW9uIEE8L2F1dGhvcj48YXV0aG9yPkxld2lzLCBTdGVwaGVuIEU8L2F1
dGhvcj48L2F1dGhvcnM+PC9jb250cmlidXRvcnM+PHRpdGxlcz48dGl0bGU+SWRlbnRpZnlpbmcg
dGhlIGxhbmQtYmFzZWQgc291cmNlcyBvZiBzdXNwZW5kZWQgc2VkaW1lbnRzLCBudXRyaWVudHMg
YW5kIHBlc3RpY2lkZXMgZGlzY2hhcmdlZCB0byB0aGUgR3JlYXQgQmFycmllciBSZWVmIGZyb20g
dGhlIFR1bGx54oCTTXVycmF5IEJhc2luLCBRdWVlbnNsYW5kLCBBdXN0cmFsaWE8L3RpdGxlPjxz
ZWNvbmRhcnktdGl0bGU+TWFyaW5lIGFuZCBGcmVzaHdhdGVyIFJlc2VhcmNoPC9zZWNvbmRhcnkt
dGl0bGU+PC90aXRsZXM+PHBlcmlvZGljYWw+PGZ1bGwtdGl0bGU+TWFyaW5lIGFuZCBGcmVzaHdh
dGVyIFJlc2VhcmNoPC9mdWxsLXRpdGxlPjwvcGVyaW9kaWNhbD48cGFnZXM+MTA4MS0xMDkwPC9w
YWdlcz48dm9sdW1lPjYwPC92b2x1bWU+PG51bWJlcj4xMTwvbnVtYmVyPjxkYXRlcz48eWVhcj4y
MDA5PC95ZWFyPjwvZGF0ZXM+PGlzYm4+MTQ0OC02MDU5PC9pc2JuPjx1cmxzPjwvdXJscz48L3Jl
Y29yZD48L0NpdGU+PENpdGU+PEF1dGhvcj5EZXZsaW48L0F1dGhvcj48WWVhcj4yMDE1PC9ZZWFy
PjxSZWNOdW0+MTY8L1JlY051bT48cmVjb3JkPjxyZWMtbnVtYmVyPjE2PC9yZWMtbnVtYmVyPjxm
b3JlaWduLWtleXM+PGtleSBhcHA9IkVOIiBkYi1pZD0ieHRwdnB3ejB1ZnhhMm1lNXR2NnYycHJu
MmV6NXA5YXRzdnRyIiB0aW1lc3RhbXA9IjE1MzkxNDQ5NDMiPjE2PC9rZXk+PC9mb3JlaWduLWtl
eXM+PHJlZi10eXBlIG5hbWU9IlJlcG9ydCI+Mjc8L3JlZi10eXBlPjxjb250cmlidXRvcnM+PGF1
dGhvcnM+PGF1dGhvcj5EZXZsaW4sIE0uPC9hdXRob3I+PGF1dGhvcj5MZXdpcywgUy48L2F1dGhv
cj48YXV0aG9yPkRhdmlzLCBBLjwvYXV0aG9yPjxhdXRob3I+U21pdGgsIFIuPC9hdXRob3I+PGF1
dGhvcj5OZWdyaSwgQS48L2F1dGhvcj48YXV0aG9yPlRob21wc29uLCBNLjwvYXV0aG9yPjxhdXRo
b3I+UG9nZ2lvLCBNLjwvYXV0aG9yPjwvYXV0aG9ycz48L2NvbnRyaWJ1dG9ycz48dGl0bGVzPjx0
aXRsZT5BZHZhbmNpbmcgb3VyIHVuZGVyc3RhbmRpbmcgb2YgdGhlIHNvdXJjZSwgbWFuYWdlbWVu
dCwgdHJhbnNwb3J0IGFuZCBpbXBhY3RzIG9mIHBlc3RpY2lkZXMgb24gdGhlIEdyZWF0IEJhcnJp
ZXIgUmVlZiAyMDExIC0gMjAxNS4gPC90aXRsZT48L3RpdGxlcz48ZGF0ZXM+PHllYXI+MjAxNTwv
eWVhcj48L2RhdGVzPjxwdWItbG9jYXRpb24+VHJvcGljYWwgV2F0ZXIgYW5kIEFxdWF0aWMgRWNv
c3lzdGVtIFJlc2VhcmNoIChUcm9wV0FURVIpLCBKYW1lcyBDb29rIFVuaXZlcnNpdHksIENhaXJu
cy48L3B1Yi1sb2NhdGlvbj48dXJscz48L3VybHM+PC9yZWNvcmQ+PC9DaXRlPjxDaXRlPjxBdXRo
b3I+S3Jvb248L0F1dGhvcj48WWVhcj4yMDEzPC9ZZWFyPjxSZWNOdW0+NTc8L1JlY051bT48cmVj
b3JkPjxyZWMtbnVtYmVyPjU3PC9yZWMtbnVtYmVyPjxmb3JlaWduLWtleXM+PGtleSBhcHA9IkVO
IiBkYi1pZD0ieHRwdnB3ejB1ZnhhMm1lNXR2NnYycHJuMmV6NXA5YXRzdnRyIiB0aW1lc3RhbXA9
IjE1MzkxNDQ5NDQiPjU3PC9rZXk+PC9mb3JlaWduLWtleXM+PHJlZi10eXBlIG5hbWU9IlJlcG9y
dCI+Mjc8L3JlZi10eXBlPjxjb250cmlidXRvcnM+PGF1dGhvcnM+PGF1dGhvcj5Lcm9vbiwgRi48
L2F1dGhvcj48YXV0aG9yPlR1cm5lciwgUi48L2F1dGhvcj48YXV0aG9yPlNtaXRoLCBSLjwvYXV0
aG9yPjxhdXRob3I+V2FybmUsIE0uPC9hdXRob3I+PGF1dGhvcj5IdW50ZXIsIEguPC9hdXRob3I+
PGF1dGhvcj5CYXJ0bGV5LCBSLjwvYXV0aG9yPjxhdXRob3I+V2lsa2luc29uLCBTLjwvYXV0aG9y
PjxhdXRob3I+TGV3aXMsIFMuPC9hdXRob3I+PGF1dGhvcj5XYXRlcnMsIEQuPC9hdXRob3I+PGF1
dGhvcj5DYXJyb2xsLCBDPC9hdXRob3I+PC9hdXRob3JzPjx0ZXJ0aWFyeS1hdXRob3JzPjxhdXRo
b3I+UmVlZiBXYXRlciBRdWFsaXR5IFByb3RlY3Rpb24gUGxhbiBTZWNyZXRhcmlhdDwvYXV0aG9y
PjwvdGVydGlhcnktYXV0aG9ycz48L2NvbnRyaWJ1dG9ycz48dGl0bGVzPjx0aXRsZT4yMDEzIFNj
aWVudGlmaWMgQ29uc2Vuc3VzIFN0YXRlbWVudDogQ2hhcHRlciA0IFNvdXJjZXMgb2Ygc2VkaW1l
bnQsIG51dHJpZW50cywgcGVzdGljaWRlcyBhbmQgb3RoZXIgcG9sbHV0YW50cyBpbiB0aGUgR3Jl
YXQgQmFycmllciBSZWVmIGNhdGNobWVudC48L3RpdGxlPjwvdGl0bGVzPjxkYXRlcz48eWVhcj4y
MDEzPC95ZWFyPjwvZGF0ZXM+PHVybHM+PHJlbGF0ZWQtdXJscz48dXJsPmh0dHA6Ly93d3cucmVl
ZnBsYW4ucWxkLmdvdi5hdS9hYm91dC9zY2llbnRpZmljLWNvbnNlbnN1c3N0YXRlbWVudC9hc3Nl
dHMvc2NzdS1jaGFwdGVyLTQtc291cmNlcy1vZi1wb2xsdXRhbnRzLnBkZiA8L3VybD48L3JlbGF0
ZWQtdXJscz48L3VybHM+PC9yZWNvcmQ+PC9DaXRlPjxDaXRlPjxBdXRob3I+TGV3aXM8L0F1dGhv
cj48WWVhcj4yMDA5PC9ZZWFyPjxSZWNOdW0+MTc8L1JlY051bT48cmVjb3JkPjxyZWMtbnVtYmVy
PjE3PC9yZWMtbnVtYmVyPjxmb3JlaWduLWtleXM+PGtleSBhcHA9IkVOIiBkYi1pZD0ieHRwdnB3
ejB1ZnhhMm1lNXR2NnYycHJuMmV6NXA5YXRzdnRyIiB0aW1lc3RhbXA9IjE1MzkxNDQ5NDMiPjE3
PC9rZXk+PC9mb3JlaWduLWtleXM+PHJlZi10eXBlIG5hbWU9IkpvdXJuYWwgQXJ0aWNsZSI+MTc8
L3JlZi10eXBlPjxjb250cmlidXRvcnM+PGF1dGhvcnM+PGF1dGhvcj5MZXdpcywgU3RlcGhlbiBF
PC9hdXRob3I+PGF1dGhvcj5Ccm9kaWUsIEpvbiBFPC9hdXRob3I+PGF1dGhvcj5CYWluYnJpZGdl
LCBab8OrIFQ8L2F1dGhvcj48YXV0aG9yPlJvaGRlLCBLZW4gVzwvYXV0aG9yPjxhdXRob3I+RGF2
aXMsIEFhcm9uIE08L2F1dGhvcj48YXV0aG9yPk1hc3RlcnMsIEJyb253eW4gTDwvYXV0aG9yPjxh
dXRob3I+TWF1Z2hhbiwgTWlyamFtPC9hdXRob3I+PGF1dGhvcj5EZXZsaW4sIE1pY2hlbGxlIEo8
L2F1dGhvcj48YXV0aG9yPk11ZWxsZXIsIEpvY2hlbiBGPC9hdXRob3I+PGF1dGhvcj5TY2hhZmZl
bGtlLCBCcml0dGE8L2F1dGhvcj48L2F1dGhvcnM+PC9jb250cmlidXRvcnM+PHRpdGxlcz48dGl0
bGU+SGVyYmljaWRlczogYSBuZXcgdGhyZWF0IHRvIHRoZSBHcmVhdCBCYXJyaWVyIFJlZWY8L3Rp
dGxlPjxzZWNvbmRhcnktdGl0bGU+RW52aXJvbm1lbnRhbCBQb2xsdXRpb248L3NlY29uZGFyeS10
aXRsZT48L3RpdGxlcz48cGVyaW9kaWNhbD48ZnVsbC10aXRsZT5FbnZpcm9ubWVudGFsIFBvbGx1
dGlvbjwvZnVsbC10aXRsZT48L3BlcmlvZGljYWw+PHBhZ2VzPjI0NzAtMjQ4NDwvcGFnZXM+PHZv
bHVtZT4xNTc8L3ZvbHVtZT48bnVtYmVyPjg8L251bWJlcj48ZGF0ZXM+PHllYXI+MjAwOTwveWVh
cj48L2RhdGVzPjxpc2JuPjAyNjktNzQ5MTwvaXNibj48dXJscz48L3VybHM+PC9yZWNvcmQ+PC9D
aXRlPjwvRW5kTm90ZT5=
</w:fldData>
        </w:fldChar>
      </w:r>
      <w:r w:rsidR="002D0872">
        <w:rPr>
          <w:lang w:val="en-AU" w:eastAsia="en-AU"/>
        </w:rPr>
        <w:instrText xml:space="preserve"> ADDIN EN.CITE </w:instrText>
      </w:r>
      <w:r w:rsidR="002D0872">
        <w:rPr>
          <w:lang w:val="en-AU" w:eastAsia="en-AU"/>
        </w:rPr>
        <w:fldChar w:fldCharType="begin">
          <w:fldData xml:space="preserve">PEVuZE5vdGU+PENpdGU+PEF1dGhvcj5CYWluYnJpZGdlPC9BdXRob3I+PFllYXI+MjAwOTwvWWVh
cj48UmVjTnVtPjU2PC9SZWNOdW0+PERpc3BsYXlUZXh0PihCYWluYnJpZGdlIGV0IGFsLiwgMjAw
OTsgRGV2bGluIGV0IGFsLiwgMjAxNTsgS3Jvb24gZXQgYWwuLCAyMDEzOyBMZXdpcyBldCBhbC4s
IDIwMDkpPC9EaXNwbGF5VGV4dD48cmVjb3JkPjxyZWMtbnVtYmVyPjU2PC9yZWMtbnVtYmVyPjxm
b3JlaWduLWtleXM+PGtleSBhcHA9IkVOIiBkYi1pZD0ieHRwdnB3ejB1ZnhhMm1lNXR2NnYycHJu
MmV6NXA5YXRzdnRyIiB0aW1lc3RhbXA9IjE1MzkxNDQ5NDQiPjU2PC9rZXk+PC9mb3JlaWduLWtl
eXM+PHJlZi10eXBlIG5hbWU9IkpvdXJuYWwgQXJ0aWNsZSI+MTc8L3JlZi10eXBlPjxjb250cmli
dXRvcnM+PGF1dGhvcnM+PGF1dGhvcj5CYWluYnJpZGdlLCBab2UgVDwvYXV0aG9yPjxhdXRob3I+
QnJvZGllLCBKb24gRTwvYXV0aG9yPjxhdXRob3I+RmFpdGhmdWwsIEpvaG4gVzwvYXV0aG9yPjxh
dXRob3I+U3lkZXMsIERhbW9uIEE8L2F1dGhvcj48YXV0aG9yPkxld2lzLCBTdGVwaGVuIEU8L2F1
dGhvcj48L2F1dGhvcnM+PC9jb250cmlidXRvcnM+PHRpdGxlcz48dGl0bGU+SWRlbnRpZnlpbmcg
dGhlIGxhbmQtYmFzZWQgc291cmNlcyBvZiBzdXNwZW5kZWQgc2VkaW1lbnRzLCBudXRyaWVudHMg
YW5kIHBlc3RpY2lkZXMgZGlzY2hhcmdlZCB0byB0aGUgR3JlYXQgQmFycmllciBSZWVmIGZyb20g
dGhlIFR1bGx54oCTTXVycmF5IEJhc2luLCBRdWVlbnNsYW5kLCBBdXN0cmFsaWE8L3RpdGxlPjxz
ZWNvbmRhcnktdGl0bGU+TWFyaW5lIGFuZCBGcmVzaHdhdGVyIFJlc2VhcmNoPC9zZWNvbmRhcnkt
dGl0bGU+PC90aXRsZXM+PHBlcmlvZGljYWw+PGZ1bGwtdGl0bGU+TWFyaW5lIGFuZCBGcmVzaHdh
dGVyIFJlc2VhcmNoPC9mdWxsLXRpdGxlPjwvcGVyaW9kaWNhbD48cGFnZXM+MTA4MS0xMDkwPC9w
YWdlcz48dm9sdW1lPjYwPC92b2x1bWU+PG51bWJlcj4xMTwvbnVtYmVyPjxkYXRlcz48eWVhcj4y
MDA5PC95ZWFyPjwvZGF0ZXM+PGlzYm4+MTQ0OC02MDU5PC9pc2JuPjx1cmxzPjwvdXJscz48L3Jl
Y29yZD48L0NpdGU+PENpdGU+PEF1dGhvcj5EZXZsaW48L0F1dGhvcj48WWVhcj4yMDE1PC9ZZWFy
PjxSZWNOdW0+MTY8L1JlY051bT48cmVjb3JkPjxyZWMtbnVtYmVyPjE2PC9yZWMtbnVtYmVyPjxm
b3JlaWduLWtleXM+PGtleSBhcHA9IkVOIiBkYi1pZD0ieHRwdnB3ejB1ZnhhMm1lNXR2NnYycHJu
MmV6NXA5YXRzdnRyIiB0aW1lc3RhbXA9IjE1MzkxNDQ5NDMiPjE2PC9rZXk+PC9mb3JlaWduLWtl
eXM+PHJlZi10eXBlIG5hbWU9IlJlcG9ydCI+Mjc8L3JlZi10eXBlPjxjb250cmlidXRvcnM+PGF1
dGhvcnM+PGF1dGhvcj5EZXZsaW4sIE0uPC9hdXRob3I+PGF1dGhvcj5MZXdpcywgUy48L2F1dGhv
cj48YXV0aG9yPkRhdmlzLCBBLjwvYXV0aG9yPjxhdXRob3I+U21pdGgsIFIuPC9hdXRob3I+PGF1
dGhvcj5OZWdyaSwgQS48L2F1dGhvcj48YXV0aG9yPlRob21wc29uLCBNLjwvYXV0aG9yPjxhdXRo
b3I+UG9nZ2lvLCBNLjwvYXV0aG9yPjwvYXV0aG9ycz48L2NvbnRyaWJ1dG9ycz48dGl0bGVzPjx0
aXRsZT5BZHZhbmNpbmcgb3VyIHVuZGVyc3RhbmRpbmcgb2YgdGhlIHNvdXJjZSwgbWFuYWdlbWVu
dCwgdHJhbnNwb3J0IGFuZCBpbXBhY3RzIG9mIHBlc3RpY2lkZXMgb24gdGhlIEdyZWF0IEJhcnJp
ZXIgUmVlZiAyMDExIC0gMjAxNS4gPC90aXRsZT48L3RpdGxlcz48ZGF0ZXM+PHllYXI+MjAxNTwv
eWVhcj48L2RhdGVzPjxwdWItbG9jYXRpb24+VHJvcGljYWwgV2F0ZXIgYW5kIEFxdWF0aWMgRWNv
c3lzdGVtIFJlc2VhcmNoIChUcm9wV0FURVIpLCBKYW1lcyBDb29rIFVuaXZlcnNpdHksIENhaXJu
cy48L3B1Yi1sb2NhdGlvbj48dXJscz48L3VybHM+PC9yZWNvcmQ+PC9DaXRlPjxDaXRlPjxBdXRo
b3I+S3Jvb248L0F1dGhvcj48WWVhcj4yMDEzPC9ZZWFyPjxSZWNOdW0+NTc8L1JlY051bT48cmVj
b3JkPjxyZWMtbnVtYmVyPjU3PC9yZWMtbnVtYmVyPjxmb3JlaWduLWtleXM+PGtleSBhcHA9IkVO
IiBkYi1pZD0ieHRwdnB3ejB1ZnhhMm1lNXR2NnYycHJuMmV6NXA5YXRzdnRyIiB0aW1lc3RhbXA9
IjE1MzkxNDQ5NDQiPjU3PC9rZXk+PC9mb3JlaWduLWtleXM+PHJlZi10eXBlIG5hbWU9IlJlcG9y
dCI+Mjc8L3JlZi10eXBlPjxjb250cmlidXRvcnM+PGF1dGhvcnM+PGF1dGhvcj5Lcm9vbiwgRi48
L2F1dGhvcj48YXV0aG9yPlR1cm5lciwgUi48L2F1dGhvcj48YXV0aG9yPlNtaXRoLCBSLjwvYXV0
aG9yPjxhdXRob3I+V2FybmUsIE0uPC9hdXRob3I+PGF1dGhvcj5IdW50ZXIsIEguPC9hdXRob3I+
PGF1dGhvcj5CYXJ0bGV5LCBSLjwvYXV0aG9yPjxhdXRob3I+V2lsa2luc29uLCBTLjwvYXV0aG9y
PjxhdXRob3I+TGV3aXMsIFMuPC9hdXRob3I+PGF1dGhvcj5XYXRlcnMsIEQuPC9hdXRob3I+PGF1
dGhvcj5DYXJyb2xsLCBDPC9hdXRob3I+PC9hdXRob3JzPjx0ZXJ0aWFyeS1hdXRob3JzPjxhdXRo
b3I+UmVlZiBXYXRlciBRdWFsaXR5IFByb3RlY3Rpb24gUGxhbiBTZWNyZXRhcmlhdDwvYXV0aG9y
PjwvdGVydGlhcnktYXV0aG9ycz48L2NvbnRyaWJ1dG9ycz48dGl0bGVzPjx0aXRsZT4yMDEzIFNj
aWVudGlmaWMgQ29uc2Vuc3VzIFN0YXRlbWVudDogQ2hhcHRlciA0IFNvdXJjZXMgb2Ygc2VkaW1l
bnQsIG51dHJpZW50cywgcGVzdGljaWRlcyBhbmQgb3RoZXIgcG9sbHV0YW50cyBpbiB0aGUgR3Jl
YXQgQmFycmllciBSZWVmIGNhdGNobWVudC48L3RpdGxlPjwvdGl0bGVzPjxkYXRlcz48eWVhcj4y
MDEzPC95ZWFyPjwvZGF0ZXM+PHVybHM+PHJlbGF0ZWQtdXJscz48dXJsPmh0dHA6Ly93d3cucmVl
ZnBsYW4ucWxkLmdvdi5hdS9hYm91dC9zY2llbnRpZmljLWNvbnNlbnN1c3N0YXRlbWVudC9hc3Nl
dHMvc2NzdS1jaGFwdGVyLTQtc291cmNlcy1vZi1wb2xsdXRhbnRzLnBkZiA8L3VybD48L3JlbGF0
ZWQtdXJscz48L3VybHM+PC9yZWNvcmQ+PC9DaXRlPjxDaXRlPjxBdXRob3I+TGV3aXM8L0F1dGhv
cj48WWVhcj4yMDA5PC9ZZWFyPjxSZWNOdW0+MTc8L1JlY051bT48cmVjb3JkPjxyZWMtbnVtYmVy
PjE3PC9yZWMtbnVtYmVyPjxmb3JlaWduLWtleXM+PGtleSBhcHA9IkVOIiBkYi1pZD0ieHRwdnB3
ejB1ZnhhMm1lNXR2NnYycHJuMmV6NXA5YXRzdnRyIiB0aW1lc3RhbXA9IjE1MzkxNDQ5NDMiPjE3
PC9rZXk+PC9mb3JlaWduLWtleXM+PHJlZi10eXBlIG5hbWU9IkpvdXJuYWwgQXJ0aWNsZSI+MTc8
L3JlZi10eXBlPjxjb250cmlidXRvcnM+PGF1dGhvcnM+PGF1dGhvcj5MZXdpcywgU3RlcGhlbiBF
PC9hdXRob3I+PGF1dGhvcj5Ccm9kaWUsIEpvbiBFPC9hdXRob3I+PGF1dGhvcj5CYWluYnJpZGdl
LCBab8OrIFQ8L2F1dGhvcj48YXV0aG9yPlJvaGRlLCBLZW4gVzwvYXV0aG9yPjxhdXRob3I+RGF2
aXMsIEFhcm9uIE08L2F1dGhvcj48YXV0aG9yPk1hc3RlcnMsIEJyb253eW4gTDwvYXV0aG9yPjxh
dXRob3I+TWF1Z2hhbiwgTWlyamFtPC9hdXRob3I+PGF1dGhvcj5EZXZsaW4sIE1pY2hlbGxlIEo8
L2F1dGhvcj48YXV0aG9yPk11ZWxsZXIsIEpvY2hlbiBGPC9hdXRob3I+PGF1dGhvcj5TY2hhZmZl
bGtlLCBCcml0dGE8L2F1dGhvcj48L2F1dGhvcnM+PC9jb250cmlidXRvcnM+PHRpdGxlcz48dGl0
bGU+SGVyYmljaWRlczogYSBuZXcgdGhyZWF0IHRvIHRoZSBHcmVhdCBCYXJyaWVyIFJlZWY8L3Rp
dGxlPjxzZWNvbmRhcnktdGl0bGU+RW52aXJvbm1lbnRhbCBQb2xsdXRpb248L3NlY29uZGFyeS10
aXRsZT48L3RpdGxlcz48cGVyaW9kaWNhbD48ZnVsbC10aXRsZT5FbnZpcm9ubWVudGFsIFBvbGx1
dGlvbjwvZnVsbC10aXRsZT48L3BlcmlvZGljYWw+PHBhZ2VzPjI0NzAtMjQ4NDwvcGFnZXM+PHZv
bHVtZT4xNTc8L3ZvbHVtZT48bnVtYmVyPjg8L251bWJlcj48ZGF0ZXM+PHllYXI+MjAwOTwveWVh
cj48L2RhdGVzPjxpc2JuPjAyNjktNzQ5MTwvaXNibj48dXJscz48L3VybHM+PC9yZWNvcmQ+PC9D
aXRlPjwvRW5kTm90ZT5=
</w:fldData>
        </w:fldChar>
      </w:r>
      <w:r w:rsidR="002D0872">
        <w:rPr>
          <w:lang w:val="en-AU" w:eastAsia="en-AU"/>
        </w:rPr>
        <w:instrText xml:space="preserve"> ADDIN EN.CITE.DATA </w:instrText>
      </w:r>
      <w:r w:rsidR="002D0872">
        <w:rPr>
          <w:lang w:val="en-AU" w:eastAsia="en-AU"/>
        </w:rPr>
      </w:r>
      <w:r w:rsidR="002D0872">
        <w:rPr>
          <w:lang w:val="en-AU" w:eastAsia="en-AU"/>
        </w:rPr>
        <w:fldChar w:fldCharType="end"/>
      </w:r>
      <w:r w:rsidR="00C91BF5" w:rsidRPr="007255D5">
        <w:rPr>
          <w:lang w:val="en-AU" w:eastAsia="en-AU"/>
        </w:rPr>
      </w:r>
      <w:r w:rsidR="00C91BF5" w:rsidRPr="007255D5">
        <w:rPr>
          <w:lang w:val="en-AU" w:eastAsia="en-AU"/>
        </w:rPr>
        <w:fldChar w:fldCharType="separate"/>
      </w:r>
      <w:r w:rsidR="002D0872">
        <w:rPr>
          <w:noProof/>
          <w:lang w:val="en-AU" w:eastAsia="en-AU"/>
        </w:rPr>
        <w:t>(Bainbridge et al., 2009; Devlin et al., 2015; Kroon et al., 2013; Lewis et al., 2009)</w:t>
      </w:r>
      <w:r w:rsidR="00C91BF5" w:rsidRPr="007255D5">
        <w:rPr>
          <w:lang w:val="en-AU" w:eastAsia="en-AU"/>
        </w:rPr>
        <w:fldChar w:fldCharType="end"/>
      </w:r>
      <w:r w:rsidR="00597F4F" w:rsidRPr="007255D5">
        <w:rPr>
          <w:lang w:val="en-AU" w:eastAsia="en-AU"/>
        </w:rPr>
        <w:t xml:space="preserve">. </w:t>
      </w:r>
    </w:p>
    <w:p w14:paraId="4FFECB71" w14:textId="77777777" w:rsidR="005650A1" w:rsidRDefault="005650A1" w:rsidP="002439C8">
      <w:pPr>
        <w:tabs>
          <w:tab w:val="left" w:pos="10065"/>
        </w:tabs>
        <w:spacing w:line="276" w:lineRule="auto"/>
        <w:jc w:val="left"/>
        <w:rPr>
          <w:lang w:val="en-AU" w:eastAsia="en-AU"/>
        </w:rPr>
      </w:pPr>
    </w:p>
    <w:p w14:paraId="7CCF9107" w14:textId="77777777" w:rsidR="005650A1" w:rsidRDefault="00F25A26" w:rsidP="002439C8">
      <w:pPr>
        <w:tabs>
          <w:tab w:val="left" w:pos="10065"/>
        </w:tabs>
        <w:spacing w:line="276" w:lineRule="auto"/>
        <w:jc w:val="left"/>
        <w:rPr>
          <w:lang w:val="en-AU" w:eastAsia="en-AU"/>
        </w:rPr>
      </w:pPr>
      <w:r w:rsidRPr="002A0E21">
        <w:rPr>
          <w:lang w:val="en-AU" w:eastAsia="en-AU"/>
        </w:rPr>
        <w:t>Diuron is typically associated with the intensive sugar can</w:t>
      </w:r>
      <w:r w:rsidR="00771CCE">
        <w:rPr>
          <w:lang w:val="en-AU" w:eastAsia="en-AU"/>
        </w:rPr>
        <w:t xml:space="preserve">e farming </w:t>
      </w:r>
      <w:r w:rsidRPr="002A0E21">
        <w:rPr>
          <w:lang w:val="en-AU" w:eastAsia="en-AU"/>
        </w:rPr>
        <w:t xml:space="preserve">in the coastal area of the Tully River, Herbert River, Pioneer River and Sandy Creek </w:t>
      </w:r>
      <w:r w:rsidR="00BF37D6">
        <w:rPr>
          <w:lang w:val="en-AU" w:eastAsia="en-AU"/>
        </w:rPr>
        <w:t>basin</w:t>
      </w:r>
      <w:r w:rsidRPr="002A0E21">
        <w:rPr>
          <w:lang w:val="en-AU" w:eastAsia="en-AU"/>
        </w:rPr>
        <w:t xml:space="preserve">s, and high </w:t>
      </w:r>
      <w:r w:rsidR="00487B05">
        <w:rPr>
          <w:lang w:val="en-AU" w:eastAsia="en-AU"/>
        </w:rPr>
        <w:t>concentration</w:t>
      </w:r>
      <w:r w:rsidR="000F32C5">
        <w:rPr>
          <w:lang w:val="en-AU" w:eastAsia="en-AU"/>
        </w:rPr>
        <w:t>s</w:t>
      </w:r>
      <w:r w:rsidR="00487B05">
        <w:rPr>
          <w:lang w:val="en-AU" w:eastAsia="en-AU"/>
        </w:rPr>
        <w:t xml:space="preserve"> of diuron</w:t>
      </w:r>
      <w:r w:rsidRPr="002A0E21">
        <w:rPr>
          <w:lang w:val="en-AU" w:eastAsia="en-AU"/>
        </w:rPr>
        <w:t xml:space="preserve"> </w:t>
      </w:r>
      <w:r w:rsidR="002845AD">
        <w:rPr>
          <w:lang w:val="en-AU" w:eastAsia="en-AU"/>
        </w:rPr>
        <w:t>have been typically</w:t>
      </w:r>
      <w:r w:rsidR="002845AD" w:rsidRPr="002A0E21">
        <w:rPr>
          <w:lang w:val="en-AU" w:eastAsia="en-AU"/>
        </w:rPr>
        <w:t xml:space="preserve"> </w:t>
      </w:r>
      <w:r w:rsidR="00487B05">
        <w:rPr>
          <w:lang w:val="en-AU" w:eastAsia="en-AU"/>
        </w:rPr>
        <w:t>measur</w:t>
      </w:r>
      <w:r w:rsidRPr="002A0E21">
        <w:rPr>
          <w:lang w:val="en-AU" w:eastAsia="en-AU"/>
        </w:rPr>
        <w:t>ed</w:t>
      </w:r>
      <w:r w:rsidR="00487B05">
        <w:rPr>
          <w:lang w:val="en-AU" w:eastAsia="en-AU"/>
        </w:rPr>
        <w:t xml:space="preserve"> in sites of</w:t>
      </w:r>
      <w:r w:rsidR="00163671" w:rsidRPr="002A0E21">
        <w:rPr>
          <w:lang w:val="en-AU" w:eastAsia="en-AU"/>
        </w:rPr>
        <w:t xml:space="preserve"> these </w:t>
      </w:r>
      <w:r w:rsidR="00BF37D6">
        <w:rPr>
          <w:lang w:val="en-AU" w:eastAsia="en-AU"/>
        </w:rPr>
        <w:t>basin</w:t>
      </w:r>
      <w:r w:rsidR="00163671" w:rsidRPr="002A0E21">
        <w:rPr>
          <w:lang w:val="en-AU" w:eastAsia="en-AU"/>
        </w:rPr>
        <w:t>s</w:t>
      </w:r>
      <w:r w:rsidR="002845AD">
        <w:rPr>
          <w:lang w:val="en-AU" w:eastAsia="en-AU"/>
        </w:rPr>
        <w:t xml:space="preserve"> since monitoring commenced in 2010</w:t>
      </w:r>
      <w:r w:rsidR="00163671" w:rsidRPr="002A0E21">
        <w:rPr>
          <w:lang w:val="en-AU" w:eastAsia="en-AU"/>
        </w:rPr>
        <w:t>.</w:t>
      </w:r>
      <w:r w:rsidR="0086754F" w:rsidRPr="002A0E21">
        <w:rPr>
          <w:lang w:val="en-AU" w:eastAsia="en-AU"/>
        </w:rPr>
        <w:t xml:space="preserve"> </w:t>
      </w:r>
    </w:p>
    <w:p w14:paraId="41FBB7B9" w14:textId="77777777" w:rsidR="000F32C5" w:rsidRDefault="000F32C5" w:rsidP="002439C8">
      <w:pPr>
        <w:tabs>
          <w:tab w:val="left" w:pos="10065"/>
        </w:tabs>
        <w:spacing w:line="276" w:lineRule="auto"/>
        <w:jc w:val="left"/>
        <w:rPr>
          <w:lang w:val="en-AU" w:eastAsia="en-AU"/>
        </w:rPr>
      </w:pPr>
    </w:p>
    <w:p w14:paraId="70C4098C" w14:textId="77777777" w:rsidR="0086754F" w:rsidRPr="000825F1" w:rsidRDefault="00DA62DD" w:rsidP="002439C8">
      <w:pPr>
        <w:tabs>
          <w:tab w:val="left" w:pos="10065"/>
        </w:tabs>
        <w:spacing w:line="276" w:lineRule="auto"/>
        <w:jc w:val="left"/>
        <w:rPr>
          <w:color w:val="0070C0"/>
          <w:lang w:val="en-AU" w:eastAsia="en-AU"/>
        </w:rPr>
      </w:pPr>
      <w:r w:rsidRPr="002A0E21">
        <w:rPr>
          <w:lang w:val="en-AU" w:eastAsia="en-AU"/>
        </w:rPr>
        <w:t xml:space="preserve">Atrazine </w:t>
      </w:r>
      <w:r w:rsidR="00220329">
        <w:rPr>
          <w:lang w:val="en-AU" w:eastAsia="en-AU"/>
        </w:rPr>
        <w:t>(</w:t>
      </w:r>
      <w:r w:rsidRPr="002A0E21">
        <w:rPr>
          <w:lang w:val="en-AU" w:eastAsia="en-AU"/>
        </w:rPr>
        <w:t>also registered for use in sugarcane</w:t>
      </w:r>
      <w:r w:rsidR="00220329">
        <w:rPr>
          <w:lang w:val="en-AU" w:eastAsia="en-AU"/>
        </w:rPr>
        <w:t>)</w:t>
      </w:r>
      <w:r w:rsidRPr="002A0E21">
        <w:rPr>
          <w:lang w:val="en-AU" w:eastAsia="en-AU"/>
        </w:rPr>
        <w:t xml:space="preserve"> has historically been used extensively in the Barratta and Burdekin </w:t>
      </w:r>
      <w:r w:rsidR="00BF37D6">
        <w:rPr>
          <w:lang w:val="en-AU" w:eastAsia="en-AU"/>
        </w:rPr>
        <w:t>basin</w:t>
      </w:r>
      <w:r w:rsidRPr="002A0E21">
        <w:rPr>
          <w:lang w:val="en-AU" w:eastAsia="en-AU"/>
        </w:rPr>
        <w:t xml:space="preserve">s, and </w:t>
      </w:r>
      <w:r w:rsidR="00220329">
        <w:rPr>
          <w:lang w:val="en-AU" w:eastAsia="en-AU"/>
        </w:rPr>
        <w:t>h</w:t>
      </w:r>
      <w:r w:rsidR="0031303D" w:rsidRPr="002A0E21">
        <w:rPr>
          <w:lang w:val="en-AU" w:eastAsia="en-AU"/>
        </w:rPr>
        <w:t xml:space="preserve">as </w:t>
      </w:r>
      <w:r w:rsidR="00220329">
        <w:rPr>
          <w:lang w:val="en-AU" w:eastAsia="en-AU"/>
        </w:rPr>
        <w:t xml:space="preserve">been </w:t>
      </w:r>
      <w:r w:rsidR="0031303D" w:rsidRPr="002A0E21">
        <w:rPr>
          <w:lang w:val="en-AU" w:eastAsia="en-AU"/>
        </w:rPr>
        <w:t>found during</w:t>
      </w:r>
      <w:r w:rsidRPr="002A0E21">
        <w:rPr>
          <w:lang w:val="en-AU" w:eastAsia="en-AU"/>
        </w:rPr>
        <w:t xml:space="preserve"> recent passive sampling activities in these </w:t>
      </w:r>
      <w:r w:rsidR="00BF37D6">
        <w:rPr>
          <w:lang w:val="en-AU" w:eastAsia="en-AU"/>
        </w:rPr>
        <w:t>basin</w:t>
      </w:r>
      <w:r w:rsidRPr="002A0E21">
        <w:rPr>
          <w:lang w:val="en-AU" w:eastAsia="en-AU"/>
        </w:rPr>
        <w:t xml:space="preserve">s </w:t>
      </w:r>
      <w:r w:rsidR="00C91BF5" w:rsidRPr="002A0E21">
        <w:rPr>
          <w:lang w:val="en-AU" w:eastAsia="en-AU"/>
        </w:rPr>
        <w:fldChar w:fldCharType="begin"/>
      </w:r>
      <w:r w:rsidR="0058467F">
        <w:rPr>
          <w:lang w:val="en-AU" w:eastAsia="en-AU"/>
        </w:rPr>
        <w:instrText xml:space="preserve"> ADDIN EN.CITE &lt;EndNote&gt;&lt;Cite&gt;&lt;Author&gt;O’Brien&lt;/Author&gt;&lt;Year&gt;2016&lt;/Year&gt;&lt;RecNum&gt;13&lt;/RecNum&gt;&lt;DisplayText&gt;(O’Brien et al., 2016)&lt;/DisplayText&gt;&lt;record&gt;&lt;rec-number&gt;13&lt;/rec-number&gt;&lt;foreign-keys&gt;&lt;key app="EN" db-id="xtpvpwz0ufxa2me5tv6v2prn2ez5p9atsvtr" timestamp="1539144943"&gt;13&lt;/key&gt;&lt;/foreign-keys&gt;&lt;ref-type name="Journal Article"&gt;17&lt;/ref-type&gt;&lt;contributors&gt;&lt;authors&gt;&lt;author&gt;O’Brien, Dominique&lt;/author&gt;&lt;author&gt;Lewis, Stephen&lt;/author&gt;&lt;author&gt;Davis, Aaron&lt;/author&gt;&lt;author&gt;Gallen, Christie&lt;/author&gt;&lt;author&gt;Smith, Rachael&lt;/author&gt;&lt;author&gt;Turner, Ryan&lt;/author&gt;&lt;author&gt;Warne, Michael&lt;/author&gt;&lt;author&gt;Turner, Scott&lt;/author&gt;&lt;author&gt;Caswell, Stewart&lt;/author&gt;&lt;author&gt;Mueller, Jochen F&lt;/author&gt;&lt;/authors&gt;&lt;/contributors&gt;&lt;titles&gt;&lt;title&gt;Spatial and temporal variability in pesticide exposure downstream of a heavily irrigated cropping area: application of different monitoring techniques&lt;/title&gt;&lt;secondary-title&gt;Journal of agricultural and food chemistry&lt;/secondary-title&gt;&lt;/titles&gt;&lt;periodical&gt;&lt;full-title&gt;Journal of agricultural and food chemistry&lt;/full-title&gt;&lt;/periodical&gt;&lt;pages&gt;3975-3989&lt;/pages&gt;&lt;volume&gt;64&lt;/volume&gt;&lt;number&gt;20&lt;/number&gt;&lt;dates&gt;&lt;year&gt;2016&lt;/year&gt;&lt;/dates&gt;&lt;isbn&gt;0021-8561&lt;/isbn&gt;&lt;urls&gt;&lt;/urls&gt;&lt;/record&gt;&lt;/Cite&gt;&lt;/EndNote&gt;</w:instrText>
      </w:r>
      <w:r w:rsidR="00C91BF5" w:rsidRPr="002A0E21">
        <w:rPr>
          <w:lang w:val="en-AU" w:eastAsia="en-AU"/>
        </w:rPr>
        <w:fldChar w:fldCharType="separate"/>
      </w:r>
      <w:r w:rsidR="00B33845" w:rsidRPr="002A0E21">
        <w:rPr>
          <w:noProof/>
          <w:lang w:val="en-AU" w:eastAsia="en-AU"/>
        </w:rPr>
        <w:t>(O’Brien et al., 2016)</w:t>
      </w:r>
      <w:r w:rsidR="00C91BF5" w:rsidRPr="002A0E21">
        <w:rPr>
          <w:lang w:val="en-AU" w:eastAsia="en-AU"/>
        </w:rPr>
        <w:fldChar w:fldCharType="end"/>
      </w:r>
      <w:r w:rsidR="0031303D" w:rsidRPr="002A0E21">
        <w:rPr>
          <w:lang w:val="en-AU" w:eastAsia="en-AU"/>
        </w:rPr>
        <w:t>,</w:t>
      </w:r>
      <w:r w:rsidR="002845AD">
        <w:rPr>
          <w:lang w:val="en-AU" w:eastAsia="en-AU"/>
        </w:rPr>
        <w:t xml:space="preserve"> and previous monitoring years</w:t>
      </w:r>
      <w:r w:rsidR="001E0D47">
        <w:rPr>
          <w:lang w:val="en-AU" w:eastAsia="en-AU"/>
        </w:rPr>
        <w:t xml:space="preserve"> </w:t>
      </w:r>
      <w:r w:rsidR="000F32C5">
        <w:rPr>
          <w:lang w:val="en-AU" w:eastAsia="en-AU"/>
        </w:rPr>
        <w:t xml:space="preserve">by </w:t>
      </w:r>
      <w:r w:rsidR="001E0D47">
        <w:rPr>
          <w:lang w:val="en-AU" w:eastAsia="en-AU"/>
        </w:rPr>
        <w:t>this MMP</w:t>
      </w:r>
      <w:r w:rsidR="002845AD">
        <w:rPr>
          <w:lang w:val="en-AU" w:eastAsia="en-AU"/>
        </w:rPr>
        <w:t xml:space="preserve"> (</w:t>
      </w:r>
      <w:r w:rsidR="001E0D47">
        <w:rPr>
          <w:lang w:val="en-AU" w:eastAsia="en-AU"/>
        </w:rPr>
        <w:t xml:space="preserve">in </w:t>
      </w:r>
      <w:r w:rsidR="002845AD">
        <w:rPr>
          <w:lang w:val="en-AU" w:eastAsia="en-AU"/>
        </w:rPr>
        <w:t>both passive and grab samples)</w:t>
      </w:r>
      <w:r w:rsidR="00E441E6">
        <w:rPr>
          <w:lang w:val="en-AU" w:eastAsia="en-AU"/>
        </w:rPr>
        <w:t>.</w:t>
      </w:r>
      <w:r w:rsidR="002845AD">
        <w:rPr>
          <w:lang w:val="en-AU" w:eastAsia="en-AU"/>
        </w:rPr>
        <w:t xml:space="preserve"> </w:t>
      </w:r>
      <w:r w:rsidR="00E441E6">
        <w:rPr>
          <w:lang w:val="en-AU" w:eastAsia="en-AU"/>
        </w:rPr>
        <w:t>T</w:t>
      </w:r>
      <w:r w:rsidR="0031303D" w:rsidRPr="002A0E21">
        <w:rPr>
          <w:lang w:val="en-AU" w:eastAsia="en-AU"/>
        </w:rPr>
        <w:t>his herbicide continues</w:t>
      </w:r>
      <w:r w:rsidRPr="002A0E21">
        <w:rPr>
          <w:lang w:val="en-AU" w:eastAsia="en-AU"/>
        </w:rPr>
        <w:t xml:space="preserve"> to represent the highest proportion of PSII herbicides at </w:t>
      </w:r>
      <w:r w:rsidR="00894618" w:rsidRPr="002A0E21">
        <w:rPr>
          <w:lang w:val="en-AU" w:eastAsia="en-AU"/>
        </w:rPr>
        <w:t>the</w:t>
      </w:r>
      <w:r w:rsidRPr="002A0E21">
        <w:rPr>
          <w:lang w:val="en-AU" w:eastAsia="en-AU"/>
        </w:rPr>
        <w:t xml:space="preserve"> monitoring sites in this region. </w:t>
      </w:r>
    </w:p>
    <w:p w14:paraId="2BAF3BCB" w14:textId="77777777" w:rsidR="0086754F" w:rsidRPr="00894099" w:rsidRDefault="0086754F" w:rsidP="002439C8">
      <w:pPr>
        <w:tabs>
          <w:tab w:val="left" w:pos="10065"/>
        </w:tabs>
        <w:spacing w:line="276" w:lineRule="auto"/>
        <w:jc w:val="left"/>
        <w:rPr>
          <w:lang w:val="en-AU" w:eastAsia="en-AU"/>
        </w:rPr>
      </w:pPr>
    </w:p>
    <w:p w14:paraId="7C959F01" w14:textId="77777777" w:rsidR="00E077B5" w:rsidRPr="00894099" w:rsidRDefault="00DA62DD" w:rsidP="002439C8">
      <w:pPr>
        <w:tabs>
          <w:tab w:val="left" w:pos="10065"/>
        </w:tabs>
        <w:spacing w:line="276" w:lineRule="auto"/>
        <w:jc w:val="left"/>
        <w:rPr>
          <w:lang w:val="en-AU" w:eastAsia="en-AU"/>
        </w:rPr>
      </w:pPr>
      <w:r w:rsidRPr="00894099">
        <w:rPr>
          <w:lang w:val="en-AU" w:eastAsia="en-AU"/>
        </w:rPr>
        <w:t>T</w:t>
      </w:r>
      <w:r w:rsidR="00F25A26" w:rsidRPr="00894099">
        <w:rPr>
          <w:lang w:val="en-AU" w:eastAsia="en-AU"/>
        </w:rPr>
        <w:t>ebuthiuron ha</w:t>
      </w:r>
      <w:r w:rsidR="00487B05">
        <w:rPr>
          <w:lang w:val="en-AU" w:eastAsia="en-AU"/>
        </w:rPr>
        <w:t>s</w:t>
      </w:r>
      <w:r w:rsidR="00F25A26" w:rsidRPr="00894099">
        <w:rPr>
          <w:lang w:val="en-AU" w:eastAsia="en-AU"/>
        </w:rPr>
        <w:t xml:space="preserve"> been</w:t>
      </w:r>
      <w:r w:rsidRPr="00894099">
        <w:rPr>
          <w:lang w:val="en-AU" w:eastAsia="en-AU"/>
        </w:rPr>
        <w:t>, and continue to be,</w:t>
      </w:r>
      <w:r w:rsidR="00F25A26" w:rsidRPr="00894099">
        <w:rPr>
          <w:lang w:val="en-AU" w:eastAsia="en-AU"/>
        </w:rPr>
        <w:t xml:space="preserve"> </w:t>
      </w:r>
      <w:r w:rsidR="00712595" w:rsidRPr="00894099">
        <w:rPr>
          <w:lang w:val="en-AU" w:eastAsia="en-AU"/>
        </w:rPr>
        <w:t>associated almost exclusively with</w:t>
      </w:r>
      <w:r w:rsidR="00F25A26" w:rsidRPr="00894099">
        <w:rPr>
          <w:lang w:val="en-AU" w:eastAsia="en-AU"/>
        </w:rPr>
        <w:t xml:space="preserve"> the Burdekin and Fitzroy River </w:t>
      </w:r>
      <w:r w:rsidR="00BF37D6">
        <w:rPr>
          <w:lang w:val="en-AU" w:eastAsia="en-AU"/>
        </w:rPr>
        <w:t>basin</w:t>
      </w:r>
      <w:r w:rsidR="00F25A26" w:rsidRPr="00894099">
        <w:rPr>
          <w:lang w:val="en-AU" w:eastAsia="en-AU"/>
        </w:rPr>
        <w:t xml:space="preserve">s where land use is </w:t>
      </w:r>
      <w:r w:rsidRPr="00894099">
        <w:rPr>
          <w:lang w:val="en-AU" w:eastAsia="en-AU"/>
        </w:rPr>
        <w:t>predominantly</w:t>
      </w:r>
      <w:r w:rsidR="00F25A26" w:rsidRPr="00894099">
        <w:rPr>
          <w:lang w:val="en-AU" w:eastAsia="en-AU"/>
        </w:rPr>
        <w:t xml:space="preserve"> grazing</w:t>
      </w:r>
      <w:r w:rsidRPr="00894099">
        <w:rPr>
          <w:lang w:val="en-AU" w:eastAsia="en-AU"/>
        </w:rPr>
        <w:t xml:space="preserve">. </w:t>
      </w:r>
      <w:r w:rsidR="00521DDF" w:rsidRPr="00894099">
        <w:rPr>
          <w:lang w:val="en-AU" w:eastAsia="en-AU"/>
        </w:rPr>
        <w:t>T</w:t>
      </w:r>
      <w:r w:rsidR="00712595" w:rsidRPr="00894099">
        <w:rPr>
          <w:lang w:val="en-AU" w:eastAsia="en-AU"/>
        </w:rPr>
        <w:t xml:space="preserve">he </w:t>
      </w:r>
      <w:r w:rsidR="00F25A26" w:rsidRPr="00894099">
        <w:rPr>
          <w:lang w:val="en-AU" w:eastAsia="en-AU"/>
        </w:rPr>
        <w:t xml:space="preserve">North Keppel Island </w:t>
      </w:r>
      <w:r w:rsidR="00521DDF" w:rsidRPr="00894099">
        <w:rPr>
          <w:lang w:val="en-AU" w:eastAsia="en-AU"/>
        </w:rPr>
        <w:t xml:space="preserve">site </w:t>
      </w:r>
      <w:r w:rsidR="00F25A26" w:rsidRPr="00894099">
        <w:rPr>
          <w:lang w:val="en-AU" w:eastAsia="en-AU"/>
        </w:rPr>
        <w:t xml:space="preserve">in the Fitzroy region has </w:t>
      </w:r>
      <w:r w:rsidR="00712595" w:rsidRPr="00894099">
        <w:rPr>
          <w:lang w:val="en-AU" w:eastAsia="en-AU"/>
        </w:rPr>
        <w:t xml:space="preserve">in the past </w:t>
      </w:r>
      <w:r w:rsidR="00F25A26" w:rsidRPr="00894099">
        <w:rPr>
          <w:lang w:val="en-AU" w:eastAsia="en-AU"/>
        </w:rPr>
        <w:t xml:space="preserve">been characterised by relatively high concentrations of tebuthiuron, including an exceedance of the </w:t>
      </w:r>
      <w:r w:rsidR="000F32C5">
        <w:rPr>
          <w:lang w:val="en-AU" w:eastAsia="en-AU"/>
        </w:rPr>
        <w:t>Authority</w:t>
      </w:r>
      <w:r w:rsidR="000F32C5" w:rsidRPr="00894099">
        <w:rPr>
          <w:lang w:val="en-AU" w:eastAsia="en-AU"/>
        </w:rPr>
        <w:t xml:space="preserve"> </w:t>
      </w:r>
      <w:r w:rsidR="00F25A26" w:rsidRPr="00894099">
        <w:rPr>
          <w:lang w:val="en-AU" w:eastAsia="en-AU"/>
        </w:rPr>
        <w:t xml:space="preserve">guidelines in 2013 </w:t>
      </w:r>
      <w:r w:rsidR="00C91BF5" w:rsidRPr="00894099">
        <w:rPr>
          <w:lang w:val="en-AU" w:eastAsia="en-AU"/>
        </w:rPr>
        <w:fldChar w:fldCharType="begin"/>
      </w:r>
      <w:r w:rsidR="0018079F">
        <w:rPr>
          <w:lang w:val="en-AU" w:eastAsia="en-AU"/>
        </w:rPr>
        <w:instrText xml:space="preserve"> ADDIN EN.CITE &lt;EndNote&gt;&lt;Cite&gt;&lt;Author&gt;Gallen&lt;/Author&gt;&lt;Year&gt;2013&lt;/Year&gt;&lt;RecNum&gt;30&lt;/RecNum&gt;&lt;DisplayText&gt;(Gallen et al., 2013)&lt;/DisplayText&gt;&lt;record&gt;&lt;rec-number&gt;30&lt;/rec-number&gt;&lt;foreign-keys&gt;&lt;key app="EN" db-id="xtpvpwz0ufxa2me5tv6v2prn2ez5p9atsvtr" timestamp="1539144943"&gt;30&lt;/key&gt;&lt;/foreign-keys&gt;&lt;ref-type name="Report"&gt;27&lt;/ref-type&gt;&lt;contributors&gt;&lt;authors&gt;&lt;author&gt;Gallen, C&lt;/author&gt;&lt;author&gt;Devlin, M&lt;/author&gt;&lt;author&gt;Paxman, C&lt;/author&gt;&lt;author&gt;Banks, A&lt;/author&gt;&lt;author&gt;Mueller, J&lt;/author&gt;&lt;/authors&gt;&lt;/contributors&gt;&lt;titles&gt;&lt;title&gt;Pesticide monitoring in inshore waters of the Great Barrier Reef using both time-integrated and event monitoring techniques (2012-2013)&lt;/title&gt;&lt;/titles&gt;&lt;dates&gt;&lt;year&gt;2013&lt;/year&gt;&lt;/dates&gt;&lt;pub-location&gt;The University of Queensland, The National Research Centre for Environmental Toxicology (Entox).&lt;/pub-location&gt;&lt;urls&gt;&lt;/urls&gt;&lt;/record&gt;&lt;/Cite&gt;&lt;/EndNote&gt;</w:instrText>
      </w:r>
      <w:r w:rsidR="00C91BF5" w:rsidRPr="00894099">
        <w:rPr>
          <w:lang w:val="en-AU" w:eastAsia="en-AU"/>
        </w:rPr>
        <w:fldChar w:fldCharType="separate"/>
      </w:r>
      <w:r w:rsidR="00B33845" w:rsidRPr="00894099">
        <w:rPr>
          <w:noProof/>
          <w:lang w:val="en-AU" w:eastAsia="en-AU"/>
        </w:rPr>
        <w:t>(Gallen et al., 2013)</w:t>
      </w:r>
      <w:r w:rsidR="00C91BF5" w:rsidRPr="00894099">
        <w:rPr>
          <w:lang w:val="en-AU" w:eastAsia="en-AU"/>
        </w:rPr>
        <w:fldChar w:fldCharType="end"/>
      </w:r>
      <w:r w:rsidR="003A5429" w:rsidRPr="00894099">
        <w:rPr>
          <w:lang w:val="en-AU" w:eastAsia="en-AU"/>
        </w:rPr>
        <w:t xml:space="preserve">. </w:t>
      </w:r>
      <w:r w:rsidR="001E0D47">
        <w:rPr>
          <w:lang w:val="en-AU" w:eastAsia="en-AU"/>
        </w:rPr>
        <w:t>However</w:t>
      </w:r>
      <w:r w:rsidR="00F117BA">
        <w:rPr>
          <w:lang w:val="en-AU" w:eastAsia="en-AU"/>
        </w:rPr>
        <w:t>,</w:t>
      </w:r>
      <w:r w:rsidR="001E0D47">
        <w:rPr>
          <w:lang w:val="en-AU" w:eastAsia="en-AU"/>
        </w:rPr>
        <w:t xml:space="preserve"> notably i</w:t>
      </w:r>
      <w:r w:rsidR="00712595" w:rsidRPr="00894099">
        <w:rPr>
          <w:lang w:val="en-AU" w:eastAsia="en-AU"/>
        </w:rPr>
        <w:t xml:space="preserve">n the current </w:t>
      </w:r>
      <w:r w:rsidR="00521DDF" w:rsidRPr="00894099">
        <w:rPr>
          <w:lang w:val="en-AU" w:eastAsia="en-AU"/>
        </w:rPr>
        <w:t xml:space="preserve">monitoring year, </w:t>
      </w:r>
      <w:r w:rsidR="003A5429" w:rsidRPr="00894099">
        <w:rPr>
          <w:lang w:val="en-AU" w:eastAsia="en-AU"/>
        </w:rPr>
        <w:t xml:space="preserve">the </w:t>
      </w:r>
      <w:r w:rsidR="001E0D47">
        <w:rPr>
          <w:lang w:val="en-AU" w:eastAsia="en-AU"/>
        </w:rPr>
        <w:t>pesticide profile</w:t>
      </w:r>
      <w:r w:rsidR="001E0D47" w:rsidRPr="00894099">
        <w:rPr>
          <w:lang w:val="en-AU" w:eastAsia="en-AU"/>
        </w:rPr>
        <w:t xml:space="preserve"> </w:t>
      </w:r>
      <w:r w:rsidR="001E0D47">
        <w:rPr>
          <w:lang w:val="en-AU" w:eastAsia="en-AU"/>
        </w:rPr>
        <w:t xml:space="preserve">was characterised by only low levels of </w:t>
      </w:r>
      <w:r w:rsidR="00521DDF" w:rsidRPr="00894099">
        <w:rPr>
          <w:lang w:val="en-AU" w:eastAsia="en-AU"/>
        </w:rPr>
        <w:t>tebuthiuron</w:t>
      </w:r>
      <w:r w:rsidR="001E0D47">
        <w:rPr>
          <w:lang w:val="en-AU" w:eastAsia="en-AU"/>
        </w:rPr>
        <w:t xml:space="preserve"> and </w:t>
      </w:r>
      <w:r w:rsidR="00E441E6">
        <w:rPr>
          <w:lang w:val="en-AU" w:eastAsia="en-AU"/>
        </w:rPr>
        <w:t xml:space="preserve">was </w:t>
      </w:r>
      <w:r w:rsidR="001E0D47">
        <w:rPr>
          <w:lang w:val="en-AU" w:eastAsia="en-AU"/>
        </w:rPr>
        <w:t xml:space="preserve">dominated by diuron. </w:t>
      </w:r>
    </w:p>
    <w:p w14:paraId="1301D56A" w14:textId="77777777" w:rsidR="00FE2C72" w:rsidRPr="00894099" w:rsidRDefault="00FE2C72" w:rsidP="002439C8">
      <w:pPr>
        <w:tabs>
          <w:tab w:val="left" w:pos="10065"/>
        </w:tabs>
        <w:spacing w:line="276" w:lineRule="auto"/>
        <w:jc w:val="left"/>
      </w:pPr>
    </w:p>
    <w:p w14:paraId="4864F449" w14:textId="77777777" w:rsidR="00771CCE" w:rsidRDefault="00F526F2" w:rsidP="002439C8">
      <w:pPr>
        <w:spacing w:line="276" w:lineRule="auto"/>
        <w:jc w:val="left"/>
        <w:rPr>
          <w:b/>
          <w:lang w:val="en-AU" w:eastAsia="en-AU"/>
        </w:rPr>
      </w:pPr>
      <w:r w:rsidRPr="00894099">
        <w:rPr>
          <w:b/>
          <w:lang w:val="en-AU" w:eastAsia="en-AU"/>
        </w:rPr>
        <w:t>Other</w:t>
      </w:r>
      <w:r w:rsidR="006D5CD5" w:rsidRPr="00894099">
        <w:rPr>
          <w:b/>
          <w:lang w:val="en-AU" w:eastAsia="en-AU"/>
        </w:rPr>
        <w:t xml:space="preserve"> pesticide profile</w:t>
      </w:r>
    </w:p>
    <w:p w14:paraId="63FC77DF" w14:textId="0EDA4B92" w:rsidR="00DF7127" w:rsidRPr="00BE05C8" w:rsidRDefault="00F10C53" w:rsidP="002439C8">
      <w:pPr>
        <w:spacing w:line="276" w:lineRule="auto"/>
        <w:jc w:val="left"/>
        <w:rPr>
          <w:b/>
          <w:lang w:val="en-AU" w:eastAsia="en-AU"/>
        </w:rPr>
      </w:pPr>
      <w:r w:rsidRPr="00894099">
        <w:rPr>
          <w:lang w:val="en-AU" w:eastAsia="en-AU"/>
        </w:rPr>
        <w:t xml:space="preserve">Farming best management practice of </w:t>
      </w:r>
      <w:r w:rsidRPr="00894099">
        <w:t>Reef-</w:t>
      </w:r>
      <w:r w:rsidR="000F32C5">
        <w:t xml:space="preserve">catchment </w:t>
      </w:r>
      <w:r w:rsidRPr="00894099">
        <w:t xml:space="preserve">based </w:t>
      </w:r>
      <w:r w:rsidRPr="00894099">
        <w:rPr>
          <w:lang w:val="en-AU" w:eastAsia="en-AU"/>
        </w:rPr>
        <w:t xml:space="preserve">agricultural industries (particularly sugar cane cultivation) </w:t>
      </w:r>
      <w:r w:rsidRPr="00894099">
        <w:t xml:space="preserve">endorses </w:t>
      </w:r>
      <w:r w:rsidRPr="00894099">
        <w:rPr>
          <w:lang w:val="en-AU" w:eastAsia="en-AU"/>
        </w:rPr>
        <w:t xml:space="preserve">the use of </w:t>
      </w:r>
      <w:r w:rsidR="006D5CD5" w:rsidRPr="00894099">
        <w:rPr>
          <w:lang w:val="en-AU" w:eastAsia="en-AU"/>
        </w:rPr>
        <w:t xml:space="preserve">alternative </w:t>
      </w:r>
      <w:r w:rsidR="009C09FB">
        <w:rPr>
          <w:lang w:val="en-AU" w:eastAsia="en-AU"/>
        </w:rPr>
        <w:t>knock-down</w:t>
      </w:r>
      <w:r w:rsidR="006D5CD5" w:rsidRPr="00894099">
        <w:rPr>
          <w:lang w:val="en-AU" w:eastAsia="en-AU"/>
        </w:rPr>
        <w:t xml:space="preserve"> herbicides (such as </w:t>
      </w:r>
      <w:r w:rsidR="00FE6E97">
        <w:rPr>
          <w:lang w:val="en-AU" w:eastAsia="en-AU"/>
        </w:rPr>
        <w:t>2,4</w:t>
      </w:r>
      <w:r w:rsidR="00FE6E97">
        <w:rPr>
          <w:lang w:val="en-AU" w:eastAsia="en-AU"/>
        </w:rPr>
        <w:noBreakHyphen/>
        <w:t>D</w:t>
      </w:r>
      <w:r w:rsidR="006D5CD5" w:rsidRPr="00894099">
        <w:rPr>
          <w:lang w:val="en-AU" w:eastAsia="en-AU"/>
        </w:rPr>
        <w:t xml:space="preserve">, glyphosate) </w:t>
      </w:r>
      <w:r w:rsidR="00C91BF5" w:rsidRPr="00894099">
        <w:rPr>
          <w:lang w:val="en-AU" w:eastAsia="en-AU"/>
        </w:rPr>
        <w:fldChar w:fldCharType="begin"/>
      </w:r>
      <w:r w:rsidR="002D0872">
        <w:rPr>
          <w:lang w:val="en-AU" w:eastAsia="en-AU"/>
        </w:rPr>
        <w:instrText xml:space="preserve"> ADDIN EN.CITE &lt;EndNote&gt;&lt;Cite&gt;&lt;Author&gt;Reef Plan&lt;/Author&gt;&lt;Year&gt;2013&lt;/Year&gt;&lt;RecNum&gt;1&lt;/RecNum&gt;&lt;DisplayText&gt;(Reef Plan, 2013; Smith et al., 2015)&lt;/DisplayText&gt;&lt;record&gt;&lt;rec-number&gt;1&lt;/rec-number&gt;&lt;foreign-keys&gt;&lt;key app="EN" db-id="xtpvpwz0ufxa2me5tv6v2prn2ez5p9atsvtr" timestamp="1539144942"&gt;1&lt;/key&gt;&lt;/foreign-keys&gt;&lt;ref-type name="Report"&gt;27&lt;/ref-type&gt;&lt;contributors&gt;&lt;authors&gt;&lt;author&gt;Reef Plan,&lt;/author&gt;&lt;/authors&gt;&lt;/contributors&gt;&lt;titles&gt;&lt;title&gt;Reef Water Quality Protection Plan 2013: Securing the health and resilience of the Great Barrier Reef World Heritage Area and adjacent catchments&lt;/title&gt;&lt;/titles&gt;&lt;dates&gt;&lt;year&gt;2013&lt;/year&gt;&lt;/dates&gt;&lt;pub-location&gt;Reef Water Quality Protection Plan Secretariat, July 2013. Great Barrier Reef Marine Park Authority, Townsville.&lt;/pub-location&gt;&lt;urls&gt;&lt;/urls&gt;&lt;/record&gt;&lt;/Cite&gt;&lt;Cite&gt;&lt;Author&gt;Smith&lt;/Author&gt;&lt;Year&gt;2015&lt;/Year&gt;&lt;RecNum&gt;61&lt;/RecNum&gt;&lt;record&gt;&lt;rec-number&gt;61&lt;/rec-number&gt;&lt;foreign-keys&gt;&lt;key app="EN" db-id="xtpvpwz0ufxa2me5tv6v2prn2ez5p9atsvtr" timestamp="1539144944"&gt;61&lt;/key&gt;&lt;/foreign-keys&gt;&lt;ref-type name="Report"&gt;27&lt;/ref-type&gt;&lt;contributors&gt;&lt;authors&gt;&lt;author&gt;Smith, R.&lt;/author&gt;&lt;author&gt;Turner, R.&lt;/author&gt;&lt;author&gt;Vardy, S.&lt;/author&gt;&lt;author&gt;Huggins, R.&lt;/author&gt;&lt;author&gt;Wallace, R.&lt;/author&gt;&lt;author&gt;Warne, M. St J.&lt;/author&gt;&lt;/authors&gt;&lt;/contributors&gt;&lt;titles&gt;&lt;title&gt;An evaluation of the prevalence of alternate pesticides of environmental concern in Great Barrier Reef catchments: RP57C. &lt;/title&gt;&lt;/titles&gt;&lt;dates&gt;&lt;year&gt;2015&lt;/year&gt;&lt;/dates&gt;&lt;pub-location&gt;Department of Science, Information Technology, Innovation and the Arts. Brisbane&lt;/pub-location&gt;&lt;urls&gt;&lt;/urls&gt;&lt;/record&gt;&lt;/Cite&gt;&lt;/EndNote&gt;</w:instrText>
      </w:r>
      <w:r w:rsidR="00C91BF5" w:rsidRPr="00894099">
        <w:rPr>
          <w:lang w:val="en-AU" w:eastAsia="en-AU"/>
        </w:rPr>
        <w:fldChar w:fldCharType="separate"/>
      </w:r>
      <w:r w:rsidR="002D0872">
        <w:rPr>
          <w:noProof/>
          <w:lang w:val="en-AU" w:eastAsia="en-AU"/>
        </w:rPr>
        <w:t>(Reef Plan, 2013; Smith et al., 2015)</w:t>
      </w:r>
      <w:r w:rsidR="00C91BF5" w:rsidRPr="00894099">
        <w:rPr>
          <w:lang w:val="en-AU" w:eastAsia="en-AU"/>
        </w:rPr>
        <w:fldChar w:fldCharType="end"/>
      </w:r>
      <w:r w:rsidR="006D5CD5" w:rsidRPr="00894099">
        <w:rPr>
          <w:lang w:val="en-AU" w:eastAsia="en-AU"/>
        </w:rPr>
        <w:t xml:space="preserve">. </w:t>
      </w:r>
      <w:r w:rsidR="00EF7F17" w:rsidRPr="00894099">
        <w:rPr>
          <w:lang w:val="en-AU" w:eastAsia="en-AU"/>
        </w:rPr>
        <w:t xml:space="preserve">In addition, a large number of other pesticides are also now known to be used and transported in </w:t>
      </w:r>
      <w:r w:rsidR="00BF37D6">
        <w:rPr>
          <w:lang w:val="en-AU" w:eastAsia="en-AU"/>
        </w:rPr>
        <w:t>basin</w:t>
      </w:r>
      <w:r w:rsidR="00EF7F17" w:rsidRPr="00894099">
        <w:rPr>
          <w:lang w:val="en-AU" w:eastAsia="en-AU"/>
        </w:rPr>
        <w:t xml:space="preserve">s discharging to the Reef </w:t>
      </w:r>
      <w:r w:rsidR="00894618" w:rsidRPr="00894099">
        <w:rPr>
          <w:lang w:val="en-AU" w:eastAsia="en-AU"/>
        </w:rPr>
        <w:fldChar w:fldCharType="begin"/>
      </w:r>
      <w:r w:rsidR="0018079F">
        <w:rPr>
          <w:lang w:val="en-AU" w:eastAsia="en-AU"/>
        </w:rPr>
        <w:instrText xml:space="preserve"> ADDIN EN.CITE &lt;EndNote&gt;&lt;Cite&gt;&lt;Author&gt;Devlin&lt;/Author&gt;&lt;Year&gt;2015&lt;/Year&gt;&lt;RecNum&gt;16&lt;/RecNum&gt;&lt;DisplayText&gt;(Devlin et al., 2015)&lt;/DisplayText&gt;&lt;record&gt;&lt;rec-number&gt;16&lt;/rec-number&gt;&lt;foreign-keys&gt;&lt;key app="EN" db-id="xtpvpwz0ufxa2me5tv6v2prn2ez5p9atsvtr" timestamp="1539144943"&gt;16&lt;/key&gt;&lt;/foreign-keys&gt;&lt;ref-type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Cairns.&lt;/pub-location&gt;&lt;urls&gt;&lt;/urls&gt;&lt;/record&gt;&lt;/Cite&gt;&lt;/EndNote&gt;</w:instrText>
      </w:r>
      <w:r w:rsidR="00894618" w:rsidRPr="00894099">
        <w:rPr>
          <w:lang w:val="en-AU" w:eastAsia="en-AU"/>
        </w:rPr>
        <w:fldChar w:fldCharType="separate"/>
      </w:r>
      <w:r w:rsidR="00B33845" w:rsidRPr="00894099">
        <w:rPr>
          <w:noProof/>
          <w:lang w:val="en-AU" w:eastAsia="en-AU"/>
        </w:rPr>
        <w:t>(Devlin et al., 2015)</w:t>
      </w:r>
      <w:r w:rsidR="00894618" w:rsidRPr="00894099">
        <w:rPr>
          <w:lang w:val="en-AU" w:eastAsia="en-AU"/>
        </w:rPr>
        <w:fldChar w:fldCharType="end"/>
      </w:r>
      <w:r w:rsidR="00EF7F17" w:rsidRPr="00894099">
        <w:rPr>
          <w:lang w:val="en-AU" w:eastAsia="en-AU"/>
        </w:rPr>
        <w:t xml:space="preserve">, including </w:t>
      </w:r>
      <w:r w:rsidR="003509A6" w:rsidRPr="00894099">
        <w:rPr>
          <w:lang w:val="en-AU" w:eastAsia="en-AU"/>
        </w:rPr>
        <w:t>insecticides</w:t>
      </w:r>
      <w:r w:rsidR="003509A6">
        <w:rPr>
          <w:lang w:val="en-AU" w:eastAsia="en-AU"/>
        </w:rPr>
        <w:t>,</w:t>
      </w:r>
      <w:r w:rsidR="003509A6" w:rsidRPr="00894099">
        <w:rPr>
          <w:lang w:val="en-AU" w:eastAsia="en-AU"/>
        </w:rPr>
        <w:t xml:space="preserve"> fungicides </w:t>
      </w:r>
      <w:r w:rsidR="003509A6">
        <w:rPr>
          <w:lang w:val="en-AU" w:eastAsia="en-AU"/>
        </w:rPr>
        <w:t xml:space="preserve">and </w:t>
      </w:r>
      <w:r w:rsidR="00EF7F17" w:rsidRPr="00894099">
        <w:rPr>
          <w:lang w:val="en-AU" w:eastAsia="en-AU"/>
        </w:rPr>
        <w:t>other herbicides (i.e. herbicides that are not used as a PSII herbicide alternative weed control</w:t>
      </w:r>
      <w:r w:rsidR="009C09FB">
        <w:rPr>
          <w:lang w:val="en-AU" w:eastAsia="en-AU"/>
        </w:rPr>
        <w:t>,</w:t>
      </w:r>
      <w:r w:rsidR="00EF7F17" w:rsidRPr="00894099">
        <w:rPr>
          <w:lang w:val="en-AU" w:eastAsia="en-AU"/>
        </w:rPr>
        <w:t xml:space="preserve"> </w:t>
      </w:r>
      <w:r w:rsidR="00EF7F17" w:rsidRPr="00C26350">
        <w:rPr>
          <w:lang w:val="en-AU" w:eastAsia="en-AU"/>
        </w:rPr>
        <w:t xml:space="preserve">e.g. metsulfuron-methyl). </w:t>
      </w:r>
    </w:p>
    <w:p w14:paraId="678FA0AB" w14:textId="77777777" w:rsidR="00DF7127" w:rsidRDefault="00DF7127" w:rsidP="002439C8">
      <w:pPr>
        <w:spacing w:line="276" w:lineRule="auto"/>
        <w:jc w:val="left"/>
        <w:rPr>
          <w:lang w:val="en-AU" w:eastAsia="en-AU"/>
        </w:rPr>
      </w:pPr>
    </w:p>
    <w:p w14:paraId="0C13A73A" w14:textId="7D025FEF" w:rsidR="006D5CD5" w:rsidRPr="000825F1" w:rsidRDefault="00F526F2" w:rsidP="002439C8">
      <w:pPr>
        <w:spacing w:line="276" w:lineRule="auto"/>
        <w:jc w:val="left"/>
        <w:rPr>
          <w:color w:val="0070C0"/>
          <w:lang w:val="en-AU" w:eastAsia="en-AU"/>
        </w:rPr>
      </w:pPr>
      <w:r w:rsidRPr="00C26350">
        <w:rPr>
          <w:lang w:val="en-AU" w:eastAsia="en-AU"/>
        </w:rPr>
        <w:t>T</w:t>
      </w:r>
      <w:r w:rsidR="00BC7879" w:rsidRPr="00C26350">
        <w:rPr>
          <w:lang w:val="en-AU" w:eastAsia="en-AU"/>
        </w:rPr>
        <w:t xml:space="preserve">he prevalence of </w:t>
      </w:r>
      <w:r w:rsidRPr="00C26350">
        <w:rPr>
          <w:lang w:val="en-AU" w:eastAsia="en-AU"/>
        </w:rPr>
        <w:t>other</w:t>
      </w:r>
      <w:r w:rsidR="00BC7879" w:rsidRPr="00C26350">
        <w:rPr>
          <w:lang w:val="en-AU" w:eastAsia="en-AU"/>
        </w:rPr>
        <w:t xml:space="preserve"> pesticides are </w:t>
      </w:r>
      <w:r w:rsidRPr="00C26350">
        <w:rPr>
          <w:lang w:val="en-AU" w:eastAsia="en-AU"/>
        </w:rPr>
        <w:t xml:space="preserve">now </w:t>
      </w:r>
      <w:r w:rsidR="00BC7879" w:rsidRPr="00C26350">
        <w:rPr>
          <w:lang w:val="en-AU" w:eastAsia="en-AU"/>
        </w:rPr>
        <w:t xml:space="preserve">being monitored </w:t>
      </w:r>
      <w:r w:rsidR="00EF7F17" w:rsidRPr="00C26350">
        <w:rPr>
          <w:lang w:val="en-AU" w:eastAsia="en-AU"/>
        </w:rPr>
        <w:t xml:space="preserve">as part of </w:t>
      </w:r>
      <w:r w:rsidR="00EF7F17" w:rsidRPr="00481C1A">
        <w:rPr>
          <w:lang w:val="en-AU" w:eastAsia="en-AU"/>
        </w:rPr>
        <w:t>GBRCLMP</w:t>
      </w:r>
      <w:r w:rsidR="00EF7F17" w:rsidRPr="00C26350">
        <w:rPr>
          <w:lang w:val="en-AU" w:eastAsia="en-AU"/>
        </w:rPr>
        <w:t xml:space="preserve"> </w:t>
      </w:r>
      <w:r w:rsidR="001E0D47">
        <w:rPr>
          <w:lang w:val="en-AU" w:eastAsia="en-AU"/>
        </w:rPr>
        <w:t>in addition to</w:t>
      </w:r>
      <w:r w:rsidR="001E0D47" w:rsidRPr="00C26350">
        <w:rPr>
          <w:lang w:val="en-AU" w:eastAsia="en-AU"/>
        </w:rPr>
        <w:t xml:space="preserve"> </w:t>
      </w:r>
      <w:r w:rsidR="00BC7879" w:rsidRPr="00C26350">
        <w:rPr>
          <w:lang w:val="en-AU" w:eastAsia="en-AU"/>
        </w:rPr>
        <w:t xml:space="preserve">the PSII herbicides </w:t>
      </w:r>
      <w:r w:rsidR="00EF7F17" w:rsidRPr="00C26350">
        <w:rPr>
          <w:lang w:val="en-AU" w:eastAsia="en-AU"/>
        </w:rPr>
        <w:t xml:space="preserve">targeted as a priority for reduction in Reef Plan (2009 and 2013). </w:t>
      </w:r>
      <w:r w:rsidR="005A5735" w:rsidRPr="005A5735">
        <w:rPr>
          <w:lang w:val="en-AU" w:eastAsia="en-AU"/>
        </w:rPr>
        <w:t>Routine analysis of other pesticides in both passive and grab samples was initiated in 2014</w:t>
      </w:r>
      <w:r w:rsidR="000F32C5">
        <w:rPr>
          <w:lang w:val="en-AU" w:eastAsia="en-AU"/>
        </w:rPr>
        <w:t>–20</w:t>
      </w:r>
      <w:r w:rsidR="005A5735" w:rsidRPr="005A5735">
        <w:rPr>
          <w:lang w:val="en-AU" w:eastAsia="en-AU"/>
        </w:rPr>
        <w:t xml:space="preserve">15, and </w:t>
      </w:r>
      <w:r w:rsidR="00C005F1">
        <w:rPr>
          <w:lang w:val="en-AU" w:eastAsia="en-AU"/>
        </w:rPr>
        <w:t xml:space="preserve">many </w:t>
      </w:r>
      <w:r w:rsidR="005A5735" w:rsidRPr="005A5735">
        <w:rPr>
          <w:lang w:val="en-AU" w:eastAsia="en-AU"/>
        </w:rPr>
        <w:t xml:space="preserve">have been detected since then in </w:t>
      </w:r>
      <w:r w:rsidR="00C005F1">
        <w:rPr>
          <w:lang w:val="en-AU" w:eastAsia="en-AU"/>
        </w:rPr>
        <w:t>both</w:t>
      </w:r>
      <w:r w:rsidR="005A5735" w:rsidRPr="005A5735">
        <w:rPr>
          <w:lang w:val="en-AU" w:eastAsia="en-AU"/>
        </w:rPr>
        <w:t xml:space="preserve"> sample</w:t>
      </w:r>
      <w:r w:rsidR="00B064D9">
        <w:rPr>
          <w:lang w:val="en-AU" w:eastAsia="en-AU"/>
        </w:rPr>
        <w:t>r</w:t>
      </w:r>
      <w:r w:rsidR="00C005F1">
        <w:rPr>
          <w:lang w:val="en-AU" w:eastAsia="en-AU"/>
        </w:rPr>
        <w:t xml:space="preserve"> types</w:t>
      </w:r>
      <w:r w:rsidR="005A5735" w:rsidRPr="005A5735">
        <w:rPr>
          <w:lang w:val="en-AU" w:eastAsia="en-AU"/>
        </w:rPr>
        <w:t xml:space="preserve"> at most sites. </w:t>
      </w:r>
      <w:bookmarkStart w:id="620" w:name="_Hlk509054592"/>
      <w:r w:rsidR="00222272" w:rsidRPr="000F32C5">
        <w:rPr>
          <w:lang w:val="en-AU" w:eastAsia="en-AU"/>
        </w:rPr>
        <w:t>M</w:t>
      </w:r>
      <w:r w:rsidR="00C26350" w:rsidRPr="000F32C5">
        <w:rPr>
          <w:lang w:val="en-AU" w:eastAsia="en-AU"/>
        </w:rPr>
        <w:t xml:space="preserve">etolachlor, </w:t>
      </w:r>
      <w:r w:rsidR="00FE6E97">
        <w:rPr>
          <w:lang w:val="en-AU" w:eastAsia="en-AU"/>
        </w:rPr>
        <w:t>2,4</w:t>
      </w:r>
      <w:r w:rsidR="00FE6E97">
        <w:rPr>
          <w:lang w:val="en-AU" w:eastAsia="en-AU"/>
        </w:rPr>
        <w:noBreakHyphen/>
        <w:t>D</w:t>
      </w:r>
      <w:r w:rsidR="00C26350" w:rsidRPr="000F32C5">
        <w:rPr>
          <w:lang w:val="en-AU" w:eastAsia="en-AU"/>
        </w:rPr>
        <w:t>, MCPA</w:t>
      </w:r>
      <w:r w:rsidR="00936249" w:rsidRPr="000F32C5">
        <w:rPr>
          <w:lang w:val="en-AU" w:eastAsia="en-AU"/>
        </w:rPr>
        <w:t>,</w:t>
      </w:r>
      <w:r w:rsidR="006D5CD5" w:rsidRPr="000F32C5">
        <w:rPr>
          <w:lang w:val="en-AU" w:eastAsia="en-AU"/>
        </w:rPr>
        <w:t xml:space="preserve"> </w:t>
      </w:r>
      <w:r w:rsidR="00222272" w:rsidRPr="000F32C5">
        <w:rPr>
          <w:lang w:val="en-AU" w:eastAsia="en-AU"/>
        </w:rPr>
        <w:t xml:space="preserve">and </w:t>
      </w:r>
      <w:r w:rsidR="00B04F94" w:rsidRPr="000F32C5">
        <w:rPr>
          <w:lang w:val="en-AU" w:eastAsia="en-AU"/>
        </w:rPr>
        <w:t>imidacloprid</w:t>
      </w:r>
      <w:r w:rsidR="006D5CD5" w:rsidRPr="000F32C5">
        <w:rPr>
          <w:lang w:val="en-AU" w:eastAsia="en-AU"/>
        </w:rPr>
        <w:t xml:space="preserve"> were </w:t>
      </w:r>
      <w:r w:rsidR="005A5735" w:rsidRPr="000F32C5">
        <w:rPr>
          <w:lang w:val="en-AU" w:eastAsia="en-AU"/>
        </w:rPr>
        <w:t>consistently</w:t>
      </w:r>
      <w:r w:rsidRPr="000F32C5">
        <w:rPr>
          <w:lang w:val="en-AU" w:eastAsia="en-AU"/>
        </w:rPr>
        <w:t xml:space="preserve"> </w:t>
      </w:r>
      <w:r w:rsidR="006D5CD5" w:rsidRPr="000F32C5">
        <w:rPr>
          <w:lang w:val="en-AU" w:eastAsia="en-AU"/>
        </w:rPr>
        <w:t>detected in passive samplers</w:t>
      </w:r>
      <w:r w:rsidR="00D773DD" w:rsidRPr="000F32C5">
        <w:rPr>
          <w:lang w:val="en-AU" w:eastAsia="en-AU"/>
        </w:rPr>
        <w:t xml:space="preserve"> in the current</w:t>
      </w:r>
      <w:r w:rsidR="006D5CD5" w:rsidRPr="000F32C5">
        <w:rPr>
          <w:lang w:val="en-AU" w:eastAsia="en-AU"/>
        </w:rPr>
        <w:t xml:space="preserve"> monitoring year. </w:t>
      </w:r>
      <w:bookmarkEnd w:id="620"/>
      <w:r w:rsidR="00222272" w:rsidRPr="000F32C5">
        <w:rPr>
          <w:lang w:val="en-AU" w:eastAsia="en-AU"/>
        </w:rPr>
        <w:t>Othe</w:t>
      </w:r>
      <w:r w:rsidR="000F32C5" w:rsidRPr="000F32C5">
        <w:rPr>
          <w:lang w:val="en-AU" w:eastAsia="en-AU"/>
        </w:rPr>
        <w:t>r</w:t>
      </w:r>
      <w:r w:rsidR="00222272" w:rsidRPr="000F32C5">
        <w:rPr>
          <w:lang w:val="en-AU" w:eastAsia="en-AU"/>
        </w:rPr>
        <w:t xml:space="preserve"> pesticides </w:t>
      </w:r>
      <w:r w:rsidR="000F32C5" w:rsidRPr="000F32C5">
        <w:rPr>
          <w:lang w:val="en-AU" w:eastAsia="en-AU"/>
        </w:rPr>
        <w:t xml:space="preserve">are also </w:t>
      </w:r>
      <w:r w:rsidR="005A5735" w:rsidRPr="000F32C5">
        <w:rPr>
          <w:lang w:val="en-AU" w:eastAsia="en-AU"/>
        </w:rPr>
        <w:t xml:space="preserve">detected </w:t>
      </w:r>
      <w:r w:rsidR="000F32C5" w:rsidRPr="000F32C5">
        <w:rPr>
          <w:lang w:val="en-AU" w:eastAsia="en-AU"/>
        </w:rPr>
        <w:t xml:space="preserve">at </w:t>
      </w:r>
      <w:r w:rsidR="00222272" w:rsidRPr="000F32C5">
        <w:rPr>
          <w:lang w:val="en-AU" w:eastAsia="en-AU"/>
        </w:rPr>
        <w:t>low level</w:t>
      </w:r>
      <w:r w:rsidR="000F32C5" w:rsidRPr="000F32C5">
        <w:rPr>
          <w:lang w:val="en-AU" w:eastAsia="en-AU"/>
        </w:rPr>
        <w:t>s</w:t>
      </w:r>
      <w:r w:rsidR="005A5735" w:rsidRPr="000F32C5">
        <w:rPr>
          <w:lang w:val="en-AU" w:eastAsia="en-AU"/>
        </w:rPr>
        <w:t xml:space="preserve">. </w:t>
      </w:r>
      <w:r w:rsidR="00F0451C" w:rsidRPr="000F32C5">
        <w:rPr>
          <w:lang w:val="en-AU" w:eastAsia="en-AU"/>
        </w:rPr>
        <w:t xml:space="preserve">Compared to PSII herbicides, detected concentrations of </w:t>
      </w:r>
      <w:r w:rsidRPr="000F32C5">
        <w:rPr>
          <w:lang w:val="en-AU" w:eastAsia="en-AU"/>
        </w:rPr>
        <w:t>other</w:t>
      </w:r>
      <w:r w:rsidR="00F0451C" w:rsidRPr="000F32C5">
        <w:rPr>
          <w:lang w:val="en-AU" w:eastAsia="en-AU"/>
        </w:rPr>
        <w:t xml:space="preserve"> pesticides at the</w:t>
      </w:r>
      <w:r w:rsidR="00C005F1" w:rsidRPr="000F32C5">
        <w:rPr>
          <w:lang w:val="en-AU" w:eastAsia="en-AU"/>
        </w:rPr>
        <w:t xml:space="preserve"> fixed passive</w:t>
      </w:r>
      <w:r w:rsidR="00E259EC" w:rsidRPr="000F32C5">
        <w:rPr>
          <w:lang w:val="en-AU" w:eastAsia="en-AU"/>
        </w:rPr>
        <w:t xml:space="preserve"> sites were </w:t>
      </w:r>
      <w:r w:rsidR="005A5735" w:rsidRPr="000F32C5">
        <w:rPr>
          <w:lang w:val="en-AU" w:eastAsia="en-AU"/>
        </w:rPr>
        <w:t>generally very</w:t>
      </w:r>
      <w:r w:rsidRPr="000F32C5">
        <w:rPr>
          <w:lang w:val="en-AU" w:eastAsia="en-AU"/>
        </w:rPr>
        <w:t xml:space="preserve"> </w:t>
      </w:r>
      <w:r w:rsidR="00E259EC" w:rsidRPr="000F32C5">
        <w:rPr>
          <w:lang w:val="en-AU" w:eastAsia="en-AU"/>
        </w:rPr>
        <w:t>low</w:t>
      </w:r>
      <w:r w:rsidR="00C005F1" w:rsidRPr="000F32C5">
        <w:rPr>
          <w:lang w:val="en-AU" w:eastAsia="en-AU"/>
        </w:rPr>
        <w:t xml:space="preserve"> (i.e. typically &lt;1</w:t>
      </w:r>
      <w:r w:rsidR="00961C35">
        <w:rPr>
          <w:lang w:val="en-AU" w:eastAsia="en-AU"/>
        </w:rPr>
        <w:t> ng L</w:t>
      </w:r>
      <w:r w:rsidR="00A209AA" w:rsidRPr="00A209AA">
        <w:rPr>
          <w:vertAlign w:val="superscript"/>
          <w:lang w:val="en-AU" w:eastAsia="en-AU"/>
        </w:rPr>
        <w:noBreakHyphen/>
        <w:t>1</w:t>
      </w:r>
      <w:r w:rsidR="00C005F1">
        <w:rPr>
          <w:lang w:val="en-AU" w:eastAsia="en-AU"/>
        </w:rPr>
        <w:t>)</w:t>
      </w:r>
      <w:r w:rsidR="005C35F0">
        <w:rPr>
          <w:lang w:val="en-AU" w:eastAsia="en-AU"/>
        </w:rPr>
        <w:t xml:space="preserve"> </w:t>
      </w:r>
      <w:bookmarkStart w:id="621" w:name="_Hlk509054509"/>
      <w:r w:rsidR="00C005F1">
        <w:rPr>
          <w:lang w:val="en-AU" w:eastAsia="en-AU"/>
        </w:rPr>
        <w:t>with the exception of</w:t>
      </w:r>
      <w:r w:rsidR="0038193C" w:rsidRPr="0038193C">
        <w:rPr>
          <w:lang w:val="en-AU" w:eastAsia="en-AU"/>
        </w:rPr>
        <w:t xml:space="preserve"> isolated samples from</w:t>
      </w:r>
      <w:r w:rsidR="00D773DD" w:rsidRPr="0038193C">
        <w:rPr>
          <w:lang w:val="en-AU" w:eastAsia="en-AU"/>
        </w:rPr>
        <w:t xml:space="preserve"> Round Top Island</w:t>
      </w:r>
      <w:bookmarkEnd w:id="621"/>
      <w:r w:rsidR="00222272">
        <w:rPr>
          <w:lang w:val="en-AU" w:eastAsia="en-AU"/>
        </w:rPr>
        <w:t xml:space="preserve"> where the maximum concentrations of</w:t>
      </w:r>
      <w:r w:rsidR="00D72F6A">
        <w:rPr>
          <w:lang w:val="en-AU" w:eastAsia="en-AU"/>
        </w:rPr>
        <w:t xml:space="preserve"> metolachlor and </w:t>
      </w:r>
      <w:r w:rsidR="00FE6E97">
        <w:rPr>
          <w:lang w:val="en-AU" w:eastAsia="en-AU"/>
        </w:rPr>
        <w:t>2,4</w:t>
      </w:r>
      <w:r w:rsidR="00FE6E97">
        <w:rPr>
          <w:lang w:val="en-AU" w:eastAsia="en-AU"/>
        </w:rPr>
        <w:noBreakHyphen/>
        <w:t>D</w:t>
      </w:r>
      <w:r w:rsidR="00D72F6A">
        <w:rPr>
          <w:lang w:val="en-AU" w:eastAsia="en-AU"/>
        </w:rPr>
        <w:t xml:space="preserve"> were 16 and 8</w:t>
      </w:r>
      <w:r w:rsidR="007F212B">
        <w:rPr>
          <w:lang w:val="en-AU" w:eastAsia="en-AU"/>
        </w:rPr>
        <w:t> </w:t>
      </w:r>
      <w:r w:rsidR="00222272">
        <w:rPr>
          <w:lang w:val="en-AU" w:eastAsia="en-AU"/>
        </w:rPr>
        <w:t>n</w:t>
      </w:r>
      <w:r w:rsidR="00FE6E97">
        <w:rPr>
          <w:lang w:val="en-AU" w:eastAsia="en-AU"/>
        </w:rPr>
        <w:t>g L</w:t>
      </w:r>
      <w:r w:rsidR="005C25EE" w:rsidRPr="00A209AA">
        <w:rPr>
          <w:vertAlign w:val="superscript"/>
          <w:lang w:val="en-GB" w:eastAsia="en-AU"/>
        </w:rPr>
        <w:noBreakHyphen/>
        <w:t>1</w:t>
      </w:r>
      <w:r w:rsidR="00222272">
        <w:rPr>
          <w:lang w:val="en-AU" w:eastAsia="en-AU"/>
        </w:rPr>
        <w:t>, respectively</w:t>
      </w:r>
      <w:r w:rsidR="00E259EC" w:rsidRPr="0038193C">
        <w:rPr>
          <w:lang w:val="en-AU" w:eastAsia="en-AU"/>
        </w:rPr>
        <w:t>.</w:t>
      </w:r>
    </w:p>
    <w:p w14:paraId="69030D25" w14:textId="77777777" w:rsidR="00D773DD" w:rsidRPr="005C35F0" w:rsidRDefault="00D773DD" w:rsidP="002439C8">
      <w:pPr>
        <w:spacing w:line="276" w:lineRule="auto"/>
        <w:jc w:val="left"/>
        <w:rPr>
          <w:lang w:val="en-AU" w:eastAsia="en-AU"/>
        </w:rPr>
      </w:pPr>
    </w:p>
    <w:p w14:paraId="351C43AC" w14:textId="3E9B32F3" w:rsidR="00DF7127" w:rsidRDefault="00222272" w:rsidP="002439C8">
      <w:pPr>
        <w:spacing w:line="276" w:lineRule="auto"/>
        <w:jc w:val="left"/>
      </w:pPr>
      <w:r>
        <w:rPr>
          <w:lang w:val="en-AU" w:eastAsia="en-AU"/>
        </w:rPr>
        <w:t xml:space="preserve">The discharge of </w:t>
      </w:r>
      <w:r w:rsidR="006D5CD5" w:rsidRPr="005C35F0">
        <w:rPr>
          <w:lang w:val="en-AU" w:eastAsia="en-AU"/>
        </w:rPr>
        <w:t xml:space="preserve">diverse mixtures of </w:t>
      </w:r>
      <w:r w:rsidR="00D773DD" w:rsidRPr="005C35F0">
        <w:rPr>
          <w:lang w:val="en-AU" w:eastAsia="en-AU"/>
        </w:rPr>
        <w:t>pesticides</w:t>
      </w:r>
      <w:r w:rsidR="006D5CD5" w:rsidRPr="005C35F0">
        <w:rPr>
          <w:lang w:val="en-AU" w:eastAsia="en-AU"/>
        </w:rPr>
        <w:t xml:space="preserve"> with multiple modes of action into the marine environment present</w:t>
      </w:r>
      <w:r>
        <w:rPr>
          <w:lang w:val="en-AU" w:eastAsia="en-AU"/>
        </w:rPr>
        <w:t>s</w:t>
      </w:r>
      <w:r w:rsidR="006D5CD5" w:rsidRPr="005C35F0">
        <w:rPr>
          <w:lang w:val="en-AU" w:eastAsia="en-AU"/>
        </w:rPr>
        <w:t xml:space="preserve"> a combined toxicity risk to aquatic life</w:t>
      </w:r>
      <w:r>
        <w:rPr>
          <w:lang w:val="en-AU" w:eastAsia="en-AU"/>
        </w:rPr>
        <w:t xml:space="preserve">, which </w:t>
      </w:r>
      <w:r w:rsidR="00D72F6A">
        <w:rPr>
          <w:lang w:val="en-AU" w:eastAsia="en-AU"/>
        </w:rPr>
        <w:t xml:space="preserve">is </w:t>
      </w:r>
      <w:r>
        <w:rPr>
          <w:lang w:val="en-AU" w:eastAsia="en-AU"/>
        </w:rPr>
        <w:t xml:space="preserve">assessed by the </w:t>
      </w:r>
      <w:r w:rsidR="005E2B71">
        <w:rPr>
          <w:lang w:val="en-AU" w:eastAsia="en-AU"/>
        </w:rPr>
        <w:t>ms</w:t>
      </w:r>
      <w:r w:rsidR="005E2B71">
        <w:rPr>
          <w:lang w:val="en-AU" w:eastAsia="en-AU"/>
        </w:rPr>
        <w:noBreakHyphen/>
        <w:t>PAF</w:t>
      </w:r>
      <w:r>
        <w:rPr>
          <w:lang w:val="en-AU" w:eastAsia="en-AU"/>
        </w:rPr>
        <w:t xml:space="preserve"> matrix</w:t>
      </w:r>
      <w:r w:rsidR="006D5CD5" w:rsidRPr="005C35F0">
        <w:rPr>
          <w:lang w:val="en-AU" w:eastAsia="en-AU"/>
        </w:rPr>
        <w:t>.</w:t>
      </w:r>
      <w:r w:rsidR="00DB4330" w:rsidRPr="005C35F0">
        <w:t xml:space="preserve"> </w:t>
      </w:r>
    </w:p>
    <w:p w14:paraId="185CE14C" w14:textId="77777777" w:rsidR="00DF7127" w:rsidRDefault="00DF7127" w:rsidP="002439C8">
      <w:pPr>
        <w:spacing w:line="276" w:lineRule="auto"/>
        <w:jc w:val="left"/>
      </w:pPr>
    </w:p>
    <w:p w14:paraId="3E3BE2D9" w14:textId="77777777" w:rsidR="000D7C1C" w:rsidRDefault="000D7C1C" w:rsidP="002439C8">
      <w:pPr>
        <w:spacing w:line="276" w:lineRule="auto"/>
        <w:jc w:val="left"/>
        <w:rPr>
          <w:lang w:val="en-AU"/>
        </w:rPr>
      </w:pPr>
      <w:r w:rsidRPr="00963BE7">
        <w:t>The end-of-</w:t>
      </w:r>
      <w:r>
        <w:t>basin</w:t>
      </w:r>
      <w:r w:rsidRPr="00963BE7">
        <w:t xml:space="preserve"> pesticide </w:t>
      </w:r>
      <w:r>
        <w:t>monitoring</w:t>
      </w:r>
      <w:r w:rsidRPr="00963BE7">
        <w:t xml:space="preserve"> under the GBRCLMP reflect</w:t>
      </w:r>
      <w:r w:rsidR="00687413">
        <w:t>s</w:t>
      </w:r>
      <w:r w:rsidRPr="00963BE7">
        <w:t xml:space="preserve"> the entirety of paddock-scale drivers and pressures resulting in pesticide losses into waterways and subsequent detection in marine environments. </w:t>
      </w:r>
      <w:r>
        <w:rPr>
          <w:lang w:val="en-AU"/>
        </w:rPr>
        <w:t xml:space="preserve"> Overall, compared to rivers and estuarine waters in the </w:t>
      </w:r>
      <w:r w:rsidR="00687413">
        <w:rPr>
          <w:lang w:val="en-AU"/>
        </w:rPr>
        <w:t>catchment</w:t>
      </w:r>
      <w:r>
        <w:rPr>
          <w:lang w:val="en-AU"/>
        </w:rPr>
        <w:t xml:space="preserve">, concentrations of pesticides in the marine environment are low </w:t>
      </w:r>
      <w:r>
        <w:rPr>
          <w:lang w:val="en-AU"/>
        </w:rPr>
        <w:fldChar w:fldCharType="begin"/>
      </w:r>
      <w:r>
        <w:rPr>
          <w:lang w:val="en-AU"/>
        </w:rPr>
        <w:instrText xml:space="preserve"> ADDIN EN.CITE &lt;EndNote&gt;&lt;Cite&gt;&lt;Author&gt;Devlin&lt;/Author&gt;&lt;Year&gt;2015&lt;/Year&gt;&lt;RecNum&gt;16&lt;/RecNum&gt;&lt;DisplayText&gt;(Devlin et al., 2015)&lt;/DisplayText&gt;&lt;record&gt;&lt;rec-number&gt;16&lt;/rec-number&gt;&lt;foreign-keys&gt;&lt;key app="EN" db-id="xtpvpwz0ufxa2me5tv6v2prn2ez5p9atsvtr" timestamp="1539144943"&gt;16&lt;/key&gt;&lt;/foreign-keys&gt;&lt;ref-type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Cairns.&lt;/pub-location&gt;&lt;urls&gt;&lt;/urls&gt;&lt;/record&gt;&lt;/Cite&gt;&lt;/EndNote&gt;</w:instrText>
      </w:r>
      <w:r>
        <w:rPr>
          <w:lang w:val="en-AU"/>
        </w:rPr>
        <w:fldChar w:fldCharType="separate"/>
      </w:r>
      <w:r>
        <w:rPr>
          <w:noProof/>
          <w:lang w:val="en-AU"/>
        </w:rPr>
        <w:t>(Devlin et al., 2015)</w:t>
      </w:r>
      <w:r>
        <w:rPr>
          <w:lang w:val="en-AU"/>
        </w:rPr>
        <w:fldChar w:fldCharType="end"/>
      </w:r>
      <w:r>
        <w:rPr>
          <w:lang w:val="en-AU"/>
        </w:rPr>
        <w:t xml:space="preserve">, due to processes such as dilution and degradation </w:t>
      </w:r>
      <w:r>
        <w:rPr>
          <w:lang w:val="en-AU"/>
        </w:rPr>
        <w:fldChar w:fldCharType="begin"/>
      </w:r>
      <w:r>
        <w:rPr>
          <w:lang w:val="en-AU"/>
        </w:rPr>
        <w:instrText xml:space="preserve"> ADDIN EN.CITE &lt;EndNote&gt;&lt;Cite&gt;&lt;Author&gt;Lewis&lt;/Author&gt;&lt;Year&gt;2009&lt;/Year&gt;&lt;RecNum&gt;17&lt;/RecNum&gt;&lt;DisplayText&gt;(Lewis et al., 2009)&lt;/DisplayText&gt;&lt;record&gt;&lt;rec-number&gt;17&lt;/rec-number&gt;&lt;foreign-keys&gt;&lt;key app="EN" db-id="xtpvpwz0ufxa2me5tv6v2prn2ez5p9atsvtr" timestamp="1539144943"&gt;17&lt;/key&gt;&lt;/foreign-keys&gt;&lt;ref-type name="Journal Article"&gt;17&lt;/ref-type&gt;&lt;contributors&gt;&lt;authors&gt;&lt;author&gt;Lewis, Stephen E&lt;/author&gt;&lt;author&gt;Brodie, Jon E&lt;/author&gt;&lt;author&gt;Bainbridge, Zoë T&lt;/author&gt;&lt;author&gt;Rohde, Ken W&lt;/author&gt;&lt;author&gt;Davis, Aaron M&lt;/author&gt;&lt;author&gt;Masters, Bronwyn L&lt;/author&gt;&lt;author&gt;Maughan, Mirjam&lt;/author&gt;&lt;author&gt;Devlin, Michelle J&lt;/author&gt;&lt;author&gt;Mueller, Jochen F&lt;/author&gt;&lt;author&gt;Schaffelke, Britta&lt;/author&gt;&lt;/authors&gt;&lt;/contributors&gt;&lt;titles&gt;&lt;title&gt;Herbicides: a new threat to the Great Barrier Reef&lt;/title&gt;&lt;secondary-title&gt;Environmental Pollution&lt;/secondary-title&gt;&lt;/titles&gt;&lt;periodical&gt;&lt;full-title&gt;Environmental Pollution&lt;/full-title&gt;&lt;/periodical&gt;&lt;pages&gt;2470-2484&lt;/pages&gt;&lt;volume&gt;157&lt;/volume&gt;&lt;number&gt;8&lt;/number&gt;&lt;dates&gt;&lt;year&gt;2009&lt;/year&gt;&lt;/dates&gt;&lt;isbn&gt;0269-7491&lt;/isbn&gt;&lt;urls&gt;&lt;/urls&gt;&lt;/record&gt;&lt;/Cite&gt;&lt;/EndNote&gt;</w:instrText>
      </w:r>
      <w:r>
        <w:rPr>
          <w:lang w:val="en-AU"/>
        </w:rPr>
        <w:fldChar w:fldCharType="separate"/>
      </w:r>
      <w:r>
        <w:rPr>
          <w:noProof/>
          <w:lang w:val="en-AU"/>
        </w:rPr>
        <w:t>(Lewis et al., 2009)</w:t>
      </w:r>
      <w:r>
        <w:rPr>
          <w:lang w:val="en-AU"/>
        </w:rPr>
        <w:fldChar w:fldCharType="end"/>
      </w:r>
      <w:r>
        <w:rPr>
          <w:lang w:val="en-AU"/>
        </w:rPr>
        <w:t xml:space="preserve">. </w:t>
      </w:r>
      <w:r w:rsidRPr="00687413">
        <w:rPr>
          <w:lang w:val="en-AU"/>
        </w:rPr>
        <w:t xml:space="preserve">Nevertheless, the chronic effects of low level pesticide exposure to corals and seagrass, especially in combination with other local and global pressures, remain </w:t>
      </w:r>
      <w:r w:rsidR="00687413">
        <w:rPr>
          <w:lang w:val="en-AU"/>
        </w:rPr>
        <w:t>a concern</w:t>
      </w:r>
      <w:r w:rsidRPr="00687413">
        <w:rPr>
          <w:lang w:val="en-AU"/>
        </w:rPr>
        <w:t xml:space="preserve"> </w:t>
      </w:r>
      <w:r w:rsidRPr="00687413">
        <w:rPr>
          <w:lang w:val="en-AU"/>
        </w:rPr>
        <w:fldChar w:fldCharType="begin"/>
      </w:r>
      <w:r w:rsidR="002D0872" w:rsidRPr="00687413">
        <w:rPr>
          <w:lang w:val="en-AU"/>
        </w:rPr>
        <w:instrText xml:space="preserve"> ADDIN EN.CITE &lt;EndNote&gt;&lt;Cite&gt;&lt;Author&gt;Brodie&lt;/Author&gt;&lt;Year&gt;2013&lt;/Year&gt;&lt;RecNum&gt;9&lt;/RecNum&gt;&lt;DisplayText&gt;(Brodie et al., 2013; Wilkinson et al., 2017)&lt;/DisplayText&gt;&lt;record&gt;&lt;rec-number&gt;9&lt;/rec-number&gt;&lt;foreign-keys&gt;&lt;key app="EN" db-id="xtpvpwz0ufxa2me5tv6v2prn2ez5p9atsvtr" timestamp="1539144943"&gt;9&lt;/key&gt;&lt;/foreign-keys&gt;&lt;ref-type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Secretariat&lt;/pub-location&gt;&lt;urls&gt;&lt;/urls&gt;&lt;/record&gt;&lt;/Cite&gt;&lt;Cite&gt;&lt;Author&gt;Wilkinson&lt;/Author&gt;&lt;Year&gt;2017&lt;/Year&gt;&lt;RecNum&gt;18&lt;/RecNum&gt;&lt;record&gt;&lt;rec-number&gt;18&lt;/rec-number&gt;&lt;foreign-keys&gt;&lt;key app="EN" db-id="xtpvpwz0ufxa2me5tv6v2prn2ez5p9atsvtr" timestamp="1539144943"&gt;18&lt;/key&gt;&lt;/foreign-keys&gt;&lt;ref-type name="Journal Article"&gt;17&lt;/ref-type&gt;&lt;contributors&gt;&lt;authors&gt;&lt;author&gt;Wilkinson, Adam D&lt;/author&gt;&lt;author&gt;Collier, Catherine J&lt;/author&gt;&lt;author&gt;Flores, Florita&lt;/author&gt;&lt;author&gt;Langlois, Lucas&lt;/author&gt;&lt;author&gt;Ralph, Peter J&lt;/author&gt;&lt;author&gt;Negri, Andrew P&lt;/author&gt;&lt;/authors&gt;&lt;/contributors&gt;&lt;titles&gt;&lt;title&gt;Combined effects of temperature and the herbicide diuron on Photosystem II activity of the tropical seagrass Halophila ovalis&lt;/title&gt;&lt;secondary-title&gt;Scientific reports&lt;/secondary-title&gt;&lt;/titles&gt;&lt;periodical&gt;&lt;full-title&gt;Scientific reports&lt;/full-title&gt;&lt;/periodical&gt;&lt;pages&gt;45404&lt;/pages&gt;&lt;volume&gt;7&lt;/volume&gt;&lt;dates&gt;&lt;year&gt;2017&lt;/year&gt;&lt;/dates&gt;&lt;isbn&gt;2045-2322&lt;/isbn&gt;&lt;urls&gt;&lt;/urls&gt;&lt;/record&gt;&lt;/Cite&gt;&lt;/EndNote&gt;</w:instrText>
      </w:r>
      <w:r w:rsidRPr="00687413">
        <w:rPr>
          <w:lang w:val="en-AU"/>
        </w:rPr>
        <w:fldChar w:fldCharType="separate"/>
      </w:r>
      <w:r w:rsidR="002D0872" w:rsidRPr="00687413">
        <w:rPr>
          <w:noProof/>
          <w:lang w:val="en-AU"/>
        </w:rPr>
        <w:t>(Brodie et al., 2013; Wilkinson et al., 2017)</w:t>
      </w:r>
      <w:r w:rsidRPr="00687413">
        <w:rPr>
          <w:lang w:val="en-AU"/>
        </w:rPr>
        <w:fldChar w:fldCharType="end"/>
      </w:r>
      <w:r w:rsidRPr="00687413">
        <w:rPr>
          <w:lang w:val="en-AU"/>
        </w:rPr>
        <w:t>.</w:t>
      </w:r>
    </w:p>
    <w:p w14:paraId="1A7A6830" w14:textId="77777777" w:rsidR="006D5CD5" w:rsidRPr="005C35F0" w:rsidRDefault="006D5CD5" w:rsidP="002439C8">
      <w:pPr>
        <w:tabs>
          <w:tab w:val="left" w:pos="10065"/>
        </w:tabs>
        <w:spacing w:line="276" w:lineRule="auto"/>
        <w:jc w:val="left"/>
      </w:pPr>
    </w:p>
    <w:p w14:paraId="64FBCC9B" w14:textId="77777777" w:rsidR="00771CCE" w:rsidRDefault="00CC6412" w:rsidP="002439C8">
      <w:pPr>
        <w:spacing w:line="276" w:lineRule="auto"/>
        <w:jc w:val="left"/>
        <w:rPr>
          <w:b/>
          <w:lang w:val="en-AU"/>
        </w:rPr>
      </w:pPr>
      <w:r w:rsidRPr="005C35F0">
        <w:rPr>
          <w:b/>
          <w:lang w:val="en-AU"/>
        </w:rPr>
        <w:t xml:space="preserve">Pesticide </w:t>
      </w:r>
      <w:r w:rsidR="00D773DD" w:rsidRPr="005C35F0">
        <w:rPr>
          <w:b/>
          <w:lang w:val="en-AU"/>
        </w:rPr>
        <w:t xml:space="preserve">metric for </w:t>
      </w:r>
      <w:r w:rsidRPr="005C35F0">
        <w:rPr>
          <w:b/>
          <w:lang w:val="en-AU"/>
        </w:rPr>
        <w:t>risk categorisation</w:t>
      </w:r>
    </w:p>
    <w:p w14:paraId="2AE547FA" w14:textId="04095143" w:rsidR="00233378" w:rsidRDefault="003A5429" w:rsidP="002439C8">
      <w:pPr>
        <w:spacing w:line="276" w:lineRule="auto"/>
        <w:jc w:val="left"/>
        <w:rPr>
          <w:rFonts w:cs="Arial"/>
          <w:lang w:val="en-AU"/>
        </w:rPr>
      </w:pPr>
      <w:r w:rsidRPr="005C35F0">
        <w:rPr>
          <w:rFonts w:cs="Arial"/>
          <w:lang w:val="en-AU"/>
        </w:rPr>
        <w:t xml:space="preserve">The </w:t>
      </w:r>
      <w:r w:rsidR="005E2B71">
        <w:rPr>
          <w:rFonts w:cs="Arial"/>
          <w:lang w:val="en-AU"/>
        </w:rPr>
        <w:t>PSII</w:t>
      </w:r>
      <w:r w:rsidR="005E2B71">
        <w:rPr>
          <w:rFonts w:cs="Arial"/>
          <w:lang w:val="en-AU"/>
        </w:rPr>
        <w:noBreakHyphen/>
        <w:t>HEq</w:t>
      </w:r>
      <w:r w:rsidRPr="005C35F0">
        <w:rPr>
          <w:rFonts w:cs="Arial"/>
          <w:lang w:val="en-AU"/>
        </w:rPr>
        <w:t xml:space="preserve"> index was identified as a suitable indicator </w:t>
      </w:r>
      <w:r w:rsidR="009572D1">
        <w:rPr>
          <w:rFonts w:cs="Arial"/>
          <w:lang w:val="en-AU"/>
        </w:rPr>
        <w:t xml:space="preserve">of exposure risk to </w:t>
      </w:r>
      <w:r w:rsidRPr="005C35F0">
        <w:rPr>
          <w:rFonts w:cs="Arial"/>
          <w:lang w:val="en-AU"/>
        </w:rPr>
        <w:t xml:space="preserve">inshore pesticide levels over time based on a </w:t>
      </w:r>
      <w:r w:rsidR="00D773DD" w:rsidRPr="005C35F0">
        <w:rPr>
          <w:rFonts w:cs="Arial"/>
          <w:lang w:val="en-AU"/>
        </w:rPr>
        <w:t>review by</w:t>
      </w:r>
      <w:r w:rsidRPr="005C35F0">
        <w:rPr>
          <w:rFonts w:cs="Arial"/>
          <w:lang w:val="en-AU"/>
        </w:rPr>
        <w:t xml:space="preserve"> </w:t>
      </w:r>
      <w:r w:rsidRPr="005C35F0">
        <w:rPr>
          <w:rFonts w:cs="Arial"/>
          <w:lang w:val="en-AU"/>
        </w:rPr>
        <w:fldChar w:fldCharType="begin"/>
      </w:r>
      <w:r w:rsidR="0058467F">
        <w:rPr>
          <w:rFonts w:cs="Arial"/>
          <w:lang w:val="en-AU"/>
        </w:rPr>
        <w:instrText xml:space="preserve"> ADDIN EN.CITE &lt;EndNote&gt;&lt;Cite AuthorYear="1"&gt;&lt;Author&gt;Kuhnert&lt;/Author&gt;&lt;Year&gt;2015&lt;/Year&gt;&lt;RecNum&gt;34&lt;/RecNum&gt;&lt;DisplayText&gt;Kuhnert et al. (2015)&lt;/DisplayText&gt;&lt;record&gt;&lt;rec-number&gt;34&lt;/rec-number&gt;&lt;foreign-keys&gt;&lt;key app="EN" db-id="xtpvpwz0ufxa2me5tv6v2prn2ez5p9atsvtr" timestamp="1539144943"&gt;34&lt;/key&gt;&lt;/foreign-keys&gt;&lt;ref-type name="Report"&gt;27&lt;/ref-type&gt;&lt;contributors&gt;&lt;authors&gt;&lt;author&gt;Kuhnert, P.M.&lt;/author&gt;&lt;author&gt;Liu, Y.&lt;/author&gt;&lt;author&gt;Henderson, B.&lt;/author&gt;&lt;author&gt;Dambacher, J.&lt;/author&gt;&lt;author&gt;Lawrence, E.&lt;/author&gt;&lt;author&gt;Kroon, F.&lt;/author&gt;&lt;/authors&gt;&lt;/contributors&gt;&lt;titles&gt;&lt;title&gt;Review of the Marine Monitoring Program (MMP), Final Report for the Great Barrier Reef Marine Park Authority (GBRMPA)&lt;/title&gt;&lt;/titles&gt;&lt;dates&gt;&lt;year&gt;2015&lt;/year&gt;&lt;/dates&gt;&lt;pub-location&gt;CSIRO, Australia&lt;/pub-location&gt;&lt;urls&gt;&lt;/urls&gt;&lt;/record&gt;&lt;/Cite&gt;&lt;/EndNote&gt;</w:instrText>
      </w:r>
      <w:r w:rsidRPr="005C35F0">
        <w:rPr>
          <w:rFonts w:cs="Arial"/>
          <w:lang w:val="en-AU"/>
        </w:rPr>
        <w:fldChar w:fldCharType="separate"/>
      </w:r>
      <w:r w:rsidR="00D773DD" w:rsidRPr="005C35F0">
        <w:rPr>
          <w:rFonts w:cs="Arial"/>
          <w:noProof/>
          <w:lang w:val="en-AU"/>
        </w:rPr>
        <w:t>Kuhnert et al. (2015)</w:t>
      </w:r>
      <w:r w:rsidRPr="005C35F0">
        <w:rPr>
          <w:rFonts w:cs="Arial"/>
          <w:lang w:val="en-AU"/>
        </w:rPr>
        <w:fldChar w:fldCharType="end"/>
      </w:r>
      <w:r w:rsidR="009572D1">
        <w:rPr>
          <w:rFonts w:cs="Arial"/>
          <w:lang w:val="en-AU"/>
        </w:rPr>
        <w:t xml:space="preserve"> and has been applied to MMP pesticide data since</w:t>
      </w:r>
      <w:r w:rsidR="00E06B2D">
        <w:rPr>
          <w:rFonts w:cs="Arial"/>
          <w:lang w:val="en-AU"/>
        </w:rPr>
        <w:t xml:space="preserve"> monitoring began</w:t>
      </w:r>
      <w:r w:rsidRPr="005C35F0">
        <w:rPr>
          <w:rFonts w:cs="Arial"/>
          <w:lang w:val="en-AU"/>
        </w:rPr>
        <w:t>.</w:t>
      </w:r>
      <w:r w:rsidR="00D773DD" w:rsidRPr="005C35F0">
        <w:rPr>
          <w:rFonts w:cs="Arial"/>
          <w:lang w:val="en-AU"/>
        </w:rPr>
        <w:t xml:space="preserve"> </w:t>
      </w:r>
      <w:r w:rsidR="009572D1">
        <w:rPr>
          <w:rFonts w:cs="Arial"/>
          <w:lang w:val="en-AU"/>
        </w:rPr>
        <w:t xml:space="preserve">Presently, the </w:t>
      </w:r>
      <w:r w:rsidR="00233378">
        <w:rPr>
          <w:rFonts w:cs="Arial"/>
          <w:lang w:val="en-AU"/>
        </w:rPr>
        <w:t xml:space="preserve">index </w:t>
      </w:r>
      <w:r w:rsidR="009572D1">
        <w:rPr>
          <w:rFonts w:cs="Arial"/>
          <w:lang w:val="en-AU"/>
        </w:rPr>
        <w:t>only includes 11 PSII herbicides</w:t>
      </w:r>
      <w:r w:rsidR="00A5272A">
        <w:rPr>
          <w:rFonts w:cs="Arial"/>
          <w:lang w:val="en-AU"/>
        </w:rPr>
        <w:t xml:space="preserve"> and 2 metabolites</w:t>
      </w:r>
      <w:r w:rsidR="00066E45">
        <w:rPr>
          <w:rFonts w:cs="Arial"/>
          <w:lang w:val="en-AU"/>
        </w:rPr>
        <w:t>;</w:t>
      </w:r>
      <w:r w:rsidR="00330537">
        <w:rPr>
          <w:rFonts w:cs="Arial"/>
          <w:lang w:val="en-AU"/>
        </w:rPr>
        <w:t xml:space="preserve"> however</w:t>
      </w:r>
      <w:r w:rsidR="00066E45">
        <w:rPr>
          <w:rFonts w:cs="Arial"/>
          <w:lang w:val="en-AU"/>
        </w:rPr>
        <w:t>,</w:t>
      </w:r>
      <w:r w:rsidR="00330537">
        <w:rPr>
          <w:rFonts w:cs="Arial"/>
          <w:lang w:val="en-AU"/>
        </w:rPr>
        <w:t xml:space="preserve"> monitoring data in recent years confirms the </w:t>
      </w:r>
      <w:r w:rsidR="003B6E93">
        <w:rPr>
          <w:rFonts w:cs="Arial"/>
          <w:lang w:val="en-AU"/>
        </w:rPr>
        <w:t xml:space="preserve">extensive use </w:t>
      </w:r>
      <w:r w:rsidR="00330537">
        <w:rPr>
          <w:rFonts w:cs="Arial"/>
          <w:lang w:val="en-AU"/>
        </w:rPr>
        <w:t xml:space="preserve">of a number of non-PSII inhibiting pesticides </w:t>
      </w:r>
      <w:r w:rsidR="003B6E93">
        <w:rPr>
          <w:rFonts w:cs="Arial"/>
          <w:lang w:val="en-AU"/>
        </w:rPr>
        <w:t xml:space="preserve">in Reef </w:t>
      </w:r>
      <w:r w:rsidR="00BF37D6">
        <w:rPr>
          <w:rFonts w:cs="Arial"/>
          <w:lang w:val="en-AU"/>
        </w:rPr>
        <w:t>basin</w:t>
      </w:r>
      <w:r w:rsidR="003B6E93">
        <w:rPr>
          <w:rFonts w:cs="Arial"/>
          <w:lang w:val="en-AU"/>
        </w:rPr>
        <w:t xml:space="preserve">s, </w:t>
      </w:r>
      <w:r w:rsidR="00330537">
        <w:rPr>
          <w:rFonts w:cs="Arial"/>
          <w:lang w:val="en-AU"/>
        </w:rPr>
        <w:t xml:space="preserve">through </w:t>
      </w:r>
      <w:r w:rsidR="003B6E93">
        <w:rPr>
          <w:rFonts w:cs="Arial"/>
          <w:lang w:val="en-AU"/>
        </w:rPr>
        <w:t xml:space="preserve">loads delivered in runoff and detections in </w:t>
      </w:r>
      <w:r w:rsidR="00330537">
        <w:rPr>
          <w:rFonts w:cs="Arial"/>
          <w:lang w:val="en-AU"/>
        </w:rPr>
        <w:t xml:space="preserve">both passive and grab samples in </w:t>
      </w:r>
      <w:r w:rsidR="003B6E93">
        <w:rPr>
          <w:rFonts w:cs="Arial"/>
          <w:lang w:val="en-AU"/>
        </w:rPr>
        <w:t xml:space="preserve">the </w:t>
      </w:r>
      <w:r w:rsidR="00330537">
        <w:rPr>
          <w:rFonts w:cs="Arial"/>
          <w:lang w:val="en-AU"/>
        </w:rPr>
        <w:t>nearshore marine environment. I</w:t>
      </w:r>
      <w:r w:rsidR="003B6E93">
        <w:rPr>
          <w:rFonts w:cs="Arial"/>
          <w:lang w:val="en-AU"/>
        </w:rPr>
        <w:t>t is</w:t>
      </w:r>
      <w:r w:rsidR="00330537">
        <w:rPr>
          <w:rFonts w:cs="Arial"/>
          <w:lang w:val="en-AU"/>
        </w:rPr>
        <w:t xml:space="preserve"> therefore</w:t>
      </w:r>
      <w:r w:rsidR="003B6E93">
        <w:rPr>
          <w:rFonts w:cs="Arial"/>
          <w:lang w:val="en-AU"/>
        </w:rPr>
        <w:t xml:space="preserve"> becoming ever more important to determine the</w:t>
      </w:r>
      <w:r w:rsidR="00330537">
        <w:rPr>
          <w:rFonts w:cs="Arial"/>
          <w:lang w:val="en-AU"/>
        </w:rPr>
        <w:t xml:space="preserve"> increased</w:t>
      </w:r>
      <w:r w:rsidR="003B6E93">
        <w:rPr>
          <w:rFonts w:cs="Arial"/>
          <w:lang w:val="en-AU"/>
        </w:rPr>
        <w:t xml:space="preserve"> risks (if any) they may have on the health and resilience of the Reef.</w:t>
      </w:r>
      <w:r w:rsidR="009572D1">
        <w:rPr>
          <w:rFonts w:cs="Arial"/>
          <w:lang w:val="en-AU"/>
        </w:rPr>
        <w:t xml:space="preserve"> </w:t>
      </w:r>
    </w:p>
    <w:p w14:paraId="39070A5A" w14:textId="77777777" w:rsidR="00233378" w:rsidRDefault="00233378" w:rsidP="002439C8">
      <w:pPr>
        <w:spacing w:line="276" w:lineRule="auto"/>
        <w:jc w:val="left"/>
        <w:rPr>
          <w:rFonts w:cs="Arial"/>
          <w:lang w:val="en-AU"/>
        </w:rPr>
      </w:pPr>
    </w:p>
    <w:p w14:paraId="5E24F1F0" w14:textId="77777777" w:rsidR="00975F80" w:rsidRDefault="00330537" w:rsidP="002439C8">
      <w:pPr>
        <w:spacing w:line="276" w:lineRule="auto"/>
        <w:jc w:val="left"/>
        <w:rPr>
          <w:rFonts w:cs="Arial"/>
          <w:lang w:val="en-AU"/>
        </w:rPr>
      </w:pPr>
      <w:r w:rsidRPr="005C35F0">
        <w:rPr>
          <w:lang w:val="en-AU" w:eastAsia="en-AU"/>
        </w:rPr>
        <w:t>A desktop assessment of the relative risk of alternative herbicides (considering the risks of off-site run-off and toxicity across a range of indicative trophic levels) found that several of the proposed alternatives presented a risk comparable to those of the priority PSII herbicides they were replacing</w:t>
      </w:r>
      <w:r w:rsidR="00E06B2D">
        <w:rPr>
          <w:lang w:val="en-AU" w:eastAsia="en-AU"/>
        </w:rPr>
        <w:t xml:space="preserve"> </w:t>
      </w:r>
      <w:r w:rsidR="003F1773">
        <w:rPr>
          <w:rFonts w:cs="Arial"/>
          <w:lang w:val="en-AU"/>
        </w:rPr>
        <w:fldChar w:fldCharType="begin"/>
      </w:r>
      <w:r w:rsidR="003F1773">
        <w:rPr>
          <w:rFonts w:cs="Arial"/>
          <w:lang w:val="en-AU"/>
        </w:rPr>
        <w:instrText xml:space="preserve"> ADDIN EN.CITE &lt;EndNote&gt;&lt;Cite&gt;&lt;Author&gt;Davis&lt;/Author&gt;&lt;Year&gt;2014&lt;/Year&gt;&lt;RecNum&gt;63&lt;/RecNum&gt;&lt;DisplayText&gt;(Davis et al., 2014)&lt;/DisplayText&gt;&lt;record&gt;&lt;rec-number&gt;63&lt;/rec-number&gt;&lt;foreign-keys&gt;&lt;key app="EN" db-id="xtpvpwz0ufxa2me5tv6v2prn2ez5p9atsvtr" timestamp="1539144944"&gt;63&lt;/key&gt;&lt;/foreign-keys&gt;&lt;ref-type name="Journal Article"&gt;17&lt;/ref-type&gt;&lt;contributors&gt;&lt;authors&gt;&lt;author&gt;Davis, A. M.&lt;/author&gt;&lt;author&gt;Lewis, S. E.&lt;/author&gt;&lt;author&gt;Brodie, J. E.&lt;/author&gt;&lt;author&gt;Benson, Ash&lt;/author&gt;&lt;/authors&gt;&lt;/contributors&gt;&lt;titles&gt;&lt;title&gt;The potential benefits of herbicide regulation: A cautionary note for the Great Barrier Reef catchment area&lt;/title&gt;&lt;secondary-title&gt;Science of The Total Environment&lt;/secondary-title&gt;&lt;/titles&gt;&lt;periodical&gt;&lt;full-title&gt;Science of The Total Environment&lt;/full-title&gt;&lt;/periodical&gt;&lt;pages&gt;81-92&lt;/pages&gt;&lt;volume&gt;490&lt;/volume&gt;&lt;keywords&gt;&lt;keyword&gt;Risk analysis&lt;/keyword&gt;&lt;keyword&gt;Water quality&lt;/keyword&gt;&lt;keyword&gt;Perverse outcomes&lt;/keyword&gt;&lt;keyword&gt;Pest management&lt;/keyword&gt;&lt;/keywords&gt;&lt;dates&gt;&lt;year&gt;2014&lt;/year&gt;&lt;pub-dates&gt;&lt;date&gt;8/15/&lt;/date&gt;&lt;/pub-dates&gt;&lt;/dates&gt;&lt;isbn&gt;0048-9697&lt;/isbn&gt;&lt;urls&gt;&lt;related-urls&gt;&lt;url&gt;http://www.sciencedirect.com/science/article/pii/S0048969714004999&lt;/url&gt;&lt;/related-urls&gt;&lt;/urls&gt;&lt;electronic-resource-num&gt;http://dx.doi.org/10.1016/j.scitotenv.2014.04.005&lt;/electronic-resource-num&gt;&lt;/record&gt;&lt;/Cite&gt;&lt;/EndNote&gt;</w:instrText>
      </w:r>
      <w:r w:rsidR="003F1773">
        <w:rPr>
          <w:rFonts w:cs="Arial"/>
          <w:lang w:val="en-AU"/>
        </w:rPr>
        <w:fldChar w:fldCharType="separate"/>
      </w:r>
      <w:r w:rsidR="003F1773">
        <w:rPr>
          <w:rFonts w:cs="Arial"/>
          <w:noProof/>
          <w:lang w:val="en-AU"/>
        </w:rPr>
        <w:t>(Davis et al., 2014)</w:t>
      </w:r>
      <w:r w:rsidR="003F1773">
        <w:rPr>
          <w:rFonts w:cs="Arial"/>
          <w:lang w:val="en-AU"/>
        </w:rPr>
        <w:fldChar w:fldCharType="end"/>
      </w:r>
      <w:r w:rsidR="003F1773">
        <w:rPr>
          <w:rFonts w:cs="Arial"/>
          <w:lang w:val="en-AU"/>
        </w:rPr>
        <w:t xml:space="preserve">. </w:t>
      </w:r>
    </w:p>
    <w:p w14:paraId="4A627CD2" w14:textId="77777777" w:rsidR="00975F80" w:rsidRDefault="00975F80" w:rsidP="002439C8">
      <w:pPr>
        <w:spacing w:line="276" w:lineRule="auto"/>
        <w:jc w:val="left"/>
        <w:rPr>
          <w:rFonts w:cs="Arial"/>
          <w:lang w:val="en-AU"/>
        </w:rPr>
      </w:pPr>
    </w:p>
    <w:p w14:paraId="3F5B6F10" w14:textId="77777777" w:rsidR="00975F80" w:rsidRDefault="003F1773" w:rsidP="002439C8">
      <w:pPr>
        <w:spacing w:line="276" w:lineRule="auto"/>
        <w:jc w:val="left"/>
        <w:rPr>
          <w:lang w:val="en-AU" w:eastAsia="en-AU"/>
        </w:rPr>
      </w:pPr>
      <w:r w:rsidRPr="00CA381D">
        <w:rPr>
          <w:lang w:val="en-AU" w:eastAsia="en-AU"/>
        </w:rPr>
        <w:t>Given the uncertainty over the risk profile of</w:t>
      </w:r>
      <w:r>
        <w:rPr>
          <w:lang w:val="en-AU" w:eastAsia="en-AU"/>
        </w:rPr>
        <w:t xml:space="preserve"> this complex mixture of pesticides</w:t>
      </w:r>
      <w:r w:rsidR="00BD1C77">
        <w:rPr>
          <w:lang w:val="en-AU" w:eastAsia="en-AU"/>
        </w:rPr>
        <w:t xml:space="preserve"> (i.e. the </w:t>
      </w:r>
      <w:r w:rsidR="00DE284C">
        <w:rPr>
          <w:lang w:val="en-AU" w:eastAsia="en-AU"/>
        </w:rPr>
        <w:t>priority</w:t>
      </w:r>
      <w:r w:rsidR="00BD1C77">
        <w:rPr>
          <w:lang w:val="en-AU" w:eastAsia="en-AU"/>
        </w:rPr>
        <w:t xml:space="preserve"> PSIIs, the alternative ‘knockdown’ herbicides and the non-PSII inhibiting pesticides</w:t>
      </w:r>
      <w:r w:rsidR="00E441E6">
        <w:rPr>
          <w:lang w:val="en-AU" w:eastAsia="en-AU"/>
        </w:rPr>
        <w:t>)</w:t>
      </w:r>
      <w:r>
        <w:rPr>
          <w:lang w:val="en-AU" w:eastAsia="en-AU"/>
        </w:rPr>
        <w:t>, an alternative</w:t>
      </w:r>
      <w:r w:rsidR="00BD1C77">
        <w:rPr>
          <w:lang w:val="en-AU" w:eastAsia="en-AU"/>
        </w:rPr>
        <w:t xml:space="preserve"> method of exposure risk assessment</w:t>
      </w:r>
      <w:r>
        <w:rPr>
          <w:lang w:val="en-AU" w:eastAsia="en-AU"/>
        </w:rPr>
        <w:t xml:space="preserve"> </w:t>
      </w:r>
      <w:r w:rsidR="00BD1C77" w:rsidRPr="00CA381D">
        <w:rPr>
          <w:lang w:val="en-AU" w:eastAsia="en-AU"/>
        </w:rPr>
        <w:t>that can assess the cumulative risk for a suite of pesticides that have different modes of action</w:t>
      </w:r>
      <w:r w:rsidR="00BD1C77">
        <w:rPr>
          <w:lang w:val="en-AU" w:eastAsia="en-AU"/>
        </w:rPr>
        <w:t xml:space="preserve"> is </w:t>
      </w:r>
      <w:r w:rsidR="00975F80">
        <w:rPr>
          <w:lang w:val="en-AU" w:eastAsia="en-AU"/>
        </w:rPr>
        <w:t>being adopted</w:t>
      </w:r>
      <w:r w:rsidR="00BD1C77">
        <w:rPr>
          <w:lang w:val="en-AU" w:eastAsia="en-AU"/>
        </w:rPr>
        <w:t xml:space="preserve">. </w:t>
      </w:r>
    </w:p>
    <w:p w14:paraId="31C08C6F" w14:textId="77777777" w:rsidR="00975F80" w:rsidRDefault="00975F80" w:rsidP="002439C8">
      <w:pPr>
        <w:spacing w:line="276" w:lineRule="auto"/>
        <w:jc w:val="left"/>
        <w:rPr>
          <w:lang w:val="en-AU" w:eastAsia="en-AU"/>
        </w:rPr>
      </w:pPr>
    </w:p>
    <w:p w14:paraId="42D84D13" w14:textId="548015D4" w:rsidR="00861475" w:rsidRDefault="00E441E6" w:rsidP="007F212B">
      <w:pPr>
        <w:spacing w:line="276" w:lineRule="auto"/>
        <w:jc w:val="left"/>
      </w:pPr>
      <w:r w:rsidRPr="00CA381D">
        <w:rPr>
          <w:lang w:val="en-AU" w:eastAsia="en-AU"/>
        </w:rPr>
        <w:t>The multisubstance – potentially affected fraction (</w:t>
      </w:r>
      <w:r w:rsidR="005E2B71">
        <w:rPr>
          <w:lang w:val="en-AU" w:eastAsia="en-AU"/>
        </w:rPr>
        <w:t>ms</w:t>
      </w:r>
      <w:r w:rsidR="005E2B71">
        <w:rPr>
          <w:lang w:val="en-AU" w:eastAsia="en-AU"/>
        </w:rPr>
        <w:noBreakHyphen/>
        <w:t>PAF</w:t>
      </w:r>
      <w:r w:rsidRPr="00CA381D">
        <w:rPr>
          <w:lang w:val="en-AU" w:eastAsia="en-AU"/>
        </w:rPr>
        <w:t>) approach to assess mixture toxicity of pesticides</w:t>
      </w:r>
      <w:r>
        <w:rPr>
          <w:lang w:val="en-AU" w:eastAsia="en-AU"/>
        </w:rPr>
        <w:t xml:space="preserve"> </w:t>
      </w:r>
      <w:r w:rsidR="005A4D60">
        <w:rPr>
          <w:lang w:val="en-AU" w:eastAsia="en-AU"/>
        </w:rPr>
        <w:fldChar w:fldCharType="begin"/>
      </w:r>
      <w:r w:rsidR="005A4D60">
        <w:rPr>
          <w:lang w:val="en-AU" w:eastAsia="en-AU"/>
        </w:rPr>
        <w:instrText xml:space="preserve"> ADDIN EN.CITE &lt;EndNote&gt;&lt;Cite&gt;&lt;Author&gt;Traas&lt;/Author&gt;&lt;Year&gt;2002&lt;/Year&gt;&lt;RecNum&gt;66&lt;/RecNum&gt;&lt;DisplayText&gt;(Traas et al., 2002)&lt;/DisplayText&gt;&lt;record&gt;&lt;rec-number&gt;66&lt;/rec-number&gt;&lt;foreign-keys&gt;&lt;key app="EN" db-id="xtpvpwz0ufxa2me5tv6v2prn2ez5p9atsvtr" timestamp="1539144944"&gt;66&lt;/key&gt;&lt;/foreign-keys&gt;&lt;ref-type name="Generic"&gt;13&lt;/ref-type&gt;&lt;contributors&gt;&lt;authors&gt;&lt;author&gt;Traas, Theo P&lt;/author&gt;&lt;author&gt;van de Meent, Dik&lt;/author&gt;&lt;author&gt;Posthuma, Leo&lt;/author&gt;&lt;author&gt;Hamers, Timo&lt;/author&gt;&lt;author&gt;Kater, Belinda J&lt;/author&gt;&lt;author&gt;De Zwart, Dick&lt;/author&gt;&lt;author&gt;Aldenberg, Tom&lt;/author&gt;&lt;/authors&gt;&lt;/contributors&gt;&lt;titles&gt;&lt;title&gt;The potentially affected fraction as a measure of ecological risk&lt;/title&gt;&lt;/titles&gt;&lt;pages&gt;315-344&lt;/pages&gt;&lt;dates&gt;&lt;year&gt;2002&lt;/year&gt;&lt;/dates&gt;&lt;publisher&gt;CRC Press: Boca Raton, FL&lt;/publisher&gt;&lt;urls&gt;&lt;/urls&gt;&lt;/record&gt;&lt;/Cite&gt;&lt;/EndNote&gt;</w:instrText>
      </w:r>
      <w:r w:rsidR="005A4D60">
        <w:rPr>
          <w:lang w:val="en-AU" w:eastAsia="en-AU"/>
        </w:rPr>
        <w:fldChar w:fldCharType="separate"/>
      </w:r>
      <w:r w:rsidR="005A4D60">
        <w:rPr>
          <w:noProof/>
          <w:lang w:val="en-AU" w:eastAsia="en-AU"/>
        </w:rPr>
        <w:t>(Traas et al., 2002)</w:t>
      </w:r>
      <w:r w:rsidR="005A4D60">
        <w:rPr>
          <w:lang w:val="en-AU" w:eastAsia="en-AU"/>
        </w:rPr>
        <w:fldChar w:fldCharType="end"/>
      </w:r>
      <w:r w:rsidR="005A4D60" w:rsidRPr="005A4D60">
        <w:rPr>
          <w:lang w:val="en-AU" w:eastAsia="en-AU"/>
        </w:rPr>
        <w:t xml:space="preserve"> </w:t>
      </w:r>
      <w:r w:rsidR="005A4D60" w:rsidRPr="00CA381D">
        <w:rPr>
          <w:lang w:val="en-AU" w:eastAsia="en-AU"/>
        </w:rPr>
        <w:t xml:space="preserve">is an alternative approach </w:t>
      </w:r>
      <w:r w:rsidR="005A4D60">
        <w:rPr>
          <w:lang w:val="en-AU" w:eastAsia="en-AU"/>
        </w:rPr>
        <w:t>has been reported for the first time in</w:t>
      </w:r>
      <w:r w:rsidR="005A4D60" w:rsidRPr="00CA381D">
        <w:rPr>
          <w:lang w:val="en-AU" w:eastAsia="en-AU"/>
        </w:rPr>
        <w:t xml:space="preserve"> this program</w:t>
      </w:r>
      <w:r w:rsidR="005A4D60">
        <w:rPr>
          <w:lang w:val="en-AU" w:eastAsia="en-AU"/>
        </w:rPr>
        <w:t xml:space="preserve"> for this monitoring year</w:t>
      </w:r>
      <w:r w:rsidR="005A4D60" w:rsidRPr="00CA381D">
        <w:rPr>
          <w:lang w:val="en-AU" w:eastAsia="en-AU"/>
        </w:rPr>
        <w:t>.</w:t>
      </w:r>
      <w:r w:rsidR="005A4D60">
        <w:rPr>
          <w:lang w:val="en-AU" w:eastAsia="en-AU"/>
        </w:rPr>
        <w:t xml:space="preserve"> </w:t>
      </w:r>
      <w:r w:rsidR="00A5272A" w:rsidRPr="00D72F6A">
        <w:rPr>
          <w:lang w:val="en-AU" w:eastAsia="en-AU"/>
        </w:rPr>
        <w:t xml:space="preserve">For this report, </w:t>
      </w:r>
      <w:r w:rsidR="00D72F6A">
        <w:rPr>
          <w:lang w:val="en-AU" w:eastAsia="en-AU"/>
        </w:rPr>
        <w:t xml:space="preserve">pesticide condition was based on </w:t>
      </w:r>
      <w:r w:rsidR="005A4D60" w:rsidRPr="00D72F6A">
        <w:rPr>
          <w:rFonts w:cs="Arial"/>
          <w:lang w:val="en-AU"/>
        </w:rPr>
        <w:t>concentration</w:t>
      </w:r>
      <w:r w:rsidR="00A5272A" w:rsidRPr="00D72F6A">
        <w:rPr>
          <w:rFonts w:cs="Arial"/>
          <w:lang w:val="en-AU"/>
        </w:rPr>
        <w:t>s</w:t>
      </w:r>
      <w:r w:rsidR="005A4D60" w:rsidRPr="00D72F6A">
        <w:rPr>
          <w:rFonts w:cs="Arial"/>
          <w:lang w:val="en-AU"/>
        </w:rPr>
        <w:t xml:space="preserve"> </w:t>
      </w:r>
      <w:r w:rsidR="00A5272A" w:rsidRPr="00D72F6A">
        <w:rPr>
          <w:lang w:val="en-AU" w:eastAsia="en-AU"/>
        </w:rPr>
        <w:t>of</w:t>
      </w:r>
      <w:r w:rsidR="005A4D60" w:rsidRPr="00D72F6A">
        <w:rPr>
          <w:lang w:val="en-AU" w:eastAsia="en-AU"/>
        </w:rPr>
        <w:t xml:space="preserve"> </w:t>
      </w:r>
      <w:r w:rsidR="00A5272A" w:rsidRPr="00D72F6A">
        <w:rPr>
          <w:lang w:val="en-AU" w:eastAsia="en-AU"/>
        </w:rPr>
        <w:t>1</w:t>
      </w:r>
      <w:r w:rsidR="00861475" w:rsidRPr="00D72F6A">
        <w:rPr>
          <w:lang w:val="en-AU" w:eastAsia="en-AU"/>
        </w:rPr>
        <w:t>9</w:t>
      </w:r>
      <w:r w:rsidR="00A5272A" w:rsidRPr="00D72F6A">
        <w:rPr>
          <w:lang w:val="en-AU" w:eastAsia="en-AU"/>
        </w:rPr>
        <w:t xml:space="preserve"> pesticides including 9</w:t>
      </w:r>
      <w:r w:rsidR="005A4D60" w:rsidRPr="00D72F6A">
        <w:rPr>
          <w:lang w:val="en-AU" w:eastAsia="en-AU"/>
        </w:rPr>
        <w:t xml:space="preserve"> PSII herbicides </w:t>
      </w:r>
      <w:r w:rsidR="00D72F6A">
        <w:rPr>
          <w:rFonts w:cstheme="minorHAnsi"/>
        </w:rPr>
        <w:t>from passive sampler devices and grab samples over the year</w:t>
      </w:r>
      <w:r w:rsidR="00D72F6A" w:rsidRPr="00CD227A">
        <w:rPr>
          <w:rFonts w:cstheme="minorHAnsi"/>
        </w:rPr>
        <w:t>.</w:t>
      </w:r>
      <w:r w:rsidR="00D72F6A">
        <w:rPr>
          <w:rFonts w:cstheme="minorHAnsi"/>
        </w:rPr>
        <w:t xml:space="preserve"> This differs from pesticide condition in the catchments, which is based on multiple grab samples over the wet season. Passive samplers provide a single time integrated concentration for each sampler representing the entire deployment time (typically four weeks). </w:t>
      </w:r>
      <w:r w:rsidR="00D72F6A">
        <w:t>Passive samplers allow for a longer-term ‘average’ concentration to be identified, which suits annual condition reporting. While grab samples have the potential to identify acute, rapid, irregular peaks in pesticide concentration, this is only the case if taken at the opportune time.</w:t>
      </w:r>
    </w:p>
    <w:p w14:paraId="7F11A811" w14:textId="77777777" w:rsidR="00D72F6A" w:rsidRDefault="00D72F6A" w:rsidP="007F212B">
      <w:pPr>
        <w:spacing w:line="276" w:lineRule="auto"/>
        <w:jc w:val="left"/>
        <w:rPr>
          <w:lang w:val="en-AU" w:eastAsia="en-AU"/>
        </w:rPr>
      </w:pPr>
    </w:p>
    <w:p w14:paraId="63699008" w14:textId="77777777" w:rsidR="00D72F6A" w:rsidRPr="00D72F6A" w:rsidRDefault="00861475" w:rsidP="007F212B">
      <w:pPr>
        <w:spacing w:line="276" w:lineRule="auto"/>
        <w:jc w:val="left"/>
        <w:rPr>
          <w:rFonts w:eastAsia="Calibri" w:cs="Times New Roman"/>
          <w:lang w:val="en-AU" w:bidi="ar-SA"/>
        </w:rPr>
      </w:pPr>
      <w:r w:rsidRPr="004728B1">
        <w:t xml:space="preserve">Marine results are not directly comparable with the end-of-catchment results primarily due to differences in sampling. However, they provide insight into the transport and fate of pesticides, from the end of rivers to marine sites, and the risk to marine ecosystems from the mixture of pesticides. </w:t>
      </w:r>
      <w:r w:rsidR="00D72F6A" w:rsidRPr="00D72F6A">
        <w:rPr>
          <w:rFonts w:eastAsia="Calibri" w:cs="Times New Roman"/>
          <w:lang w:val="en-AU" w:bidi="ar-SA"/>
        </w:rPr>
        <w:t>The key differences are:</w:t>
      </w:r>
    </w:p>
    <w:p w14:paraId="63C7667C" w14:textId="5A72BE54" w:rsidR="00D72F6A" w:rsidRPr="00D72F6A" w:rsidRDefault="00D72F6A" w:rsidP="007F212B">
      <w:pPr>
        <w:numPr>
          <w:ilvl w:val="0"/>
          <w:numId w:val="32"/>
        </w:numPr>
        <w:spacing w:line="276" w:lineRule="auto"/>
        <w:jc w:val="left"/>
        <w:rPr>
          <w:rFonts w:eastAsia="Calibri" w:cs="Times New Roman"/>
          <w:lang w:val="en-AU" w:bidi="ar-SA"/>
        </w:rPr>
      </w:pPr>
      <w:r w:rsidRPr="00D72F6A">
        <w:rPr>
          <w:rFonts w:eastAsia="Calibri" w:cs="Times New Roman"/>
          <w:lang w:val="en-AU" w:bidi="ar-SA"/>
        </w:rPr>
        <w:t xml:space="preserve">three of the pesticides, fipronil, isoxaflutole and triclopyr, are not included in the analysis suite for the marine samples (i.e. 19 of the 22 pesticides analysed at the end-of-catchment are analysed for in marine samples). This may mean that the mixture toxicity is underestimated (relative to the catchment monitoring results). However, </w:t>
      </w:r>
      <w:r w:rsidR="00385315">
        <w:rPr>
          <w:rFonts w:eastAsia="Calibri" w:cs="Times New Roman"/>
          <w:lang w:val="en-AU" w:bidi="ar-SA"/>
        </w:rPr>
        <w:t xml:space="preserve">it is likely at worst </w:t>
      </w:r>
      <w:r w:rsidRPr="00D72F6A">
        <w:rPr>
          <w:rFonts w:eastAsia="Calibri" w:cs="Times New Roman"/>
          <w:lang w:val="en-AU" w:bidi="ar-SA"/>
        </w:rPr>
        <w:t>a minor underestimation as only isoxaflutole is regularly detected at the end-of-catchment (i.e. in Mackay Whitsunday catchments) at concentrations that exceed draft ecosystem protection guidelines for protection of 99% species (0.33</w:t>
      </w:r>
      <w:r w:rsidR="007F212B">
        <w:rPr>
          <w:lang w:val="en-AU" w:eastAsia="en-AU"/>
        </w:rPr>
        <w:t> </w:t>
      </w:r>
      <w:r w:rsidRPr="00D72F6A">
        <w:rPr>
          <w:rFonts w:eastAsia="Calibri" w:cs="Times New Roman"/>
          <w:lang w:val="en-AU" w:bidi="ar-SA"/>
        </w:rPr>
        <w:t>µ</w:t>
      </w:r>
      <w:r w:rsidR="00FE6E97">
        <w:rPr>
          <w:rFonts w:eastAsia="Calibri" w:cs="Times New Roman"/>
          <w:lang w:val="en-AU" w:bidi="ar-SA"/>
        </w:rPr>
        <w:t>g L</w:t>
      </w:r>
      <w:r w:rsidR="005C25EE" w:rsidRPr="00A209AA">
        <w:rPr>
          <w:vertAlign w:val="superscript"/>
          <w:lang w:val="en-GB" w:eastAsia="en-AU"/>
        </w:rPr>
        <w:noBreakHyphen/>
        <w:t>1</w:t>
      </w:r>
      <w:r w:rsidRPr="00D72F6A">
        <w:rPr>
          <w:rFonts w:eastAsia="Calibri" w:cs="Times New Roman"/>
          <w:lang w:val="en-AU" w:bidi="ar-SA"/>
        </w:rPr>
        <w:t xml:space="preserve">) and is unlikely to contribute significantly to overall pesticide toxicity in inshore marine waters (Great Barrier Reef Catchment Loads Monitoring Program, </w:t>
      </w:r>
      <w:r w:rsidRPr="00D72F6A">
        <w:rPr>
          <w:rFonts w:eastAsia="Calibri" w:cs="Times New Roman"/>
          <w:i/>
          <w:lang w:val="en-AU" w:bidi="ar-SA"/>
        </w:rPr>
        <w:t>pers comm</w:t>
      </w:r>
      <w:r w:rsidRPr="00D72F6A">
        <w:rPr>
          <w:rFonts w:eastAsia="Calibri" w:cs="Times New Roman"/>
          <w:lang w:val="en-AU" w:bidi="ar-SA"/>
        </w:rPr>
        <w:t xml:space="preserve">). </w:t>
      </w:r>
    </w:p>
    <w:p w14:paraId="73B38C3E" w14:textId="77777777" w:rsidR="00D72F6A" w:rsidRPr="00D72F6A" w:rsidRDefault="00D72F6A" w:rsidP="007F212B">
      <w:pPr>
        <w:numPr>
          <w:ilvl w:val="0"/>
          <w:numId w:val="32"/>
        </w:numPr>
        <w:spacing w:line="276" w:lineRule="auto"/>
        <w:jc w:val="left"/>
        <w:rPr>
          <w:rFonts w:eastAsia="Calibri" w:cs="Times New Roman"/>
          <w:lang w:val="en-AU" w:bidi="ar-SA"/>
        </w:rPr>
      </w:pPr>
      <w:r w:rsidRPr="00D72F6A">
        <w:rPr>
          <w:rFonts w:eastAsia="Calibri" w:cs="Times New Roman"/>
          <w:lang w:val="en-AU" w:bidi="ar-SA"/>
        </w:rPr>
        <w:t xml:space="preserve">passive samplers are deployed throughout the year providing an ~monthly average concentration of pesticides during both wet and dry seasons. In contrast, end-of-catchment pesticide results are based on high frequency, point in time, grab samples primarily targeting the wet season. Given there is a range of risk reported across the deployments, averages based on passive sampling would likely result in a reduced overall risk. </w:t>
      </w:r>
    </w:p>
    <w:p w14:paraId="4A1827A0" w14:textId="77777777" w:rsidR="00D72F6A" w:rsidRPr="00D72F6A" w:rsidRDefault="00D72F6A" w:rsidP="007F212B">
      <w:pPr>
        <w:numPr>
          <w:ilvl w:val="0"/>
          <w:numId w:val="32"/>
        </w:numPr>
        <w:spacing w:line="276" w:lineRule="auto"/>
        <w:jc w:val="left"/>
        <w:rPr>
          <w:rFonts w:eastAsia="Calibri" w:cs="Times New Roman"/>
          <w:lang w:val="en-AU" w:bidi="ar-SA"/>
        </w:rPr>
      </w:pPr>
      <w:r w:rsidRPr="00D72F6A">
        <w:rPr>
          <w:rFonts w:eastAsia="Calibri" w:cs="Times New Roman"/>
          <w:lang w:val="en-AU" w:bidi="ar-SA"/>
        </w:rPr>
        <w:t>the end of catchment pesticide data is converted to a single value representing the time-averaged</w:t>
      </w:r>
      <w:r w:rsidRPr="00D72F6A">
        <w:rPr>
          <w:rFonts w:eastAsia="Calibri" w:cs="Times New Roman"/>
          <w:vertAlign w:val="superscript"/>
          <w:lang w:val="en-AU" w:bidi="ar-SA"/>
        </w:rPr>
        <w:footnoteReference w:id="2"/>
      </w:r>
      <w:r w:rsidRPr="00D72F6A">
        <w:rPr>
          <w:rFonts w:eastAsia="Calibri" w:cs="Times New Roman"/>
          <w:lang w:val="en-AU" w:bidi="ar-SA"/>
        </w:rPr>
        <w:t xml:space="preserve"> per cent of species protected during a standardised wet season period (182 days = 6 months). Passive sampler concentrations are converted to a per cent of species protected during each passive sampler deployment.</w:t>
      </w:r>
    </w:p>
    <w:p w14:paraId="1BB4FDC5" w14:textId="730717D1" w:rsidR="00D72F6A" w:rsidRPr="00D72F6A" w:rsidRDefault="00D72F6A" w:rsidP="007F212B">
      <w:pPr>
        <w:spacing w:line="276" w:lineRule="auto"/>
        <w:jc w:val="left"/>
        <w:rPr>
          <w:rFonts w:eastAsia="Calibri" w:cs="Times New Roman"/>
          <w:lang w:val="en-AU" w:bidi="ar-SA"/>
        </w:rPr>
      </w:pPr>
      <w:r w:rsidRPr="00D72F6A">
        <w:rPr>
          <w:rFonts w:eastAsia="Calibri" w:cs="Times New Roman"/>
          <w:lang w:val="en-AU" w:bidi="ar-SA"/>
        </w:rPr>
        <w:t xml:space="preserve">In the coming years we will explore methods to increase the comparability of the marine and end of catchment pesticide reporting. In the interim, we are reporting the </w:t>
      </w:r>
      <w:r w:rsidR="005E2B71">
        <w:rPr>
          <w:rFonts w:eastAsia="Calibri" w:cs="Times New Roman"/>
          <w:lang w:val="en-AU" w:bidi="ar-SA"/>
        </w:rPr>
        <w:t>ms</w:t>
      </w:r>
      <w:r w:rsidR="005E2B71">
        <w:rPr>
          <w:rFonts w:eastAsia="Calibri" w:cs="Times New Roman"/>
          <w:lang w:val="en-AU" w:bidi="ar-SA"/>
        </w:rPr>
        <w:noBreakHyphen/>
        <w:t>PAF</w:t>
      </w:r>
      <w:r w:rsidRPr="00D72F6A">
        <w:rPr>
          <w:rFonts w:eastAsia="Calibri" w:cs="Times New Roman"/>
          <w:lang w:val="en-AU" w:bidi="ar-SA"/>
        </w:rPr>
        <w:t xml:space="preserve"> value of what we know is the minimum protection level achieved during a deployment (i.e. the passive samplers with the highest concentrations and highest </w:t>
      </w:r>
      <w:r w:rsidR="005E2B71">
        <w:rPr>
          <w:rFonts w:eastAsia="Calibri" w:cs="Times New Roman"/>
          <w:lang w:val="en-AU" w:bidi="ar-SA"/>
        </w:rPr>
        <w:t>ms</w:t>
      </w:r>
      <w:r w:rsidR="005E2B71">
        <w:rPr>
          <w:rFonts w:eastAsia="Calibri" w:cs="Times New Roman"/>
          <w:lang w:val="en-AU" w:bidi="ar-SA"/>
        </w:rPr>
        <w:noBreakHyphen/>
        <w:t>PAF</w:t>
      </w:r>
      <w:r w:rsidRPr="00D72F6A">
        <w:rPr>
          <w:rFonts w:eastAsia="Calibri" w:cs="Times New Roman"/>
          <w:lang w:val="en-AU" w:bidi="ar-SA"/>
        </w:rPr>
        <w:t xml:space="preserve"> scores at each site).</w:t>
      </w:r>
    </w:p>
    <w:p w14:paraId="09781D7A" w14:textId="77777777" w:rsidR="003F1773" w:rsidRDefault="003F1773" w:rsidP="007F212B">
      <w:pPr>
        <w:spacing w:line="276" w:lineRule="auto"/>
        <w:jc w:val="left"/>
        <w:rPr>
          <w:rFonts w:cs="Arial"/>
          <w:lang w:val="en-AU"/>
        </w:rPr>
      </w:pPr>
    </w:p>
    <w:p w14:paraId="600F798E" w14:textId="77777777" w:rsidR="0084483A" w:rsidRDefault="002A1D74" w:rsidP="002439C8">
      <w:pPr>
        <w:spacing w:line="276" w:lineRule="auto"/>
        <w:jc w:val="left"/>
        <w:rPr>
          <w:lang w:val="en-AU"/>
        </w:rPr>
      </w:pPr>
      <w:r>
        <w:t xml:space="preserve">Grab sampling along flood plume salinity gradients </w:t>
      </w:r>
      <w:r w:rsidR="0084483A">
        <w:t xml:space="preserve">has </w:t>
      </w:r>
      <w:r>
        <w:t xml:space="preserve">demonstrated </w:t>
      </w:r>
      <w:r w:rsidR="008308E5" w:rsidRPr="00CA381D">
        <w:rPr>
          <w:lang w:val="en-AU"/>
        </w:rPr>
        <w:t xml:space="preserve">localised areas of elevated PSII herbicide concentrations near river mouths </w:t>
      </w:r>
      <w:r w:rsidR="00E06B2D">
        <w:rPr>
          <w:lang w:val="en-AU"/>
        </w:rPr>
        <w:fldChar w:fldCharType="begin"/>
      </w:r>
      <w:r w:rsidR="00E06B2D">
        <w:rPr>
          <w:lang w:val="en-AU"/>
        </w:rPr>
        <w:instrText xml:space="preserve"> ADDIN EN.CITE &lt;EndNote&gt;&lt;Cite&gt;&lt;Author&gt;Grant&lt;/Author&gt;&lt;Year&gt;2018&lt;/Year&gt;&lt;RecNum&gt;107&lt;/RecNum&gt;&lt;DisplayText&gt;(Grant et al., 2018)&lt;/DisplayText&gt;&lt;record&gt;&lt;rec-number&gt;107&lt;/rec-number&gt;&lt;foreign-keys&gt;&lt;key app="EN" db-id="xtpvpwz0ufxa2me5tv6v2prn2ez5p9atsvtr" timestamp="1539173736"&gt;107&lt;/key&gt;&lt;/foreign-keys&gt;&lt;ref-type name="Report"&gt;27&lt;/ref-type&gt;&lt;contributors&gt;&lt;authors&gt;&lt;author&gt;Grant, S.&lt;/author&gt;&lt;author&gt;Thompson, K.&lt;/author&gt;&lt;author&gt;Paxman, C&lt;/author&gt;&lt;author&gt;Elisei, G.&lt;/author&gt;&lt;author&gt;Gallen, C&lt;/author&gt;&lt;author&gt;Tracey, D.&lt;/author&gt;&lt;author&gt;Kaserzon, S.&lt;/author&gt;&lt;author&gt;Jiang, H.&lt;/author&gt;&lt;author&gt;Samanipour, S.&lt;/author&gt;&lt;author&gt;Mueller, J&lt;/author&gt;&lt;/authors&gt;&lt;tertiary-authors&gt;&lt;author&gt;Great Barrier Reef Marine Park Authority Townsville&lt;/author&gt;&lt;/tertiary-authors&gt;&lt;/contributors&gt;&lt;titles&gt;&lt;title&gt;Marine Monitoring Program: Annual report for inshore pesticide monitoring 2016-2017&lt;/title&gt;&lt;/titles&gt;&lt;dates&gt;&lt;year&gt;2018&lt;/year&gt;&lt;/dates&gt;&lt;urls&gt;&lt;related-urls&gt;&lt;url&gt;&lt;style face="underline" font="default" size="100%"&gt;http://elibrary.gbrmpa.gov.au/jspui/handle/11017/3399&lt;/style&gt;&lt;/url&gt;&lt;/related-urls&gt;&lt;/urls&gt;&lt;/record&gt;&lt;/Cite&gt;&lt;/EndNote&gt;</w:instrText>
      </w:r>
      <w:r w:rsidR="00E06B2D">
        <w:rPr>
          <w:lang w:val="en-AU"/>
        </w:rPr>
        <w:fldChar w:fldCharType="separate"/>
      </w:r>
      <w:r w:rsidR="00E06B2D">
        <w:rPr>
          <w:noProof/>
          <w:lang w:val="en-AU"/>
        </w:rPr>
        <w:t>(Grant et al., 2018)</w:t>
      </w:r>
      <w:r w:rsidR="00E06B2D">
        <w:rPr>
          <w:lang w:val="en-AU"/>
        </w:rPr>
        <w:fldChar w:fldCharType="end"/>
      </w:r>
      <w:r w:rsidR="00E06B2D">
        <w:rPr>
          <w:lang w:val="en-AU"/>
        </w:rPr>
        <w:t xml:space="preserve">. </w:t>
      </w:r>
      <w:r w:rsidR="008308E5" w:rsidRPr="00CA381D">
        <w:rPr>
          <w:lang w:val="en-AU"/>
        </w:rPr>
        <w:t xml:space="preserve"> </w:t>
      </w:r>
      <w:r w:rsidR="00E06B2D">
        <w:rPr>
          <w:lang w:val="en-AU"/>
        </w:rPr>
        <w:t>Grab</w:t>
      </w:r>
      <w:r w:rsidR="00E06B2D" w:rsidRPr="00CA381D">
        <w:rPr>
          <w:lang w:val="en-AU"/>
        </w:rPr>
        <w:t xml:space="preserve"> </w:t>
      </w:r>
      <w:r w:rsidR="008308E5" w:rsidRPr="00CA381D">
        <w:rPr>
          <w:lang w:val="en-AU"/>
        </w:rPr>
        <w:t xml:space="preserve">samples collected </w:t>
      </w:r>
      <w:r w:rsidR="008308E5">
        <w:rPr>
          <w:lang w:val="en-AU"/>
        </w:rPr>
        <w:t xml:space="preserve">several </w:t>
      </w:r>
      <w:r w:rsidR="008308E5" w:rsidRPr="00CA381D">
        <w:rPr>
          <w:lang w:val="en-AU"/>
        </w:rPr>
        <w:t xml:space="preserve">kilometres into the Reef lagoon </w:t>
      </w:r>
      <w:r w:rsidR="00E06B2D">
        <w:rPr>
          <w:lang w:val="en-AU"/>
        </w:rPr>
        <w:t>have</w:t>
      </w:r>
      <w:r w:rsidR="008308E5">
        <w:rPr>
          <w:lang w:val="en-AU"/>
        </w:rPr>
        <w:t xml:space="preserve"> demonstrated a linear correlation between pesticide</w:t>
      </w:r>
      <w:r>
        <w:t xml:space="preserve"> concentration </w:t>
      </w:r>
      <w:r w:rsidR="008308E5">
        <w:t>and salinity</w:t>
      </w:r>
      <w:r>
        <w:t>, indicating</w:t>
      </w:r>
      <w:r w:rsidR="008308E5" w:rsidRPr="008308E5">
        <w:t xml:space="preserve"> </w:t>
      </w:r>
      <w:r w:rsidR="008308E5">
        <w:t xml:space="preserve">the conservative mixing of </w:t>
      </w:r>
      <w:r w:rsidR="0084483A">
        <w:t xml:space="preserve">these </w:t>
      </w:r>
      <w:r w:rsidR="008308E5">
        <w:t>pesticides</w:t>
      </w:r>
      <w:r>
        <w:t xml:space="preserve"> </w:t>
      </w:r>
      <w:r w:rsidR="008308E5">
        <w:t>and that</w:t>
      </w:r>
      <w:r>
        <w:t xml:space="preserve"> dilution rather than physical (e.g. flocculation), chemical (e.g. photolysis) or biological (e.g. biodegradation) processes </w:t>
      </w:r>
      <w:r>
        <w:fldChar w:fldCharType="begin"/>
      </w:r>
      <w:r>
        <w:instrText xml:space="preserve"> ADDIN EN.CITE &lt;EndNote&gt;&lt;Cite&gt;&lt;Author&gt;Lewis&lt;/Author&gt;&lt;Year&gt;2009&lt;/Year&gt;&lt;RecNum&gt;17&lt;/RecNum&gt;&lt;DisplayText&gt;(Lewis et al., 2009)&lt;/DisplayText&gt;&lt;record&gt;&lt;rec-number&gt;17&lt;/rec-number&gt;&lt;foreign-keys&gt;&lt;key app="EN" db-id="xtpvpwz0ufxa2me5tv6v2prn2ez5p9atsvtr" timestamp="1539144943"&gt;17&lt;/key&gt;&lt;/foreign-keys&gt;&lt;ref-type name="Journal Article"&gt;17&lt;/ref-type&gt;&lt;contributors&gt;&lt;authors&gt;&lt;author&gt;Lewis, Stephen E&lt;/author&gt;&lt;author&gt;Brodie, Jon E&lt;/author&gt;&lt;author&gt;Bainbridge, Zoë T&lt;/author&gt;&lt;author&gt;Rohde, Ken W&lt;/author&gt;&lt;author&gt;Davis, Aaron M&lt;/author&gt;&lt;author&gt;Masters, Bronwyn L&lt;/author&gt;&lt;author&gt;Maughan, Mirjam&lt;/author&gt;&lt;author&gt;Devlin, Michelle J&lt;/author&gt;&lt;author&gt;Mueller, Jochen F&lt;/author&gt;&lt;author&gt;Schaffelke, Britta&lt;/author&gt;&lt;/authors&gt;&lt;/contributors&gt;&lt;titles&gt;&lt;title&gt;Herbicides: a new threat to the Great Barrier Reef&lt;/title&gt;&lt;secondary-title&gt;Environmental Pollution&lt;/secondary-title&gt;&lt;/titles&gt;&lt;periodical&gt;&lt;full-title&gt;Environmental Pollution&lt;/full-title&gt;&lt;/periodical&gt;&lt;pages&gt;2470-2484&lt;/pages&gt;&lt;volume&gt;157&lt;/volume&gt;&lt;number&gt;8&lt;/number&gt;&lt;dates&gt;&lt;year&gt;2009&lt;/year&gt;&lt;/dates&gt;&lt;isbn&gt;0269-7491&lt;/isbn&gt;&lt;urls&gt;&lt;/urls&gt;&lt;/record&gt;&lt;/Cite&gt;&lt;/EndNote&gt;</w:instrText>
      </w:r>
      <w:r>
        <w:fldChar w:fldCharType="separate"/>
      </w:r>
      <w:r>
        <w:rPr>
          <w:noProof/>
        </w:rPr>
        <w:t>(Lewis et al., 2009)</w:t>
      </w:r>
      <w:r>
        <w:fldChar w:fldCharType="end"/>
      </w:r>
      <w:r w:rsidR="008308E5">
        <w:t xml:space="preserve"> governs </w:t>
      </w:r>
      <w:r w:rsidR="007F4311">
        <w:rPr>
          <w:lang w:val="en-AU"/>
        </w:rPr>
        <w:t>the fate and transport mechanisms that are driving pesticide movement into the nearshore environment.</w:t>
      </w:r>
      <w:r w:rsidR="00CA381D">
        <w:rPr>
          <w:lang w:val="en-AU"/>
        </w:rPr>
        <w:t xml:space="preserve"> </w:t>
      </w:r>
    </w:p>
    <w:p w14:paraId="4CB72B2E" w14:textId="77777777" w:rsidR="0084483A" w:rsidRDefault="0084483A" w:rsidP="002439C8">
      <w:pPr>
        <w:spacing w:line="276" w:lineRule="auto"/>
        <w:jc w:val="left"/>
        <w:rPr>
          <w:lang w:val="en-AU"/>
        </w:rPr>
      </w:pPr>
    </w:p>
    <w:p w14:paraId="2A006173" w14:textId="77777777" w:rsidR="00304720" w:rsidRDefault="0059608E" w:rsidP="002439C8">
      <w:pPr>
        <w:spacing w:line="276" w:lineRule="auto"/>
        <w:jc w:val="left"/>
        <w:rPr>
          <w:lang w:val="en-AU"/>
        </w:rPr>
      </w:pPr>
      <w:r w:rsidRPr="006F73F0">
        <w:rPr>
          <w:lang w:val="en-AU"/>
        </w:rPr>
        <w:t xml:space="preserve">Whilst the frequency and intensity of concentration pulses </w:t>
      </w:r>
      <w:r w:rsidR="00C122DC" w:rsidRPr="006F73F0">
        <w:rPr>
          <w:lang w:val="en-AU"/>
        </w:rPr>
        <w:t xml:space="preserve">associated with high flow river events </w:t>
      </w:r>
      <w:r w:rsidRPr="006F73F0">
        <w:rPr>
          <w:lang w:val="en-AU"/>
        </w:rPr>
        <w:t>are reduced with distance</w:t>
      </w:r>
      <w:r w:rsidR="00165BFA" w:rsidRPr="006F73F0">
        <w:rPr>
          <w:lang w:val="en-AU"/>
        </w:rPr>
        <w:t xml:space="preserve"> from river sources</w:t>
      </w:r>
      <w:r w:rsidRPr="006F73F0">
        <w:rPr>
          <w:lang w:val="en-AU"/>
        </w:rPr>
        <w:t>, low-level chronic</w:t>
      </w:r>
      <w:r w:rsidR="003A1DCE" w:rsidRPr="006F73F0">
        <w:rPr>
          <w:lang w:val="en-AU"/>
        </w:rPr>
        <w:t xml:space="preserve"> exposure </w:t>
      </w:r>
      <w:r w:rsidR="006F73F0" w:rsidRPr="006F73F0">
        <w:rPr>
          <w:lang w:val="en-AU"/>
        </w:rPr>
        <w:t xml:space="preserve">to pesticides </w:t>
      </w:r>
      <w:r w:rsidR="003A1DCE" w:rsidRPr="006F73F0">
        <w:rPr>
          <w:lang w:val="en-AU"/>
        </w:rPr>
        <w:t>in near</w:t>
      </w:r>
      <w:r w:rsidRPr="006F73F0">
        <w:rPr>
          <w:lang w:val="en-AU"/>
        </w:rPr>
        <w:t>shore marine areas</w:t>
      </w:r>
      <w:r w:rsidR="004D2460" w:rsidRPr="006F73F0">
        <w:rPr>
          <w:lang w:val="en-AU"/>
        </w:rPr>
        <w:t xml:space="preserve"> </w:t>
      </w:r>
      <w:r w:rsidRPr="006F73F0">
        <w:rPr>
          <w:lang w:val="en-AU"/>
        </w:rPr>
        <w:t xml:space="preserve">may still have </w:t>
      </w:r>
      <w:r w:rsidR="006F73F0">
        <w:rPr>
          <w:lang w:val="en-AU"/>
        </w:rPr>
        <w:t>negative</w:t>
      </w:r>
      <w:r w:rsidRPr="006F73F0">
        <w:rPr>
          <w:lang w:val="en-AU"/>
        </w:rPr>
        <w:t xml:space="preserve"> impacts </w:t>
      </w:r>
      <w:r w:rsidR="00C122DC" w:rsidRPr="006F73F0">
        <w:rPr>
          <w:lang w:val="en-AU"/>
        </w:rPr>
        <w:t>at the receiving environments. Effects may include</w:t>
      </w:r>
      <w:r w:rsidRPr="006F73F0">
        <w:rPr>
          <w:lang w:val="en-AU"/>
        </w:rPr>
        <w:t xml:space="preserve"> changes in microbial communities</w:t>
      </w:r>
      <w:r w:rsidR="00D37225" w:rsidRPr="006F73F0">
        <w:rPr>
          <w:lang w:val="en-AU"/>
        </w:rPr>
        <w:t xml:space="preserve"> </w:t>
      </w:r>
      <w:r w:rsidR="00C91BF5" w:rsidRPr="006F73F0">
        <w:rPr>
          <w:lang w:val="en-AU"/>
        </w:rPr>
        <w:fldChar w:fldCharType="begin"/>
      </w:r>
      <w:r w:rsidR="0018079F">
        <w:rPr>
          <w:lang w:val="en-AU"/>
        </w:rPr>
        <w:instrText xml:space="preserve"> ADDIN EN.CITE &lt;EndNote&gt;&lt;Cite&gt;&lt;Author&gt;Magnusson&lt;/Author&gt;&lt;Year&gt;2012&lt;/Year&gt;&lt;RecNum&gt;67&lt;/RecNum&gt;&lt;DisplayText&gt;(Magnusson et al., 2012)&lt;/DisplayText&gt;&lt;record&gt;&lt;rec-number&gt;67&lt;/rec-number&gt;&lt;foreign-keys&gt;&lt;key app="EN" db-id="xtpvpwz0ufxa2me5tv6v2prn2ez5p9atsvtr" timestamp="1539144944"&gt;67&lt;/key&gt;&lt;/foreign-keys&gt;&lt;ref-type name="Journal Article"&gt;17&lt;/ref-type&gt;&lt;contributors&gt;&lt;authors&gt;&lt;author&gt;Magnusson, Marie&lt;/author&gt;&lt;author&gt;Heimann, Kirsten&lt;/author&gt;&lt;author&gt;Ridd, Michael&lt;/author&gt;&lt;author&gt;Negri, Andrew P&lt;/author&gt;&lt;/authors&gt;&lt;/contributors&gt;&lt;titles&gt;&lt;title&gt;Chronic herbicide exposures affect the sensitivity and community structure of tropical benthic microalgae&lt;/title&gt;&lt;secondary-title&gt;Marine pollution bulletin&lt;/secondary-title&gt;&lt;/titles&gt;&lt;periodical&gt;&lt;full-title&gt;Marine pollution bulletin&lt;/full-title&gt;&lt;/periodical&gt;&lt;pages&gt;363-372&lt;/pages&gt;&lt;volume&gt;65&lt;/volume&gt;&lt;number&gt;4&lt;/number&gt;&lt;dates&gt;&lt;year&gt;2012&lt;/year&gt;&lt;/dates&gt;&lt;isbn&gt;0025-326X&lt;/isbn&gt;&lt;urls&gt;&lt;/urls&gt;&lt;/record&gt;&lt;/Cite&gt;&lt;/EndNote&gt;</w:instrText>
      </w:r>
      <w:r w:rsidR="00C91BF5" w:rsidRPr="006F73F0">
        <w:rPr>
          <w:lang w:val="en-AU"/>
        </w:rPr>
        <w:fldChar w:fldCharType="separate"/>
      </w:r>
      <w:r w:rsidR="00B33845" w:rsidRPr="006F73F0">
        <w:rPr>
          <w:noProof/>
          <w:lang w:val="en-AU"/>
        </w:rPr>
        <w:t>(Magnusson et al., 2012)</w:t>
      </w:r>
      <w:r w:rsidR="00C91BF5" w:rsidRPr="006F73F0">
        <w:rPr>
          <w:lang w:val="en-AU"/>
        </w:rPr>
        <w:fldChar w:fldCharType="end"/>
      </w:r>
      <w:r w:rsidRPr="006F73F0">
        <w:rPr>
          <w:lang w:val="en-AU"/>
        </w:rPr>
        <w:t xml:space="preserve">, </w:t>
      </w:r>
      <w:r w:rsidR="0070256E" w:rsidRPr="006F73F0">
        <w:rPr>
          <w:lang w:val="en-AU"/>
        </w:rPr>
        <w:t xml:space="preserve">negative </w:t>
      </w:r>
      <w:r w:rsidRPr="006F73F0">
        <w:rPr>
          <w:lang w:val="en-AU"/>
        </w:rPr>
        <w:t>effects on seagrass energetics and growth</w:t>
      </w:r>
      <w:r w:rsidR="0030520A" w:rsidRPr="006F73F0">
        <w:rPr>
          <w:lang w:val="en-AU"/>
        </w:rPr>
        <w:t xml:space="preserve"> </w:t>
      </w:r>
      <w:r w:rsidR="00C91BF5" w:rsidRPr="006F73F0">
        <w:rPr>
          <w:lang w:val="en-AU"/>
        </w:rPr>
        <w:fldChar w:fldCharType="begin"/>
      </w:r>
      <w:r w:rsidR="0058467F">
        <w:rPr>
          <w:lang w:val="en-AU"/>
        </w:rPr>
        <w:instrText xml:space="preserve"> ADDIN EN.CITE &lt;EndNote&gt;&lt;Cite&gt;&lt;Author&gt;Negri&lt;/Author&gt;&lt;Year&gt;2015&lt;/Year&gt;&lt;RecNum&gt;68&lt;/RecNum&gt;&lt;DisplayText&gt;(Negri et al., 2015)&lt;/DisplayText&gt;&lt;record&gt;&lt;rec-number&gt;68&lt;/rec-number&gt;&lt;foreign-keys&gt;&lt;key app="EN" db-id="xtpvpwz0ufxa2me5tv6v2prn2ez5p9atsvtr" timestamp="1539144944"&gt;68&lt;/key&gt;&lt;/foreign-keys&gt;&lt;ref-type name="Journal Article"&gt;17&lt;/ref-type&gt;&lt;contributors&gt;&lt;authors&gt;&lt;author&gt;Negri, Andrew P&lt;/author&gt;&lt;author&gt;Flores, Florita&lt;/author&gt;&lt;author&gt;Mercurio, Phil&lt;/author&gt;&lt;author&gt;Mueller, Jochen F&lt;/author&gt;&lt;author&gt;Collier, Catherine J&lt;/author&gt;&lt;/authors&gt;&lt;/contributors&gt;&lt;titles&gt;&lt;title&gt;Lethal and sub-lethal chronic effects of the herbicide diuron on seagrass&lt;/title&gt;&lt;secondary-title&gt;Aquatic Toxicology&lt;/secondary-title&gt;&lt;/titles&gt;&lt;periodical&gt;&lt;full-title&gt;Aquatic Toxicology&lt;/full-title&gt;&lt;/periodical&gt;&lt;pages&gt;73-83&lt;/pages&gt;&lt;volume&gt;165&lt;/volume&gt;&lt;dates&gt;&lt;year&gt;2015&lt;/year&gt;&lt;/dates&gt;&lt;isbn&gt;0166-445X&lt;/isbn&gt;&lt;urls&gt;&lt;/urls&gt;&lt;/record&gt;&lt;/Cite&gt;&lt;/EndNote&gt;</w:instrText>
      </w:r>
      <w:r w:rsidR="00C91BF5" w:rsidRPr="006F73F0">
        <w:rPr>
          <w:lang w:val="en-AU"/>
        </w:rPr>
        <w:fldChar w:fldCharType="separate"/>
      </w:r>
      <w:r w:rsidR="00B33845" w:rsidRPr="006F73F0">
        <w:rPr>
          <w:noProof/>
          <w:lang w:val="en-AU"/>
        </w:rPr>
        <w:t>(Negri et al., 2015)</w:t>
      </w:r>
      <w:r w:rsidR="00C91BF5" w:rsidRPr="006F73F0">
        <w:rPr>
          <w:lang w:val="en-AU"/>
        </w:rPr>
        <w:fldChar w:fldCharType="end"/>
      </w:r>
      <w:r w:rsidRPr="006F73F0">
        <w:rPr>
          <w:lang w:val="en-AU"/>
        </w:rPr>
        <w:t xml:space="preserve">, </w:t>
      </w:r>
      <w:r w:rsidR="0070256E" w:rsidRPr="006F73F0">
        <w:rPr>
          <w:lang w:val="en-AU"/>
        </w:rPr>
        <w:t xml:space="preserve">as well as </w:t>
      </w:r>
      <w:r w:rsidRPr="006F73F0">
        <w:rPr>
          <w:lang w:val="en-AU"/>
        </w:rPr>
        <w:t xml:space="preserve">reduced </w:t>
      </w:r>
      <w:r w:rsidR="000A4BE1" w:rsidRPr="006F73F0">
        <w:rPr>
          <w:lang w:val="en-AU"/>
        </w:rPr>
        <w:t xml:space="preserve">photosynthesis and </w:t>
      </w:r>
      <w:r w:rsidRPr="006F73F0">
        <w:rPr>
          <w:lang w:val="en-AU"/>
        </w:rPr>
        <w:t>reproductive output of corals</w:t>
      </w:r>
      <w:r w:rsidR="00CD6549" w:rsidRPr="006F73F0">
        <w:rPr>
          <w:lang w:val="en-AU"/>
        </w:rPr>
        <w:t xml:space="preserve"> </w:t>
      </w:r>
      <w:r w:rsidR="00C91BF5" w:rsidRPr="006F73F0">
        <w:rPr>
          <w:lang w:val="en-AU"/>
        </w:rPr>
        <w:fldChar w:fldCharType="begin"/>
      </w:r>
      <w:r w:rsidR="002D0872">
        <w:rPr>
          <w:lang w:val="en-AU"/>
        </w:rPr>
        <w:instrText xml:space="preserve"> ADDIN EN.CITE &lt;EndNote&gt;&lt;Cite&gt;&lt;Author&gt;Cantin&lt;/Author&gt;&lt;Year&gt;2007&lt;/Year&gt;&lt;RecNum&gt;69&lt;/RecNum&gt;&lt;DisplayText&gt;(Cantin et al., 2007; Negri et al., 2005)&lt;/DisplayText&gt;&lt;record&gt;&lt;rec-number&gt;69&lt;/rec-number&gt;&lt;foreign-keys&gt;&lt;key app="EN" db-id="xtpvpwz0ufxa2me5tv6v2prn2ez5p9atsvtr" timestamp="1539144945"&gt;69&lt;/key&gt;&lt;/foreign-keys&gt;&lt;ref-type name="Journal Article"&gt;17&lt;/ref-type&gt;&lt;contributors&gt;&lt;authors&gt;&lt;author&gt;Cantin, Neal E&lt;/author&gt;&lt;author&gt;Negri, Andrew P&lt;/author&gt;&lt;author&gt;Willis, Bette L&lt;/author&gt;&lt;/authors&gt;&lt;/contributors&gt;&lt;titles&gt;&lt;title&gt;Photoinhibition from chronic herbicide exposure reduces reproductive output of reef-building corals&lt;/title&gt;&lt;secondary-title&gt;Marine Ecology Progress Series&lt;/secondary-title&gt;&lt;/titles&gt;&lt;periodical&gt;&lt;full-title&gt;Marine Ecology Progress Series&lt;/full-title&gt;&lt;/periodical&gt;&lt;pages&gt;81-93&lt;/pages&gt;&lt;volume&gt;344&lt;/volume&gt;&lt;dates&gt;&lt;year&gt;2007&lt;/year&gt;&lt;/dates&gt;&lt;isbn&gt;1616-1599&lt;/isbn&gt;&lt;urls&gt;&lt;/urls&gt;&lt;/record&gt;&lt;/Cite&gt;&lt;Cite&gt;&lt;Author&gt;Negri&lt;/Author&gt;&lt;Year&gt;2005&lt;/Year&gt;&lt;RecNum&gt;70&lt;/RecNum&gt;&lt;record&gt;&lt;rec-number&gt;70&lt;/rec-number&gt;&lt;foreign-keys&gt;&lt;key app="EN" db-id="xtpvpwz0ufxa2me5tv6v2prn2ez5p9atsvtr" timestamp="1539144945"&gt;70&lt;/key&gt;&lt;/foreign-keys&gt;&lt;ref-type name="Journal Article"&gt;17&lt;/ref-type&gt;&lt;contributors&gt;&lt;authors&gt;&lt;author&gt;Negri, Andrew&lt;/author&gt;&lt;author&gt;Vollhardt, Claudia&lt;/author&gt;&lt;author&gt;Humphrey, Craig&lt;/author&gt;&lt;author&gt;Heyward, Andrew&lt;/author&gt;&lt;author&gt;Jones, Ross&lt;/author&gt;&lt;author&gt;Eaglesham, Geoff&lt;/author&gt;&lt;author&gt;Fabricius, Katharina&lt;/author&gt;&lt;/authors&gt;&lt;/contributors&gt;&lt;titles&gt;&lt;title&gt;Effects of the herbicide diuron on the early life history stages of coral&lt;/title&gt;&lt;secondary-title&gt;Marine Pollution Bulletin&lt;/secondary-title&gt;&lt;/titles&gt;&lt;periodical&gt;&lt;full-title&gt;Marine pollution bulletin&lt;/full-title&gt;&lt;/periodical&gt;&lt;pages&gt;370-383&lt;/pages&gt;&lt;volume&gt;51&lt;/volume&gt;&lt;number&gt;1&lt;/number&gt;&lt;dates&gt;&lt;year&gt;2005&lt;/year&gt;&lt;/dates&gt;&lt;isbn&gt;0025-326X&lt;/isbn&gt;&lt;urls&gt;&lt;/urls&gt;&lt;/record&gt;&lt;/Cite&gt;&lt;/EndNote&gt;</w:instrText>
      </w:r>
      <w:r w:rsidR="00C91BF5" w:rsidRPr="006F73F0">
        <w:rPr>
          <w:lang w:val="en-AU"/>
        </w:rPr>
        <w:fldChar w:fldCharType="separate"/>
      </w:r>
      <w:r w:rsidR="002D0872">
        <w:rPr>
          <w:noProof/>
          <w:lang w:val="en-AU"/>
        </w:rPr>
        <w:t>(Cantin et al., 2007; Negri et al., 2005)</w:t>
      </w:r>
      <w:r w:rsidR="00C91BF5" w:rsidRPr="006F73F0">
        <w:rPr>
          <w:lang w:val="en-AU"/>
        </w:rPr>
        <w:fldChar w:fldCharType="end"/>
      </w:r>
      <w:r w:rsidR="0070256E" w:rsidRPr="006F73F0">
        <w:rPr>
          <w:lang w:val="en-AU"/>
        </w:rPr>
        <w:t xml:space="preserve"> and other Reef/</w:t>
      </w:r>
      <w:r w:rsidR="00F1201F" w:rsidRPr="006F73F0">
        <w:rPr>
          <w:lang w:val="en-AU"/>
        </w:rPr>
        <w:t>tropical photosynthetic species</w:t>
      </w:r>
      <w:r w:rsidR="000D05E0" w:rsidRPr="006F73F0">
        <w:rPr>
          <w:lang w:val="en-AU"/>
        </w:rPr>
        <w:t xml:space="preserve">. </w:t>
      </w:r>
      <w:r w:rsidR="0070256E" w:rsidRPr="006F73F0">
        <w:rPr>
          <w:lang w:val="en-AU"/>
        </w:rPr>
        <w:t xml:space="preserve">Furthermore, </w:t>
      </w:r>
      <w:r w:rsidR="002E50D5" w:rsidRPr="006F73F0">
        <w:rPr>
          <w:lang w:val="en-AU"/>
        </w:rPr>
        <w:t>cumulative</w:t>
      </w:r>
      <w:r w:rsidR="00216278" w:rsidRPr="006F73F0">
        <w:rPr>
          <w:lang w:val="en-AU"/>
        </w:rPr>
        <w:t xml:space="preserve"> impacts of </w:t>
      </w:r>
      <w:r w:rsidR="006F73F0" w:rsidRPr="006F73F0">
        <w:rPr>
          <w:lang w:val="en-AU"/>
        </w:rPr>
        <w:t>pesticide</w:t>
      </w:r>
      <w:r w:rsidR="00216278" w:rsidRPr="006F73F0">
        <w:rPr>
          <w:lang w:val="en-AU"/>
        </w:rPr>
        <w:t xml:space="preserve"> exposure and other external stressors (such as rising sea surface temperature) </w:t>
      </w:r>
      <w:r w:rsidR="006A5ED0" w:rsidRPr="006F73F0">
        <w:rPr>
          <w:lang w:val="en-AU"/>
        </w:rPr>
        <w:t>are likely to increase</w:t>
      </w:r>
      <w:r w:rsidR="00454ECC" w:rsidRPr="006F73F0">
        <w:rPr>
          <w:lang w:val="en-AU"/>
        </w:rPr>
        <w:t xml:space="preserve"> </w:t>
      </w:r>
      <w:r w:rsidR="001F6F89" w:rsidRPr="006F73F0">
        <w:rPr>
          <w:lang w:val="en-AU"/>
        </w:rPr>
        <w:t xml:space="preserve">in the future based on current climate trends </w:t>
      </w:r>
      <w:r w:rsidR="00C91BF5" w:rsidRPr="006F73F0">
        <w:rPr>
          <w:lang w:val="en-AU"/>
        </w:rPr>
        <w:fldChar w:fldCharType="begin">
          <w:fldData xml:space="preserve">PEVuZE5vdGU+PENpdGU+PEF1dGhvcj5OZWdyaTwvQXV0aG9yPjxZZWFyPjIwMTE8L1llYXI+PFJl
Y051bT43MTwvUmVjTnVtPjxEaXNwbGF5VGV4dD4oTmVncmkgZXQgYWwuLCAyMDExOyB2YW4gRGFt
LCAyMDEyOyB2YW4gRGFtIGV0IGFsLiwgMjAxMik8L0Rpc3BsYXlUZXh0PjxyZWNvcmQ+PHJlYy1u
dW1iZXI+NzE8L3JlYy1udW1iZXI+PGZvcmVpZ24ta2V5cz48a2V5IGFwcD0iRU4iIGRiLWlkPSJ4
dHB2cHd6MHVmeGEybWU1dHY2djJwcm4yZXo1cDlhdHN2dHIiIHRpbWVzdGFtcD0iMTUzOTE0NDk0
NSI+NzE8L2tleT48L2ZvcmVpZ24ta2V5cz48cmVmLXR5cGUgbmFtZT0iSm91cm5hbCBBcnRpY2xl
Ij4xNzwvcmVmLXR5cGU+PGNvbnRyaWJ1dG9ycz48YXV0aG9ycz48YXV0aG9yPk5lZ3JpLCBBbmRy
ZXcgUDwvYXV0aG9yPjxhdXRob3I+RmxvcmVzLCBGbG9yaXRhPC9hdXRob3I+PGF1dGhvcj5Sw7Z0
aGlnLCBUaWxsPC9hdXRob3I+PGF1dGhvcj5VdGhpY2tlLCBTdmVuPC9hdXRob3I+PC9hdXRob3Jz
PjwvY29udHJpYnV0b3JzPjx0aXRsZXM+PHRpdGxlPkhlcmJpY2lkZXMgaW5jcmVhc2UgdGhlIHZ1
bG5lcmFiaWxpdHkgb2YgY29yYWxzIHRvIHJpc2luZyBzZWEgc3VyZmFjZSB0ZW1wZXJhdHVyZTwv
dGl0bGU+PHNlY29uZGFyeS10aXRsZT5MaW1ub2xvZ3kgYW5kIE9jZWFub2dyYXBoeTwvc2Vjb25k
YXJ5LXRpdGxlPjwvdGl0bGVzPjxwZXJpb2RpY2FsPjxmdWxsLXRpdGxlPkxpbW5vbG9neSBhbmQg
T2NlYW5vZ3JhcGh5PC9mdWxsLXRpdGxlPjwvcGVyaW9kaWNhbD48cGFnZXM+NDcxLTQ4NTwvcGFn
ZXM+PHZvbHVtZT41Njwvdm9sdW1lPjxudW1iZXI+MjwvbnVtYmVyPjxkYXRlcz48eWVhcj4yMDEx
PC95ZWFyPjwvZGF0ZXM+PGlzYm4+MDAyNC0zNTkwPC9pc2JuPjx1cmxzPjwvdXJscz48L3JlY29y
ZD48L0NpdGU+PENpdGU+PEF1dGhvcj52YW4gRGFtPC9BdXRob3I+PFllYXI+MjAxMjwvWWVhcj48
UmVjTnVtPjcyPC9SZWNOdW0+PHJlY29yZD48cmVjLW51bWJlcj43MjwvcmVjLW51bWJlcj48Zm9y
ZWlnbi1rZXlzPjxrZXkgYXBwPSJFTiIgZGItaWQ9Inh0cHZwd3owdWZ4YTJtZTV0djZ2MnBybjJl
ejVwOWF0c3Z0ciIgdGltZXN0YW1wPSIxNTM5MTQ0OTQ1Ij43Mjwva2V5PjwvZm9yZWlnbi1rZXlz
PjxyZWYtdHlwZSBuYW1lPSJKb3VybmFsIEFydGljbGUiPjE3PC9yZWYtdHlwZT48Y29udHJpYnV0
b3JzPjxhdXRob3JzPjxhdXRob3I+dmFuIERhbSwgSm9vc3QgVy48L2F1dGhvcj48YXV0aG9yPk5l
Z3JpLCBBbmRyZXcgUC48L2F1dGhvcj48YXV0aG9yPk11ZWxsZXIsIEpvY2hlbiBGLjwvYXV0aG9y
PjxhdXRob3I+QWx0ZW5idXJnZXIsIFJvbGY8L2F1dGhvcj48YXV0aG9yPlV0aGlja2UsIFN2ZW48
L2F1dGhvcj48L2F1dGhvcnM+PC9jb250cmlidXRvcnM+PHRpdGxlcz48dGl0bGU+QWRkaXRpdmUg
UHJlc3N1cmVzIG9mIEVsZXZhdGVkIFNlYSBTdXJmYWNlIFRlbXBlcmF0dXJlcyBhbmQgSGVyYmlj
aWRlcyBvbiBTeW1iaW9udC1CZWFyaW5nIEZvcmFtaW5pZmVyYTwvdGl0bGU+PHNlY29uZGFyeS10
aXRsZT5QTG9TIE9ORTwvc2Vjb25kYXJ5LXRpdGxlPjwvdGl0bGVzPjxwZXJpb2RpY2FsPjxmdWxs
LXRpdGxlPlBMb1MgT05FPC9mdWxsLXRpdGxlPjwvcGVyaW9kaWNhbD48cGFnZXM+ZTMzOTAwPC9w
YWdlcz48dm9sdW1lPjc8L3ZvbHVtZT48bnVtYmVyPjM8L251bWJlcj48ZGF0ZXM+PHllYXI+MjAx
MjwveWVhcj48L2RhdGVzPjxwdWJsaXNoZXI+UHVibGljIExpYnJhcnkgb2YgU2NpZW5jZTwvcHVi
bGlzaGVyPjx1cmxzPjxyZWxhdGVkLXVybHM+PHVybD5odHRwOi8vZHguZG9pLm9yZy8xMC4xMzcx
JTJGam91cm5hbC5wb25lLjAwMzM5MDA8L3VybD48L3JlbGF0ZWQtdXJscz48L3VybHM+PGVsZWN0
cm9uaWMtcmVzb3VyY2UtbnVtPjEwLjEzNzEvam91cm5hbC5wb25lLjAwMzM5MDA8L2VsZWN0cm9u
aWMtcmVzb3VyY2UtbnVtPjwvcmVjb3JkPjwvQ2l0ZT48Q2l0ZT48QXV0aG9yPnZhbiBEYW08L0F1
dGhvcj48WWVhcj4yMDEyPC9ZZWFyPjxSZWNOdW0+NzM8L1JlY051bT48cmVjb3JkPjxyZWMtbnVt
YmVyPjczPC9yZWMtbnVtYmVyPjxmb3JlaWduLWtleXM+PGtleSBhcHA9IkVOIiBkYi1pZD0ieHRw
dnB3ejB1ZnhhMm1lNXR2NnYycHJuMmV6NXA5YXRzdnRyIiB0aW1lc3RhbXA9IjE1MzkxNDQ5NDUi
PjczPC9rZXk+PC9mb3JlaWduLWtleXM+PHJlZi10eXBlIG5hbWU9IlRoZXNpcyI+MzI8L3JlZi10
eXBlPjxjb250cmlidXRvcnM+PGF1dGhvcnM+PGF1dGhvcj52YW4gRGFtLCBKLlcuPC9hdXRob3I+
PC9hdXRob3JzPjwvY29udHJpYnV0b3JzPjx0aXRsZXM+PHRpdGxlPkNvbWJpbmVkIGVmZmVjdHMg
b2YgdGVtcGVyYXR1cmUgYW5kIGhlcmJpY2lkZXMgb24gc3ltYmlvbnQtYmVhcmluZyBjYWxjaWZ5
aW5nIHJlZWYgb3JnYW5pc21zPC90aXRsZT48c2Vjb25kYXJ5LXRpdGxlPlNjaG9vbCBvZiBCaW9s
b2dpY2FsIFNjaWVuY2VzPC9zZWNvbmRhcnktdGl0bGU+PC90aXRsZXM+PHBhZ2VzPjE5NDwvcGFn
ZXM+PHZvbHVtZT5QaEQ8L3ZvbHVtZT48ZGF0ZXM+PHllYXI+MjAxMjwveWVhcj48L2RhdGVzPjxw
dWItbG9jYXRpb24+VGhlIFVuaXZlcnNpdHkgb2YgUXVlZW5zbGFuZCwgQnJpc2JhbmUgPC9wdWIt
bG9jYXRpb24+PHVybHM+PC91cmxzPjwvcmVjb3JkPjwvQ2l0ZT48L0VuZE5vdGU+
</w:fldData>
        </w:fldChar>
      </w:r>
      <w:r w:rsidR="002D0872">
        <w:rPr>
          <w:lang w:val="en-AU"/>
        </w:rPr>
        <w:instrText xml:space="preserve"> ADDIN EN.CITE </w:instrText>
      </w:r>
      <w:r w:rsidR="002D0872">
        <w:rPr>
          <w:lang w:val="en-AU"/>
        </w:rPr>
        <w:fldChar w:fldCharType="begin">
          <w:fldData xml:space="preserve">PEVuZE5vdGU+PENpdGU+PEF1dGhvcj5OZWdyaTwvQXV0aG9yPjxZZWFyPjIwMTE8L1llYXI+PFJl
Y051bT43MTwvUmVjTnVtPjxEaXNwbGF5VGV4dD4oTmVncmkgZXQgYWwuLCAyMDExOyB2YW4gRGFt
LCAyMDEyOyB2YW4gRGFtIGV0IGFsLiwgMjAxMik8L0Rpc3BsYXlUZXh0PjxyZWNvcmQ+PHJlYy1u
dW1iZXI+NzE8L3JlYy1udW1iZXI+PGZvcmVpZ24ta2V5cz48a2V5IGFwcD0iRU4iIGRiLWlkPSJ4
dHB2cHd6MHVmeGEybWU1dHY2djJwcm4yZXo1cDlhdHN2dHIiIHRpbWVzdGFtcD0iMTUzOTE0NDk0
NSI+NzE8L2tleT48L2ZvcmVpZ24ta2V5cz48cmVmLXR5cGUgbmFtZT0iSm91cm5hbCBBcnRpY2xl
Ij4xNzwvcmVmLXR5cGU+PGNvbnRyaWJ1dG9ycz48YXV0aG9ycz48YXV0aG9yPk5lZ3JpLCBBbmRy
ZXcgUDwvYXV0aG9yPjxhdXRob3I+RmxvcmVzLCBGbG9yaXRhPC9hdXRob3I+PGF1dGhvcj5Sw7Z0
aGlnLCBUaWxsPC9hdXRob3I+PGF1dGhvcj5VdGhpY2tlLCBTdmVuPC9hdXRob3I+PC9hdXRob3Jz
PjwvY29udHJpYnV0b3JzPjx0aXRsZXM+PHRpdGxlPkhlcmJpY2lkZXMgaW5jcmVhc2UgdGhlIHZ1
bG5lcmFiaWxpdHkgb2YgY29yYWxzIHRvIHJpc2luZyBzZWEgc3VyZmFjZSB0ZW1wZXJhdHVyZTwv
dGl0bGU+PHNlY29uZGFyeS10aXRsZT5MaW1ub2xvZ3kgYW5kIE9jZWFub2dyYXBoeTwvc2Vjb25k
YXJ5LXRpdGxlPjwvdGl0bGVzPjxwZXJpb2RpY2FsPjxmdWxsLXRpdGxlPkxpbW5vbG9neSBhbmQg
T2NlYW5vZ3JhcGh5PC9mdWxsLXRpdGxlPjwvcGVyaW9kaWNhbD48cGFnZXM+NDcxLTQ4NTwvcGFn
ZXM+PHZvbHVtZT41Njwvdm9sdW1lPjxudW1iZXI+MjwvbnVtYmVyPjxkYXRlcz48eWVhcj4yMDEx
PC95ZWFyPjwvZGF0ZXM+PGlzYm4+MDAyNC0zNTkwPC9pc2JuPjx1cmxzPjwvdXJscz48L3JlY29y
ZD48L0NpdGU+PENpdGU+PEF1dGhvcj52YW4gRGFtPC9BdXRob3I+PFllYXI+MjAxMjwvWWVhcj48
UmVjTnVtPjcyPC9SZWNOdW0+PHJlY29yZD48cmVjLW51bWJlcj43MjwvcmVjLW51bWJlcj48Zm9y
ZWlnbi1rZXlzPjxrZXkgYXBwPSJFTiIgZGItaWQ9Inh0cHZwd3owdWZ4YTJtZTV0djZ2MnBybjJl
ejVwOWF0c3Z0ciIgdGltZXN0YW1wPSIxNTM5MTQ0OTQ1Ij43Mjwva2V5PjwvZm9yZWlnbi1rZXlz
PjxyZWYtdHlwZSBuYW1lPSJKb3VybmFsIEFydGljbGUiPjE3PC9yZWYtdHlwZT48Y29udHJpYnV0
b3JzPjxhdXRob3JzPjxhdXRob3I+dmFuIERhbSwgSm9vc3QgVy48L2F1dGhvcj48YXV0aG9yPk5l
Z3JpLCBBbmRyZXcgUC48L2F1dGhvcj48YXV0aG9yPk11ZWxsZXIsIEpvY2hlbiBGLjwvYXV0aG9y
PjxhdXRob3I+QWx0ZW5idXJnZXIsIFJvbGY8L2F1dGhvcj48YXV0aG9yPlV0aGlja2UsIFN2ZW48
L2F1dGhvcj48L2F1dGhvcnM+PC9jb250cmlidXRvcnM+PHRpdGxlcz48dGl0bGU+QWRkaXRpdmUg
UHJlc3N1cmVzIG9mIEVsZXZhdGVkIFNlYSBTdXJmYWNlIFRlbXBlcmF0dXJlcyBhbmQgSGVyYmlj
aWRlcyBvbiBTeW1iaW9udC1CZWFyaW5nIEZvcmFtaW5pZmVyYTwvdGl0bGU+PHNlY29uZGFyeS10
aXRsZT5QTG9TIE9ORTwvc2Vjb25kYXJ5LXRpdGxlPjwvdGl0bGVzPjxwZXJpb2RpY2FsPjxmdWxs
LXRpdGxlPlBMb1MgT05FPC9mdWxsLXRpdGxlPjwvcGVyaW9kaWNhbD48cGFnZXM+ZTMzOTAwPC9w
YWdlcz48dm9sdW1lPjc8L3ZvbHVtZT48bnVtYmVyPjM8L251bWJlcj48ZGF0ZXM+PHllYXI+MjAx
MjwveWVhcj48L2RhdGVzPjxwdWJsaXNoZXI+UHVibGljIExpYnJhcnkgb2YgU2NpZW5jZTwvcHVi
bGlzaGVyPjx1cmxzPjxyZWxhdGVkLXVybHM+PHVybD5odHRwOi8vZHguZG9pLm9yZy8xMC4xMzcx
JTJGam91cm5hbC5wb25lLjAwMzM5MDA8L3VybD48L3JlbGF0ZWQtdXJscz48L3VybHM+PGVsZWN0
cm9uaWMtcmVzb3VyY2UtbnVtPjEwLjEzNzEvam91cm5hbC5wb25lLjAwMzM5MDA8L2VsZWN0cm9u
aWMtcmVzb3VyY2UtbnVtPjwvcmVjb3JkPjwvQ2l0ZT48Q2l0ZT48QXV0aG9yPnZhbiBEYW08L0F1
dGhvcj48WWVhcj4yMDEyPC9ZZWFyPjxSZWNOdW0+NzM8L1JlY051bT48cmVjb3JkPjxyZWMtbnVt
YmVyPjczPC9yZWMtbnVtYmVyPjxmb3JlaWduLWtleXM+PGtleSBhcHA9IkVOIiBkYi1pZD0ieHRw
dnB3ejB1ZnhhMm1lNXR2NnYycHJuMmV6NXA5YXRzdnRyIiB0aW1lc3RhbXA9IjE1MzkxNDQ5NDUi
PjczPC9rZXk+PC9mb3JlaWduLWtleXM+PHJlZi10eXBlIG5hbWU9IlRoZXNpcyI+MzI8L3JlZi10
eXBlPjxjb250cmlidXRvcnM+PGF1dGhvcnM+PGF1dGhvcj52YW4gRGFtLCBKLlcuPC9hdXRob3I+
PC9hdXRob3JzPjwvY29udHJpYnV0b3JzPjx0aXRsZXM+PHRpdGxlPkNvbWJpbmVkIGVmZmVjdHMg
b2YgdGVtcGVyYXR1cmUgYW5kIGhlcmJpY2lkZXMgb24gc3ltYmlvbnQtYmVhcmluZyBjYWxjaWZ5
aW5nIHJlZWYgb3JnYW5pc21zPC90aXRsZT48c2Vjb25kYXJ5LXRpdGxlPlNjaG9vbCBvZiBCaW9s
b2dpY2FsIFNjaWVuY2VzPC9zZWNvbmRhcnktdGl0bGU+PC90aXRsZXM+PHBhZ2VzPjE5NDwvcGFn
ZXM+PHZvbHVtZT5QaEQ8L3ZvbHVtZT48ZGF0ZXM+PHllYXI+MjAxMjwveWVhcj48L2RhdGVzPjxw
dWItbG9jYXRpb24+VGhlIFVuaXZlcnNpdHkgb2YgUXVlZW5zbGFuZCwgQnJpc2JhbmUgPC9wdWIt
bG9jYXRpb24+PHVybHM+PC91cmxzPjwvcmVjb3JkPjwvQ2l0ZT48L0VuZE5vdGU+
</w:fldData>
        </w:fldChar>
      </w:r>
      <w:r w:rsidR="002D0872">
        <w:rPr>
          <w:lang w:val="en-AU"/>
        </w:rPr>
        <w:instrText xml:space="preserve"> ADDIN EN.CITE.DATA </w:instrText>
      </w:r>
      <w:r w:rsidR="002D0872">
        <w:rPr>
          <w:lang w:val="en-AU"/>
        </w:rPr>
      </w:r>
      <w:r w:rsidR="002D0872">
        <w:rPr>
          <w:lang w:val="en-AU"/>
        </w:rPr>
        <w:fldChar w:fldCharType="end"/>
      </w:r>
      <w:r w:rsidR="00C91BF5" w:rsidRPr="006F73F0">
        <w:rPr>
          <w:lang w:val="en-AU"/>
        </w:rPr>
      </w:r>
      <w:r w:rsidR="00C91BF5" w:rsidRPr="006F73F0">
        <w:rPr>
          <w:lang w:val="en-AU"/>
        </w:rPr>
        <w:fldChar w:fldCharType="separate"/>
      </w:r>
      <w:r w:rsidR="002D0872">
        <w:rPr>
          <w:noProof/>
          <w:lang w:val="en-AU"/>
        </w:rPr>
        <w:t>(Negri et al., 2011; van Dam, 2012; van Dam et al., 2012)</w:t>
      </w:r>
      <w:r w:rsidR="00C91BF5" w:rsidRPr="006F73F0">
        <w:rPr>
          <w:lang w:val="en-AU"/>
        </w:rPr>
        <w:fldChar w:fldCharType="end"/>
      </w:r>
      <w:r w:rsidR="00304720" w:rsidRPr="006F73F0">
        <w:rPr>
          <w:lang w:val="en-AU"/>
        </w:rPr>
        <w:t>.</w:t>
      </w:r>
    </w:p>
    <w:p w14:paraId="6BA7352B" w14:textId="77777777" w:rsidR="0059608E" w:rsidRPr="00AF6606" w:rsidRDefault="0059608E" w:rsidP="002439C8">
      <w:pPr>
        <w:spacing w:line="276" w:lineRule="auto"/>
        <w:jc w:val="left"/>
        <w:rPr>
          <w:lang w:val="en-AU"/>
        </w:rPr>
      </w:pPr>
      <w:bookmarkStart w:id="622" w:name="_Toc455069481"/>
      <w:bookmarkStart w:id="623" w:name="_Toc455070131"/>
      <w:bookmarkStart w:id="624" w:name="_Toc455070403"/>
      <w:bookmarkStart w:id="625" w:name="_Toc455151790"/>
      <w:bookmarkStart w:id="626" w:name="_Toc455069483"/>
      <w:bookmarkStart w:id="627" w:name="_Toc455070133"/>
      <w:bookmarkStart w:id="628" w:name="_Toc455070405"/>
      <w:bookmarkStart w:id="629" w:name="_Toc455151792"/>
      <w:bookmarkStart w:id="630" w:name="_Toc455069484"/>
      <w:bookmarkStart w:id="631" w:name="_Toc455070134"/>
      <w:bookmarkStart w:id="632" w:name="_Toc455070406"/>
      <w:bookmarkStart w:id="633" w:name="_Toc455151793"/>
      <w:bookmarkStart w:id="634" w:name="_Toc455069487"/>
      <w:bookmarkStart w:id="635" w:name="_Toc455070137"/>
      <w:bookmarkStart w:id="636" w:name="_Toc455070409"/>
      <w:bookmarkStart w:id="637" w:name="_Toc455151796"/>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p>
    <w:p w14:paraId="08AF9BE6" w14:textId="77777777" w:rsidR="00771CCE" w:rsidRDefault="00E74200" w:rsidP="002439C8">
      <w:pPr>
        <w:spacing w:line="276" w:lineRule="auto"/>
        <w:jc w:val="left"/>
        <w:rPr>
          <w:b/>
          <w:lang w:val="en-AU" w:eastAsia="en-AU"/>
        </w:rPr>
      </w:pPr>
      <w:r w:rsidRPr="00AF6606">
        <w:rPr>
          <w:b/>
          <w:lang w:val="en-AU" w:eastAsia="en-AU"/>
        </w:rPr>
        <w:t>F</w:t>
      </w:r>
      <w:r w:rsidR="00DB7E43" w:rsidRPr="00AF6606">
        <w:rPr>
          <w:b/>
          <w:lang w:val="en-AU" w:eastAsia="en-AU"/>
        </w:rPr>
        <w:t>uture directions</w:t>
      </w:r>
    </w:p>
    <w:p w14:paraId="53FC81F9" w14:textId="77777777" w:rsidR="002533FA" w:rsidRPr="00FC248F" w:rsidRDefault="002533FA" w:rsidP="002439C8">
      <w:pPr>
        <w:tabs>
          <w:tab w:val="left" w:pos="10065"/>
        </w:tabs>
        <w:spacing w:line="276" w:lineRule="auto"/>
        <w:jc w:val="left"/>
        <w:rPr>
          <w:lang w:val="en-AU" w:eastAsia="en-AU"/>
        </w:rPr>
      </w:pPr>
      <w:r w:rsidRPr="00FC248F">
        <w:rPr>
          <w:lang w:val="en-AU" w:eastAsia="en-AU"/>
        </w:rPr>
        <w:t xml:space="preserve">The longer-term change in nearshore marine pesticide levels attributable to changed </w:t>
      </w:r>
      <w:r>
        <w:rPr>
          <w:lang w:val="en-AU" w:eastAsia="en-AU"/>
        </w:rPr>
        <w:t>basin</w:t>
      </w:r>
      <w:r w:rsidRPr="00FC248F">
        <w:rPr>
          <w:lang w:val="en-AU" w:eastAsia="en-AU"/>
        </w:rPr>
        <w:t xml:space="preserve"> land management practices, which is the focus of the Reef </w:t>
      </w:r>
      <w:r>
        <w:rPr>
          <w:lang w:val="en-AU" w:eastAsia="en-AU"/>
        </w:rPr>
        <w:t>2050 WQIP</w:t>
      </w:r>
      <w:r w:rsidRPr="00FC248F">
        <w:rPr>
          <w:lang w:val="en-AU" w:eastAsia="en-AU"/>
        </w:rPr>
        <w:t xml:space="preserve">, </w:t>
      </w:r>
      <w:r>
        <w:rPr>
          <w:lang w:val="en-AU" w:eastAsia="en-AU"/>
        </w:rPr>
        <w:t xml:space="preserve">continues to be </w:t>
      </w:r>
      <w:r w:rsidRPr="00FC248F">
        <w:t xml:space="preserve">challenging </w:t>
      </w:r>
      <w:r w:rsidRPr="00FC248F">
        <w:rPr>
          <w:lang w:val="en-AU" w:eastAsia="en-AU"/>
        </w:rPr>
        <w:t>to elucidate.</w:t>
      </w:r>
      <w:r w:rsidRPr="00FC248F">
        <w:t xml:space="preserve"> </w:t>
      </w:r>
      <w:r>
        <w:t xml:space="preserve">Developing </w:t>
      </w:r>
      <w:r w:rsidRPr="00B933B3">
        <w:rPr>
          <w:lang w:val="en-AU" w:eastAsia="en-AU"/>
        </w:rPr>
        <w:t xml:space="preserve">statistical approaches </w:t>
      </w:r>
      <w:r>
        <w:rPr>
          <w:lang w:val="en-AU" w:eastAsia="en-AU"/>
        </w:rPr>
        <w:t xml:space="preserve">in collaboration with CSIRO </w:t>
      </w:r>
      <w:r w:rsidRPr="00B933B3">
        <w:rPr>
          <w:lang w:val="en-AU" w:eastAsia="en-AU"/>
        </w:rPr>
        <w:t xml:space="preserve">to separate inter-annual and inter-event effects of flow variability on long-term trends in pesticide levels, to </w:t>
      </w:r>
      <w:r>
        <w:rPr>
          <w:lang w:val="en-AU" w:eastAsia="en-AU"/>
        </w:rPr>
        <w:t>potentially assess the true impact of</w:t>
      </w:r>
      <w:r w:rsidRPr="000A1698">
        <w:rPr>
          <w:lang w:val="en-AU" w:eastAsia="en-AU"/>
        </w:rPr>
        <w:t xml:space="preserve"> improved land management practices </w:t>
      </w:r>
      <w:r>
        <w:rPr>
          <w:lang w:val="en-AU" w:eastAsia="en-AU"/>
        </w:rPr>
        <w:t xml:space="preserve">is a priority for the </w:t>
      </w:r>
      <w:r w:rsidR="003B42CF">
        <w:rPr>
          <w:lang w:val="en-AU" w:eastAsia="en-AU"/>
        </w:rPr>
        <w:t>upcoming</w:t>
      </w:r>
      <w:r>
        <w:rPr>
          <w:lang w:val="en-AU" w:eastAsia="en-AU"/>
        </w:rPr>
        <w:t xml:space="preserve"> monitoring year. </w:t>
      </w:r>
    </w:p>
    <w:p w14:paraId="191308DF" w14:textId="77777777" w:rsidR="002533FA" w:rsidRDefault="002533FA" w:rsidP="002439C8">
      <w:pPr>
        <w:spacing w:line="276" w:lineRule="auto"/>
        <w:jc w:val="left"/>
        <w:rPr>
          <w:lang w:val="en-AU" w:eastAsia="en-AU"/>
        </w:rPr>
      </w:pPr>
      <w:r w:rsidRPr="00AF6606">
        <w:rPr>
          <w:lang w:val="en-AU" w:eastAsia="en-AU"/>
        </w:rPr>
        <w:t xml:space="preserve"> </w:t>
      </w:r>
    </w:p>
    <w:p w14:paraId="0A481D92" w14:textId="77777777" w:rsidR="009A20B5" w:rsidRDefault="00CC6412" w:rsidP="002439C8">
      <w:pPr>
        <w:spacing w:line="276" w:lineRule="auto"/>
        <w:jc w:val="left"/>
        <w:rPr>
          <w:lang w:val="en-AU" w:eastAsia="en-AU"/>
        </w:rPr>
      </w:pPr>
      <w:r w:rsidRPr="00AF6606">
        <w:rPr>
          <w:lang w:val="en-AU" w:eastAsia="en-AU"/>
        </w:rPr>
        <w:t xml:space="preserve">Land use in the </w:t>
      </w:r>
      <w:r w:rsidRPr="00AF6606">
        <w:t xml:space="preserve">Reef </w:t>
      </w:r>
      <w:r w:rsidR="00BF37D6">
        <w:rPr>
          <w:lang w:val="en-AU" w:eastAsia="en-AU"/>
        </w:rPr>
        <w:t>basin</w:t>
      </w:r>
      <w:r w:rsidRPr="00AF6606">
        <w:rPr>
          <w:lang w:val="en-AU" w:eastAsia="en-AU"/>
        </w:rPr>
        <w:t>s continues to change, and thus the impacts of these activities on the s</w:t>
      </w:r>
      <w:r w:rsidR="00B8401D" w:rsidRPr="00AF6606">
        <w:rPr>
          <w:lang w:val="en-AU" w:eastAsia="en-AU"/>
        </w:rPr>
        <w:t>urrounding environment are dynamic</w:t>
      </w:r>
      <w:r w:rsidRPr="00AF6606">
        <w:rPr>
          <w:lang w:val="en-AU" w:eastAsia="en-AU"/>
        </w:rPr>
        <w:t xml:space="preserve">. With changing land use, it is likely that changes in both the amounts and types of agricultural </w:t>
      </w:r>
      <w:r w:rsidR="00AF6606" w:rsidRPr="00AF6606">
        <w:rPr>
          <w:lang w:val="en-AU" w:eastAsia="en-AU"/>
        </w:rPr>
        <w:t>chemicals</w:t>
      </w:r>
      <w:r w:rsidRPr="00AF6606">
        <w:rPr>
          <w:lang w:val="en-AU" w:eastAsia="en-AU"/>
        </w:rPr>
        <w:t xml:space="preserve"> being used, as well as the timing and methods of application</w:t>
      </w:r>
      <w:r w:rsidR="00AC5E39" w:rsidRPr="00AF6606">
        <w:rPr>
          <w:lang w:val="en-AU" w:eastAsia="en-AU"/>
        </w:rPr>
        <w:t>,</w:t>
      </w:r>
      <w:r w:rsidRPr="00AF6606">
        <w:rPr>
          <w:lang w:val="en-AU" w:eastAsia="en-AU"/>
        </w:rPr>
        <w:t xml:space="preserve"> will influence environmental </w:t>
      </w:r>
      <w:r w:rsidR="00771CCE">
        <w:rPr>
          <w:lang w:val="en-AU" w:eastAsia="en-AU"/>
        </w:rPr>
        <w:t>concentrations</w:t>
      </w:r>
      <w:r w:rsidR="00066E45" w:rsidRPr="00AF6606">
        <w:rPr>
          <w:lang w:val="en-AU" w:eastAsia="en-AU"/>
        </w:rPr>
        <w:t xml:space="preserve"> </w:t>
      </w:r>
      <w:r w:rsidRPr="00AF6606">
        <w:rPr>
          <w:lang w:val="en-AU" w:eastAsia="en-AU"/>
        </w:rPr>
        <w:t xml:space="preserve">and the level of risk to aquatic marine life. </w:t>
      </w:r>
    </w:p>
    <w:p w14:paraId="0BA31341" w14:textId="77777777" w:rsidR="009A20B5" w:rsidRDefault="009A20B5" w:rsidP="002439C8">
      <w:pPr>
        <w:spacing w:line="276" w:lineRule="auto"/>
        <w:jc w:val="left"/>
        <w:rPr>
          <w:lang w:val="en-AU" w:eastAsia="en-AU"/>
        </w:rPr>
      </w:pPr>
    </w:p>
    <w:p w14:paraId="0A265459" w14:textId="77777777" w:rsidR="009A20B5" w:rsidRDefault="00CC6412" w:rsidP="002439C8">
      <w:pPr>
        <w:spacing w:line="276" w:lineRule="auto"/>
        <w:jc w:val="left"/>
        <w:rPr>
          <w:lang w:val="en-AU" w:eastAsia="en-AU"/>
        </w:rPr>
      </w:pPr>
      <w:r w:rsidRPr="00AF6606">
        <w:rPr>
          <w:lang w:val="en-AU" w:eastAsia="en-AU"/>
        </w:rPr>
        <w:t xml:space="preserve">There are no </w:t>
      </w:r>
      <w:r w:rsidR="00B8401D" w:rsidRPr="00AF6606">
        <w:rPr>
          <w:lang w:val="en-AU" w:eastAsia="en-AU"/>
        </w:rPr>
        <w:t>data</w:t>
      </w:r>
      <w:r w:rsidRPr="00AF6606">
        <w:rPr>
          <w:lang w:val="en-AU" w:eastAsia="en-AU"/>
        </w:rPr>
        <w:t xml:space="preserve"> available for the current local-scale usage of </w:t>
      </w:r>
      <w:r w:rsidR="001D59DA" w:rsidRPr="00AF6606">
        <w:rPr>
          <w:lang w:val="en-AU" w:eastAsia="en-AU"/>
        </w:rPr>
        <w:t>pesticides</w:t>
      </w:r>
      <w:r w:rsidRPr="00AF6606">
        <w:rPr>
          <w:lang w:val="en-AU" w:eastAsia="en-AU"/>
        </w:rPr>
        <w:t xml:space="preserve"> in the </w:t>
      </w:r>
      <w:r w:rsidRPr="00AF6606">
        <w:t xml:space="preserve">Reef </w:t>
      </w:r>
      <w:r w:rsidR="00BF37D6">
        <w:rPr>
          <w:lang w:val="en-AU" w:eastAsia="en-AU"/>
        </w:rPr>
        <w:t>basin</w:t>
      </w:r>
      <w:r w:rsidRPr="00AF6606">
        <w:rPr>
          <w:lang w:val="en-AU" w:eastAsia="en-AU"/>
        </w:rPr>
        <w:t>s, apart from limited estimates in the 1990’s and mo</w:t>
      </w:r>
      <w:r w:rsidR="00AC5E39" w:rsidRPr="00AF6606">
        <w:rPr>
          <w:lang w:val="en-AU" w:eastAsia="en-AU"/>
        </w:rPr>
        <w:t>re general estimates from 2008</w:t>
      </w:r>
      <w:r w:rsidR="0084483A">
        <w:rPr>
          <w:lang w:val="en-AU" w:eastAsia="en-AU"/>
        </w:rPr>
        <w:t>–</w:t>
      </w:r>
      <w:r w:rsidRPr="00AF6606">
        <w:rPr>
          <w:lang w:val="en-AU" w:eastAsia="en-AU"/>
        </w:rPr>
        <w:t xml:space="preserve">2009 that are unlikely </w:t>
      </w:r>
      <w:r w:rsidR="00AC5E39" w:rsidRPr="00AF6606">
        <w:rPr>
          <w:lang w:val="en-AU" w:eastAsia="en-AU"/>
        </w:rPr>
        <w:t>be relevant to current pesticide usage</w:t>
      </w:r>
      <w:r w:rsidRPr="00AF6606">
        <w:rPr>
          <w:lang w:val="en-AU" w:eastAsia="en-AU"/>
        </w:rPr>
        <w:t xml:space="preserve"> </w:t>
      </w:r>
      <w:r w:rsidR="00C91BF5" w:rsidRPr="00AF6606">
        <w:rPr>
          <w:lang w:val="en-AU" w:eastAsia="en-AU"/>
        </w:rPr>
        <w:fldChar w:fldCharType="begin"/>
      </w:r>
      <w:r w:rsidR="002D0872">
        <w:rPr>
          <w:lang w:val="en-AU" w:eastAsia="en-AU"/>
        </w:rPr>
        <w:instrText xml:space="preserve"> ADDIN EN.CITE &lt;EndNote&gt;&lt;Cite&gt;&lt;Author&gt;Devlin&lt;/Author&gt;&lt;Year&gt;2015&lt;/Year&gt;&lt;RecNum&gt;16&lt;/RecNum&gt;&lt;DisplayText&gt;(ABS, 2010; Devlin et al., 2015)&lt;/DisplayText&gt;&lt;record&gt;&lt;rec-number&gt;16&lt;/rec-number&gt;&lt;foreign-keys&gt;&lt;key app="EN" db-id="xtpvpwz0ufxa2me5tv6v2prn2ez5p9atsvtr" timestamp="1539144943"&gt;16&lt;/key&gt;&lt;/foreign-keys&gt;&lt;ref-type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Cairns.&lt;/pub-location&gt;&lt;urls&gt;&lt;/urls&gt;&lt;/record&gt;&lt;/Cite&gt;&lt;Cite&gt;&lt;Author&gt;ABS&lt;/Author&gt;&lt;Year&gt;2010&lt;/Year&gt;&lt;RecNum&gt;37&lt;/RecNum&gt;&lt;record&gt;&lt;rec-number&gt;37&lt;/rec-number&gt;&lt;foreign-keys&gt;&lt;key app="EN" db-id="xtpvpwz0ufxa2me5tv6v2prn2ez5p9atsvtr" timestamp="1539144943"&gt;37&lt;/key&gt;&lt;/foreign-keys&gt;&lt;ref-type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C91BF5" w:rsidRPr="00AF6606">
        <w:rPr>
          <w:lang w:val="en-AU" w:eastAsia="en-AU"/>
        </w:rPr>
        <w:fldChar w:fldCharType="separate"/>
      </w:r>
      <w:r w:rsidR="002D0872">
        <w:rPr>
          <w:noProof/>
          <w:lang w:val="en-AU" w:eastAsia="en-AU"/>
        </w:rPr>
        <w:t>(ABS, 2010; Devlin et al., 2015)</w:t>
      </w:r>
      <w:r w:rsidR="00C91BF5" w:rsidRPr="00AF6606">
        <w:rPr>
          <w:lang w:val="en-AU" w:eastAsia="en-AU"/>
        </w:rPr>
        <w:fldChar w:fldCharType="end"/>
      </w:r>
      <w:r w:rsidRPr="00AF6606">
        <w:rPr>
          <w:lang w:val="en-AU" w:eastAsia="en-AU"/>
        </w:rPr>
        <w:t xml:space="preserve">. This </w:t>
      </w:r>
      <w:r w:rsidR="00AC5E39" w:rsidRPr="00AF6606">
        <w:rPr>
          <w:lang w:val="en-AU" w:eastAsia="en-AU"/>
        </w:rPr>
        <w:t xml:space="preserve">lack of data </w:t>
      </w:r>
      <w:r w:rsidRPr="00AF6606">
        <w:rPr>
          <w:lang w:val="en-AU" w:eastAsia="en-AU"/>
        </w:rPr>
        <w:t xml:space="preserve">limits assessments of pesticide losses (relative to the amount applied) as well as accurate modelling of pesticide loads at </w:t>
      </w:r>
      <w:r w:rsidR="00AC5E39" w:rsidRPr="00AF6606">
        <w:rPr>
          <w:lang w:val="en-AU" w:eastAsia="en-AU"/>
        </w:rPr>
        <w:t>the</w:t>
      </w:r>
      <w:r w:rsidRPr="00AF6606">
        <w:rPr>
          <w:lang w:val="en-AU" w:eastAsia="en-AU"/>
        </w:rPr>
        <w:t xml:space="preserve"> </w:t>
      </w:r>
      <w:r w:rsidR="00BF37D6">
        <w:rPr>
          <w:lang w:val="en-AU" w:eastAsia="en-AU"/>
        </w:rPr>
        <w:t>basin</w:t>
      </w:r>
      <w:r w:rsidRPr="00AF6606">
        <w:rPr>
          <w:lang w:val="en-AU" w:eastAsia="en-AU"/>
        </w:rPr>
        <w:t xml:space="preserve"> scale. </w:t>
      </w:r>
      <w:r w:rsidR="00AC5E39" w:rsidRPr="00AF6606">
        <w:rPr>
          <w:lang w:val="en-AU" w:eastAsia="en-AU"/>
        </w:rPr>
        <w:t>Pesticide u</w:t>
      </w:r>
      <w:r w:rsidRPr="00AF6606">
        <w:rPr>
          <w:lang w:val="en-AU" w:eastAsia="en-AU"/>
        </w:rPr>
        <w:t xml:space="preserve">sage is </w:t>
      </w:r>
      <w:r w:rsidR="00AC5E39" w:rsidRPr="00AF6606">
        <w:rPr>
          <w:lang w:val="en-AU" w:eastAsia="en-AU"/>
        </w:rPr>
        <w:t>seasonal, crop-specific</w:t>
      </w:r>
      <w:r w:rsidRPr="00AF6606">
        <w:rPr>
          <w:lang w:val="en-AU" w:eastAsia="en-AU"/>
        </w:rPr>
        <w:t xml:space="preserve"> and can fluctuate yearly based on specific pest pressures, climatic conditions, regulatory action (such as the restriction on diuron use in 2012), use of resistant crop varieties or the development of herbicide resistance in weeds </w:t>
      </w:r>
      <w:r w:rsidR="00C91BF5" w:rsidRPr="00AF6606">
        <w:rPr>
          <w:lang w:val="en-AU" w:eastAsia="en-AU"/>
        </w:rPr>
        <w:fldChar w:fldCharType="begin"/>
      </w:r>
      <w:r w:rsidR="0018079F">
        <w:rPr>
          <w:lang w:val="en-AU" w:eastAsia="en-AU"/>
        </w:rPr>
        <w:instrText xml:space="preserve"> ADDIN EN.CITE &lt;EndNote&gt;&lt;Cite&gt;&lt;Author&gt;Devlin&lt;/Author&gt;&lt;Year&gt;2015&lt;/Year&gt;&lt;RecNum&gt;16&lt;/RecNum&gt;&lt;DisplayText&gt;(Devlin et al., 2015)&lt;/DisplayText&gt;&lt;record&gt;&lt;rec-number&gt;16&lt;/rec-number&gt;&lt;foreign-keys&gt;&lt;key app="EN" db-id="xtpvpwz0ufxa2me5tv6v2prn2ez5p9atsvtr" timestamp="1539144943"&gt;16&lt;/key&gt;&lt;/foreign-keys&gt;&lt;ref-type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Cairns.&lt;/pub-location&gt;&lt;urls&gt;&lt;/urls&gt;&lt;/record&gt;&lt;/Cite&gt;&lt;/EndNote&gt;</w:instrText>
      </w:r>
      <w:r w:rsidR="00C91BF5" w:rsidRPr="00AF6606">
        <w:rPr>
          <w:lang w:val="en-AU" w:eastAsia="en-AU"/>
        </w:rPr>
        <w:fldChar w:fldCharType="separate"/>
      </w:r>
      <w:r w:rsidR="00B33845" w:rsidRPr="00AF6606">
        <w:rPr>
          <w:noProof/>
          <w:lang w:val="en-AU" w:eastAsia="en-AU"/>
        </w:rPr>
        <w:t>(Devlin et al., 2015)</w:t>
      </w:r>
      <w:r w:rsidR="00C91BF5" w:rsidRPr="00AF6606">
        <w:rPr>
          <w:lang w:val="en-AU" w:eastAsia="en-AU"/>
        </w:rPr>
        <w:fldChar w:fldCharType="end"/>
      </w:r>
      <w:r w:rsidRPr="00AF6606">
        <w:rPr>
          <w:lang w:val="en-AU"/>
        </w:rPr>
        <w:t xml:space="preserve">. </w:t>
      </w:r>
      <w:r w:rsidR="007202F8" w:rsidRPr="00AF6606">
        <w:rPr>
          <w:lang w:val="en-AU" w:eastAsia="en-AU"/>
        </w:rPr>
        <w:t>The currently available information allows only comparison of the types of pesticides being released in</w:t>
      </w:r>
      <w:r w:rsidR="00AC5E39" w:rsidRPr="00AF6606">
        <w:rPr>
          <w:lang w:val="en-AU" w:eastAsia="en-AU"/>
        </w:rPr>
        <w:t xml:space="preserve"> </w:t>
      </w:r>
      <w:r w:rsidR="00BF37D6">
        <w:rPr>
          <w:lang w:val="en-AU" w:eastAsia="en-AU"/>
        </w:rPr>
        <w:t>basin</w:t>
      </w:r>
      <w:r w:rsidR="00AC5E39" w:rsidRPr="00AF6606">
        <w:rPr>
          <w:lang w:val="en-AU" w:eastAsia="en-AU"/>
        </w:rPr>
        <w:t xml:space="preserve"> runoff </w:t>
      </w:r>
      <w:r w:rsidRPr="00AF6606">
        <w:rPr>
          <w:lang w:val="en-AU" w:eastAsia="en-AU"/>
        </w:rPr>
        <w:t>(i.e. end-of-</w:t>
      </w:r>
      <w:r w:rsidR="00BF37D6">
        <w:rPr>
          <w:lang w:val="en-AU" w:eastAsia="en-AU"/>
        </w:rPr>
        <w:t>basin</w:t>
      </w:r>
      <w:r w:rsidRPr="00AF6606">
        <w:rPr>
          <w:lang w:val="en-AU" w:eastAsia="en-AU"/>
        </w:rPr>
        <w:t xml:space="preserve"> loads) and </w:t>
      </w:r>
      <w:r w:rsidR="007202F8" w:rsidRPr="00AF6606">
        <w:rPr>
          <w:lang w:val="en-AU" w:eastAsia="en-AU"/>
        </w:rPr>
        <w:t xml:space="preserve">those pesticides monitored in </w:t>
      </w:r>
      <w:r w:rsidRPr="00AF6606">
        <w:rPr>
          <w:lang w:val="en-AU" w:eastAsia="en-AU"/>
        </w:rPr>
        <w:t>near shore areas.</w:t>
      </w:r>
      <w:r w:rsidR="007202F8" w:rsidRPr="00AF6606">
        <w:rPr>
          <w:lang w:val="en-AU" w:eastAsia="en-AU"/>
        </w:rPr>
        <w:t xml:space="preserve"> </w:t>
      </w:r>
    </w:p>
    <w:p w14:paraId="7B7E827E" w14:textId="77777777" w:rsidR="00CC6412" w:rsidRPr="00AF6606" w:rsidRDefault="00CC6412" w:rsidP="002439C8">
      <w:pPr>
        <w:spacing w:line="276" w:lineRule="auto"/>
        <w:jc w:val="left"/>
        <w:rPr>
          <w:lang w:val="en-AU" w:eastAsia="en-AU"/>
        </w:rPr>
      </w:pPr>
    </w:p>
    <w:p w14:paraId="3F610366" w14:textId="77777777" w:rsidR="009A20B5" w:rsidRDefault="005A3B2E" w:rsidP="002439C8">
      <w:pPr>
        <w:spacing w:line="276" w:lineRule="auto"/>
        <w:jc w:val="left"/>
        <w:rPr>
          <w:lang w:val="en-AU" w:eastAsia="en-AU"/>
        </w:rPr>
      </w:pPr>
      <w:r>
        <w:rPr>
          <w:lang w:val="en-AU" w:eastAsia="en-AU"/>
        </w:rPr>
        <w:t>Despite observed increases in pesticide levels at several sites overall, r</w:t>
      </w:r>
      <w:r w:rsidR="00A3516B" w:rsidRPr="00AF6606">
        <w:rPr>
          <w:lang w:val="en-AU" w:eastAsia="en-AU"/>
        </w:rPr>
        <w:t xml:space="preserve">elatively low levels of PSII herbicides were detected in </w:t>
      </w:r>
      <w:r w:rsidR="001B73E5">
        <w:rPr>
          <w:lang w:val="en-AU" w:eastAsia="en-AU"/>
        </w:rPr>
        <w:t xml:space="preserve">2017–18 </w:t>
      </w:r>
      <w:r>
        <w:rPr>
          <w:lang w:val="en-AU" w:eastAsia="en-AU"/>
        </w:rPr>
        <w:t>at most sites</w:t>
      </w:r>
      <w:r w:rsidR="00E259EC" w:rsidRPr="00AF6606">
        <w:rPr>
          <w:lang w:val="en-AU" w:eastAsia="en-AU"/>
        </w:rPr>
        <w:t xml:space="preserve">. </w:t>
      </w:r>
      <w:r w:rsidR="00596F80">
        <w:rPr>
          <w:lang w:val="en-AU" w:eastAsia="en-AU"/>
        </w:rPr>
        <w:t>Although</w:t>
      </w:r>
      <w:r w:rsidR="00EE68E6" w:rsidRPr="00AF6606">
        <w:rPr>
          <w:lang w:val="en-AU" w:eastAsia="en-AU"/>
        </w:rPr>
        <w:t xml:space="preserve"> PSII herbicide exposure is not expected to be a </w:t>
      </w:r>
      <w:r w:rsidR="00130DE2" w:rsidRPr="00AF6606">
        <w:rPr>
          <w:lang w:val="en-AU" w:eastAsia="en-AU"/>
        </w:rPr>
        <w:t>high-risk</w:t>
      </w:r>
      <w:r w:rsidR="00EE68E6" w:rsidRPr="00AF6606">
        <w:rPr>
          <w:lang w:val="en-AU" w:eastAsia="en-AU"/>
        </w:rPr>
        <w:t xml:space="preserve"> </w:t>
      </w:r>
      <w:r w:rsidR="007202F8" w:rsidRPr="00AF6606">
        <w:rPr>
          <w:lang w:val="en-AU" w:eastAsia="en-AU"/>
        </w:rPr>
        <w:t xml:space="preserve">factor </w:t>
      </w:r>
      <w:r w:rsidR="00EE68E6" w:rsidRPr="00AF6606">
        <w:rPr>
          <w:lang w:val="en-AU" w:eastAsia="en-AU"/>
        </w:rPr>
        <w:t>for adverse impacts on Reef health, it is important to understand the c</w:t>
      </w:r>
      <w:r w:rsidR="00F26771" w:rsidRPr="00AF6606">
        <w:rPr>
          <w:lang w:val="en-AU" w:eastAsia="en-AU"/>
        </w:rPr>
        <w:t>umulative impacts of</w:t>
      </w:r>
      <w:r w:rsidR="002A1D74">
        <w:rPr>
          <w:lang w:val="en-AU" w:eastAsia="en-AU"/>
        </w:rPr>
        <w:t xml:space="preserve"> this</w:t>
      </w:r>
      <w:r w:rsidR="00F26771" w:rsidRPr="00AF6606">
        <w:rPr>
          <w:lang w:val="en-AU" w:eastAsia="en-AU"/>
        </w:rPr>
        <w:t xml:space="preserve"> l</w:t>
      </w:r>
      <w:r w:rsidR="0059608E" w:rsidRPr="00AF6606">
        <w:rPr>
          <w:lang w:val="en-AU" w:eastAsia="en-AU"/>
        </w:rPr>
        <w:t xml:space="preserve">ow level chronic exposure </w:t>
      </w:r>
      <w:r>
        <w:rPr>
          <w:lang w:val="en-AU" w:eastAsia="en-AU"/>
        </w:rPr>
        <w:t>together</w:t>
      </w:r>
      <w:r w:rsidR="00E259EC" w:rsidRPr="00AF6606">
        <w:rPr>
          <w:lang w:val="en-AU" w:eastAsia="en-AU"/>
        </w:rPr>
        <w:t xml:space="preserve"> with other stressors, </w:t>
      </w:r>
      <w:r w:rsidR="0059608E" w:rsidRPr="00AF6606">
        <w:rPr>
          <w:lang w:val="en-AU" w:eastAsia="en-AU"/>
        </w:rPr>
        <w:t xml:space="preserve">including the effects of global climate change (increasing sea temperatures, ocean acidification), the severity and frequency of damaging weather events such as </w:t>
      </w:r>
      <w:r w:rsidR="00AF6606" w:rsidRPr="00AF6606">
        <w:rPr>
          <w:lang w:val="en-AU" w:eastAsia="en-AU"/>
        </w:rPr>
        <w:t>cyclones and</w:t>
      </w:r>
      <w:r w:rsidR="0059608E" w:rsidRPr="00AF6606">
        <w:rPr>
          <w:lang w:val="en-AU" w:eastAsia="en-AU"/>
        </w:rPr>
        <w:t xml:space="preserve"> the frequency of flood events. </w:t>
      </w:r>
    </w:p>
    <w:p w14:paraId="07CC41FD" w14:textId="77777777" w:rsidR="009A20B5" w:rsidRDefault="009A20B5" w:rsidP="002439C8">
      <w:pPr>
        <w:spacing w:line="276" w:lineRule="auto"/>
        <w:jc w:val="left"/>
        <w:rPr>
          <w:lang w:val="en-AU" w:eastAsia="en-AU"/>
        </w:rPr>
      </w:pPr>
    </w:p>
    <w:p w14:paraId="420C49E5" w14:textId="77777777" w:rsidR="0059608E" w:rsidRDefault="00285559" w:rsidP="002439C8">
      <w:pPr>
        <w:spacing w:line="276" w:lineRule="auto"/>
        <w:jc w:val="left"/>
      </w:pPr>
      <w:r w:rsidRPr="00AF6606">
        <w:rPr>
          <w:lang w:val="en-AU" w:eastAsia="en-AU"/>
        </w:rPr>
        <w:t xml:space="preserve">Ultimately, </w:t>
      </w:r>
      <w:r w:rsidR="00AC5E39" w:rsidRPr="00AF6606">
        <w:rPr>
          <w:lang w:val="en-AU" w:eastAsia="en-AU"/>
        </w:rPr>
        <w:t>a</w:t>
      </w:r>
      <w:r w:rsidRPr="00AF6606">
        <w:rPr>
          <w:lang w:val="en-AU" w:eastAsia="en-AU"/>
        </w:rPr>
        <w:t xml:space="preserve"> whole-of-system </w:t>
      </w:r>
      <w:r w:rsidR="00754B8C" w:rsidRPr="00AF6606">
        <w:rPr>
          <w:lang w:val="en-AU" w:eastAsia="en-AU"/>
        </w:rPr>
        <w:t xml:space="preserve">pesticide exposure </w:t>
      </w:r>
      <w:r w:rsidR="00AC5E39" w:rsidRPr="00AF6606">
        <w:rPr>
          <w:lang w:val="en-AU" w:eastAsia="en-AU"/>
        </w:rPr>
        <w:t>assessment</w:t>
      </w:r>
      <w:r w:rsidRPr="00AF6606">
        <w:rPr>
          <w:lang w:val="en-AU" w:eastAsia="en-AU"/>
        </w:rPr>
        <w:t xml:space="preserve"> </w:t>
      </w:r>
      <w:r w:rsidR="003A1DCE" w:rsidRPr="00AF6606">
        <w:rPr>
          <w:lang w:val="en-AU" w:eastAsia="en-AU"/>
        </w:rPr>
        <w:t>may become possible through the eReefs framework</w:t>
      </w:r>
      <w:r w:rsidR="00442604" w:rsidRPr="00AF6606">
        <w:rPr>
          <w:lang w:val="en-AU" w:eastAsia="en-AU"/>
        </w:rPr>
        <w:t>, a hydrodynamic model developed for the Reef system</w:t>
      </w:r>
      <w:r w:rsidR="003A1DCE" w:rsidRPr="00AF6606">
        <w:rPr>
          <w:lang w:val="en-AU" w:eastAsia="en-AU"/>
        </w:rPr>
        <w:t xml:space="preserve">. Recent changes to the framework have opened opportunities to </w:t>
      </w:r>
      <w:r w:rsidR="00442604" w:rsidRPr="00AF6606">
        <w:rPr>
          <w:lang w:val="en-AU" w:eastAsia="en-AU"/>
        </w:rPr>
        <w:t xml:space="preserve">potentially </w:t>
      </w:r>
      <w:r w:rsidR="003A1DCE" w:rsidRPr="00AF6606">
        <w:rPr>
          <w:lang w:val="en-AU" w:eastAsia="en-AU"/>
        </w:rPr>
        <w:t>apply this model to end-of-</w:t>
      </w:r>
      <w:r w:rsidR="00BF37D6">
        <w:rPr>
          <w:lang w:val="en-AU" w:eastAsia="en-AU"/>
        </w:rPr>
        <w:t>basin</w:t>
      </w:r>
      <w:r w:rsidR="003A1DCE" w:rsidRPr="00AF6606">
        <w:rPr>
          <w:lang w:val="en-AU" w:eastAsia="en-AU"/>
        </w:rPr>
        <w:t xml:space="preserve"> pesticide loads </w:t>
      </w:r>
      <w:r w:rsidR="00442604" w:rsidRPr="00AF6606">
        <w:rPr>
          <w:lang w:val="en-AU" w:eastAsia="en-AU"/>
        </w:rPr>
        <w:t>and</w:t>
      </w:r>
      <w:r w:rsidRPr="00AF6606">
        <w:rPr>
          <w:lang w:val="en-AU" w:eastAsia="en-AU"/>
        </w:rPr>
        <w:t xml:space="preserve"> predict the distribution of disch</w:t>
      </w:r>
      <w:r w:rsidR="00442604" w:rsidRPr="00AF6606">
        <w:rPr>
          <w:lang w:val="en-AU" w:eastAsia="en-AU"/>
        </w:rPr>
        <w:t xml:space="preserve">arged loads from each </w:t>
      </w:r>
      <w:r w:rsidR="00BF37D6">
        <w:rPr>
          <w:lang w:val="en-AU" w:eastAsia="en-AU"/>
        </w:rPr>
        <w:t>basin</w:t>
      </w:r>
      <w:r w:rsidR="00E35EF8" w:rsidRPr="00AF6606">
        <w:rPr>
          <w:lang w:val="en-AU" w:eastAsia="en-AU"/>
        </w:rPr>
        <w:t xml:space="preserve"> into the near-shore environment</w:t>
      </w:r>
      <w:r w:rsidRPr="00AF6606">
        <w:rPr>
          <w:lang w:val="en-AU" w:eastAsia="en-AU"/>
        </w:rPr>
        <w:t xml:space="preserve">. </w:t>
      </w:r>
      <w:r w:rsidR="006D05F4" w:rsidRPr="00AF6606">
        <w:rPr>
          <w:lang w:val="en-AU" w:eastAsia="en-AU"/>
        </w:rPr>
        <w:t xml:space="preserve">Monitoring data generated through the current </w:t>
      </w:r>
      <w:r w:rsidR="00754B8C" w:rsidRPr="00AF6606">
        <w:rPr>
          <w:lang w:val="en-AU" w:eastAsia="en-AU"/>
        </w:rPr>
        <w:t>MMP</w:t>
      </w:r>
      <w:r w:rsidR="006D05F4" w:rsidRPr="00AF6606">
        <w:rPr>
          <w:lang w:val="en-AU" w:eastAsia="en-AU"/>
        </w:rPr>
        <w:t xml:space="preserve"> </w:t>
      </w:r>
      <w:r w:rsidR="00754B8C" w:rsidRPr="00AF6606">
        <w:rPr>
          <w:lang w:val="en-AU" w:eastAsia="en-AU"/>
        </w:rPr>
        <w:t>c</w:t>
      </w:r>
      <w:r w:rsidR="006D05F4" w:rsidRPr="00AF6606">
        <w:rPr>
          <w:lang w:val="en-AU" w:eastAsia="en-AU"/>
        </w:rPr>
        <w:t>ould provide necessary field data for model validation both spatially and temporally.</w:t>
      </w:r>
      <w:r w:rsidR="00AF6606" w:rsidRPr="00AF6606">
        <w:rPr>
          <w:lang w:val="en-AU" w:eastAsia="en-AU"/>
        </w:rPr>
        <w:t xml:space="preserve"> The</w:t>
      </w:r>
      <w:r w:rsidR="006D05F4" w:rsidRPr="00AF6606">
        <w:rPr>
          <w:lang w:val="en-AU" w:eastAsia="en-AU"/>
        </w:rPr>
        <w:t xml:space="preserve"> framework </w:t>
      </w:r>
      <w:r w:rsidR="00AF6606" w:rsidRPr="00AF6606">
        <w:rPr>
          <w:lang w:val="en-AU" w:eastAsia="en-AU"/>
        </w:rPr>
        <w:t>potentially</w:t>
      </w:r>
      <w:r w:rsidR="006D05F4" w:rsidRPr="00AF6606">
        <w:rPr>
          <w:lang w:val="en-AU" w:eastAsia="en-AU"/>
        </w:rPr>
        <w:t xml:space="preserve"> provide</w:t>
      </w:r>
      <w:r w:rsidR="00AF6606" w:rsidRPr="00AF6606">
        <w:rPr>
          <w:lang w:val="en-AU" w:eastAsia="en-AU"/>
        </w:rPr>
        <w:t>s</w:t>
      </w:r>
      <w:r w:rsidR="006D05F4" w:rsidRPr="00AF6606">
        <w:rPr>
          <w:lang w:val="en-AU" w:eastAsia="en-AU"/>
        </w:rPr>
        <w:t xml:space="preserve"> three-dimensional capability to predict pesticide concentrations at an</w:t>
      </w:r>
      <w:r w:rsidR="00754B8C" w:rsidRPr="00AF6606">
        <w:rPr>
          <w:lang w:val="en-AU" w:eastAsia="en-AU"/>
        </w:rPr>
        <w:t xml:space="preserve">y point within the Reef lagoon, which increases spatial coverage, as well as generating information </w:t>
      </w:r>
      <w:r w:rsidR="008E6CDF" w:rsidRPr="00AF6606">
        <w:rPr>
          <w:lang w:val="en-AU" w:eastAsia="en-AU"/>
        </w:rPr>
        <w:t>that</w:t>
      </w:r>
      <w:r w:rsidR="00754B8C" w:rsidRPr="00AF6606">
        <w:rPr>
          <w:lang w:val="en-AU" w:eastAsia="en-AU"/>
        </w:rPr>
        <w:t xml:space="preserve"> can inform the optimal placement of passive samplers to capture and measure key pesticide pulses released from adjacent </w:t>
      </w:r>
      <w:r w:rsidR="00BF37D6">
        <w:rPr>
          <w:lang w:val="en-AU" w:eastAsia="en-AU"/>
        </w:rPr>
        <w:t>basin</w:t>
      </w:r>
      <w:r w:rsidR="00754B8C" w:rsidRPr="00AF6606">
        <w:rPr>
          <w:lang w:val="en-AU" w:eastAsia="en-AU"/>
        </w:rPr>
        <w:t>s. This information will</w:t>
      </w:r>
      <w:r w:rsidR="0059608E" w:rsidRPr="00AF6606">
        <w:rPr>
          <w:lang w:val="en-AU" w:eastAsia="en-AU"/>
        </w:rPr>
        <w:t xml:space="preserve"> </w:t>
      </w:r>
      <w:r w:rsidR="00754B8C" w:rsidRPr="00AF6606">
        <w:rPr>
          <w:lang w:val="en-AU" w:eastAsia="en-AU"/>
        </w:rPr>
        <w:t xml:space="preserve">facilitate </w:t>
      </w:r>
      <w:r w:rsidR="0059608E" w:rsidRPr="00AF6606">
        <w:rPr>
          <w:lang w:val="en-AU" w:eastAsia="en-AU"/>
        </w:rPr>
        <w:t>insight i</w:t>
      </w:r>
      <w:r w:rsidR="006D05F4" w:rsidRPr="00AF6606">
        <w:rPr>
          <w:lang w:val="en-AU" w:eastAsia="en-AU"/>
        </w:rPr>
        <w:t>nto impacts on ecosystem health</w:t>
      </w:r>
      <w:r w:rsidR="0059608E" w:rsidRPr="00AF6606">
        <w:rPr>
          <w:lang w:val="en-AU" w:eastAsia="en-AU"/>
        </w:rPr>
        <w:t xml:space="preserve"> and assist in prioritising management action.</w:t>
      </w:r>
      <w:r w:rsidR="0059608E" w:rsidRPr="00AF6606">
        <w:t xml:space="preserve"> </w:t>
      </w:r>
      <w:r w:rsidR="00754B8C" w:rsidRPr="00AF6606">
        <w:t>Whilst m</w:t>
      </w:r>
      <w:r w:rsidR="0059608E" w:rsidRPr="00AF6606">
        <w:t>onitoring an area as vast and complex as the Reef remains a challenge</w:t>
      </w:r>
      <w:r w:rsidR="00754B8C" w:rsidRPr="00AF6606">
        <w:t>,</w:t>
      </w:r>
      <w:r w:rsidR="0059608E" w:rsidRPr="00AF6606">
        <w:t xml:space="preserve"> long-term monitoring programs such as the MMP are valuable tools.</w:t>
      </w:r>
    </w:p>
    <w:p w14:paraId="6A394D75" w14:textId="77777777" w:rsidR="003B32F7" w:rsidRDefault="003B32F7" w:rsidP="002439C8">
      <w:pPr>
        <w:spacing w:line="276" w:lineRule="auto"/>
        <w:jc w:val="left"/>
        <w:sectPr w:rsidR="003B32F7" w:rsidSect="009E5D22">
          <w:type w:val="continuous"/>
          <w:pgSz w:w="11907" w:h="16840" w:code="9"/>
          <w:pgMar w:top="1440" w:right="1440" w:bottom="1440" w:left="1440" w:header="709" w:footer="709" w:gutter="0"/>
          <w:cols w:space="708"/>
          <w:docGrid w:linePitch="360"/>
        </w:sectPr>
      </w:pPr>
    </w:p>
    <w:p w14:paraId="143EA0E7" w14:textId="51028F1E" w:rsidR="003B32F7" w:rsidRPr="00AF6606" w:rsidRDefault="003B32F7" w:rsidP="002439C8">
      <w:pPr>
        <w:spacing w:line="276" w:lineRule="auto"/>
        <w:jc w:val="left"/>
      </w:pPr>
    </w:p>
    <w:p w14:paraId="5A88D04A" w14:textId="77777777" w:rsidR="003509A6" w:rsidRPr="004E0EF8" w:rsidRDefault="003509A6" w:rsidP="002439C8">
      <w:pPr>
        <w:pStyle w:val="Heading1"/>
        <w:jc w:val="left"/>
      </w:pPr>
      <w:bookmarkStart w:id="638" w:name="_Toc461457781"/>
      <w:bookmarkStart w:id="639" w:name="_Toc14435726"/>
      <w:bookmarkStart w:id="640" w:name="_Ref508614501"/>
      <w:bookmarkEnd w:id="615"/>
      <w:bookmarkEnd w:id="619"/>
      <w:r w:rsidRPr="004E0EF8">
        <w:t>References</w:t>
      </w:r>
      <w:bookmarkEnd w:id="638"/>
      <w:bookmarkEnd w:id="639"/>
    </w:p>
    <w:p w14:paraId="4DAB8BE3" w14:textId="77777777" w:rsidR="007B5109" w:rsidRPr="007B5109" w:rsidRDefault="003509A6" w:rsidP="007F4391">
      <w:pPr>
        <w:pStyle w:val="EndNoteBibliography"/>
        <w:spacing w:before="120" w:after="120"/>
        <w:ind w:left="720" w:hanging="720"/>
        <w:jc w:val="left"/>
      </w:pPr>
      <w:r w:rsidRPr="00620447">
        <w:rPr>
          <w:sz w:val="20"/>
          <w:szCs w:val="20"/>
        </w:rPr>
        <w:fldChar w:fldCharType="begin"/>
      </w:r>
      <w:r w:rsidRPr="00620447">
        <w:rPr>
          <w:sz w:val="20"/>
          <w:szCs w:val="20"/>
        </w:rPr>
        <w:instrText xml:space="preserve"> ADDIN EN.REFLIST </w:instrText>
      </w:r>
      <w:r w:rsidRPr="00620447">
        <w:rPr>
          <w:sz w:val="20"/>
          <w:szCs w:val="20"/>
        </w:rPr>
        <w:fldChar w:fldCharType="separate"/>
      </w:r>
      <w:r w:rsidR="007B5109" w:rsidRPr="007B5109">
        <w:t>ABS, 2010. 4619.0 - Land Management Practices in the Great Barrier Reef Catchments, Preliminary, 2008-09, Australian Bureau of Statistics, Canberra.</w:t>
      </w:r>
    </w:p>
    <w:p w14:paraId="4922579C" w14:textId="77777777" w:rsidR="007B5109" w:rsidRPr="007B5109" w:rsidRDefault="007B5109" w:rsidP="007F4391">
      <w:pPr>
        <w:pStyle w:val="EndNoteBibliography"/>
        <w:spacing w:before="120" w:after="120"/>
        <w:ind w:left="720" w:hanging="720"/>
        <w:jc w:val="left"/>
      </w:pPr>
      <w:r w:rsidRPr="007B5109">
        <w:t>Álvarez-Romero, J.G., Devlin, M., da Silva, E.T., Petus, C., Ban, N.C., Pressey, R.L., Kool, J., Roberts, J.J., Cerdeira-Estrada, S., Wenger, A.S., 2013. A novel approach to model exposure of coastal-marine ecosystems to riverine flood plumes based on remote sensing techniques. Journal of environmental management 119, 194-207.</w:t>
      </w:r>
    </w:p>
    <w:p w14:paraId="4587D4D6" w14:textId="77777777" w:rsidR="007B5109" w:rsidRPr="007B5109" w:rsidRDefault="007B5109" w:rsidP="007F4391">
      <w:pPr>
        <w:pStyle w:val="EndNoteBibliography"/>
        <w:spacing w:before="120" w:after="120"/>
        <w:ind w:left="720" w:hanging="720"/>
        <w:jc w:val="left"/>
      </w:pPr>
      <w:r w:rsidRPr="007B5109">
        <w:t>ANZECC, 2018. Toxicant Default Guideline Values for Water Quality in Aquatic Ecosystems., in: Council, A.a.N.Z.E.a.C. (Ed.). Australian Government.</w:t>
      </w:r>
    </w:p>
    <w:p w14:paraId="06FCF56E" w14:textId="77777777" w:rsidR="007B5109" w:rsidRPr="007B5109" w:rsidRDefault="007B5109" w:rsidP="007F4391">
      <w:pPr>
        <w:pStyle w:val="EndNoteBibliography"/>
        <w:spacing w:before="120" w:after="120"/>
        <w:ind w:left="720" w:hanging="720"/>
        <w:jc w:val="left"/>
      </w:pPr>
      <w:r w:rsidRPr="007B5109">
        <w:t>Australian and Queensland governments, 2018. Reef 2050 Water Quality Improvement Plan 2017 – 2022  State of Queensland.</w:t>
      </w:r>
    </w:p>
    <w:p w14:paraId="31602EB7" w14:textId="77777777" w:rsidR="007B5109" w:rsidRPr="007B5109" w:rsidRDefault="007B5109" w:rsidP="007F4391">
      <w:pPr>
        <w:pStyle w:val="EndNoteBibliography"/>
        <w:spacing w:before="120" w:after="120"/>
        <w:ind w:left="720" w:hanging="720"/>
        <w:jc w:val="left"/>
      </w:pPr>
      <w:r w:rsidRPr="007B5109">
        <w:t>Bainbridge, Z.T., Brodie, J.E., Faithful, J.W., Sydes, D.A., Lewis, S.E., 2009. Identifying the land-based sources of suspended sediments, nutrients and pesticides discharged to the Great Barrier Reef from the Tully–Murray Basin, Queensland, Australia. Marine and Freshwater Research 60, 1081-1090.</w:t>
      </w:r>
    </w:p>
    <w:p w14:paraId="51ECED55" w14:textId="77777777" w:rsidR="007B5109" w:rsidRPr="007B5109" w:rsidRDefault="007B5109" w:rsidP="007F4391">
      <w:pPr>
        <w:pStyle w:val="EndNoteBibliography"/>
        <w:spacing w:before="120" w:after="120"/>
        <w:ind w:left="720" w:hanging="720"/>
        <w:jc w:val="left"/>
      </w:pPr>
      <w:r w:rsidRPr="007B5109">
        <w:t>Batley, G.E., van Dam, R., Warne, M.S.J., Chapman, J.C., Fox, D.R., Hickey, C.W., Stauber, J.L., 2014. Revision of the Method for Deriving Water Quality Guideline Values for Toxicants. A Water for a Healthy Country Flagship Report. Prepared for the Council of Australian Government’s Standing Council on Environment and Water (SCEW), CSIRO.</w:t>
      </w:r>
    </w:p>
    <w:p w14:paraId="0959C154" w14:textId="77777777" w:rsidR="007B5109" w:rsidRPr="007B5109" w:rsidRDefault="007B5109" w:rsidP="007F4391">
      <w:pPr>
        <w:pStyle w:val="EndNoteBibliography"/>
        <w:spacing w:before="120" w:after="120"/>
        <w:ind w:left="720" w:hanging="720"/>
        <w:jc w:val="left"/>
      </w:pPr>
      <w:r w:rsidRPr="007B5109">
        <w:t>Bentley, C., Devlin, M., Paxman, C., Chue, K., Mueller, J., 2012. Pesticide monitoring in inshore waters of the Great Barrier Reef using both time-integrated and event monitoring techniques (2011-2012).</w:t>
      </w:r>
    </w:p>
    <w:p w14:paraId="535A7920" w14:textId="77777777" w:rsidR="007B5109" w:rsidRPr="007B5109" w:rsidRDefault="007B5109" w:rsidP="007F4391">
      <w:pPr>
        <w:pStyle w:val="EndNoteBibliography"/>
        <w:spacing w:before="120" w:after="120"/>
        <w:ind w:left="720" w:hanging="720"/>
        <w:jc w:val="left"/>
      </w:pPr>
      <w:r w:rsidRPr="007B5109">
        <w:t>Booij, K., Smedes, F., Van Weerlee, E.M., 2002. Spiking of performance reference compounds in low density polyethylene and silicone passive water samplers. Chemosphere 46, 1157-1161.</w:t>
      </w:r>
    </w:p>
    <w:p w14:paraId="50E590A6" w14:textId="77777777" w:rsidR="007B5109" w:rsidRPr="007B5109" w:rsidRDefault="007B5109" w:rsidP="007F4391">
      <w:pPr>
        <w:pStyle w:val="EndNoteBibliography"/>
        <w:spacing w:before="120" w:after="120"/>
        <w:ind w:left="720" w:hanging="720"/>
        <w:jc w:val="left"/>
      </w:pPr>
      <w:r w:rsidRPr="007B5109">
        <w:t>Brodie, J., Waterhouse, J., Schaffelke, B., Kroon, F., Thorburn, P., Rolfe, J., Johnson, J., Fabricius, K., Lewis, S., Devlin, M., Warne, M., McKenzie, L., 2013. Scientific Consensus Statement. Land use impacts on Great Barrier Reef water quality and ecosystem condition, The State of Queensland, Reef Water Quality Protection Plan Secretariat.</w:t>
      </w:r>
    </w:p>
    <w:p w14:paraId="11EB09D9" w14:textId="77777777" w:rsidR="007B5109" w:rsidRPr="007B5109" w:rsidRDefault="007B5109" w:rsidP="007F4391">
      <w:pPr>
        <w:pStyle w:val="EndNoteBibliography"/>
        <w:spacing w:before="120" w:after="120"/>
        <w:ind w:left="720" w:hanging="720"/>
        <w:jc w:val="left"/>
      </w:pPr>
      <w:r w:rsidRPr="007B5109">
        <w:t>Brodie, J.E., Kroon, F.J., Schaffelke, B., Wolanski, E.C., Lewis, S.E., Devlin, M.J., Bohnet, I.C., Bainbridge, Z.T., Waterhouse, J., Davis, A.M., 2012. Terrestrial pollutant runoff to the Great Barrier Reef: An update of issues, priorities and management responses. Marine pollution bulletin 65, 81-100.</w:t>
      </w:r>
    </w:p>
    <w:p w14:paraId="00E57FA2" w14:textId="77777777" w:rsidR="007B5109" w:rsidRPr="007B5109" w:rsidRDefault="007B5109" w:rsidP="007F4391">
      <w:pPr>
        <w:pStyle w:val="EndNoteBibliography"/>
        <w:spacing w:before="120" w:after="120"/>
        <w:ind w:left="720" w:hanging="720"/>
        <w:jc w:val="left"/>
      </w:pPr>
      <w:r w:rsidRPr="007B5109">
        <w:t>Brodie, J.E., McKergow, L.A., Prosser, I.P., Furnas, M., Hughes, A.O., Hunter, H., 2003. Sources of sediment and nutrient exports to the Great Barrier Reef World Heritage Area, Report. Australian Centre for Tropical Freshwater Research, Townsville, Australia.</w:t>
      </w:r>
    </w:p>
    <w:p w14:paraId="7F5E2D5C" w14:textId="77777777" w:rsidR="007B5109" w:rsidRPr="007B5109" w:rsidRDefault="007B5109" w:rsidP="007F4391">
      <w:pPr>
        <w:pStyle w:val="EndNoteBibliography"/>
        <w:spacing w:before="120" w:after="120"/>
        <w:ind w:left="720" w:hanging="720"/>
        <w:jc w:val="left"/>
      </w:pPr>
      <w:r w:rsidRPr="007B5109">
        <w:t>Bureau of Meteorology, 2018. Daily rainfall totals for Australia. Bureau of Meteorology.</w:t>
      </w:r>
    </w:p>
    <w:p w14:paraId="5AFF1583" w14:textId="77777777" w:rsidR="007B5109" w:rsidRPr="007B5109" w:rsidRDefault="007B5109" w:rsidP="007F4391">
      <w:pPr>
        <w:pStyle w:val="EndNoteBibliography"/>
        <w:spacing w:before="120" w:after="120"/>
        <w:ind w:left="720" w:hanging="720"/>
        <w:jc w:val="left"/>
      </w:pPr>
      <w:r w:rsidRPr="007B5109">
        <w:t>Cantin, N.E., Negri, A.P., Willis, B.L., 2007. Photoinhibition from chronic herbicide exposure reduces reproductive output of reef-building corals. Marine Ecology Progress Series 344, 81-93.</w:t>
      </w:r>
    </w:p>
    <w:p w14:paraId="06E927F9" w14:textId="77777777" w:rsidR="007B5109" w:rsidRPr="007B5109" w:rsidRDefault="007B5109" w:rsidP="007F4391">
      <w:pPr>
        <w:pStyle w:val="EndNoteBibliography"/>
        <w:spacing w:before="120" w:after="120"/>
        <w:ind w:left="720" w:hanging="720"/>
        <w:jc w:val="left"/>
      </w:pPr>
      <w:r w:rsidRPr="007B5109">
        <w:t>Davis, A.M., Lewis, S.E., Brodie, J.E., Benson, A., 2014. The potential benefits of herbicide regulation: A cautionary note for the Great Barrier Reef catchment area. Science of The Total Environment 490, 81-92.</w:t>
      </w:r>
    </w:p>
    <w:p w14:paraId="39AF25B8" w14:textId="77777777" w:rsidR="007B5109" w:rsidRPr="007B5109" w:rsidRDefault="007B5109" w:rsidP="007F4391">
      <w:pPr>
        <w:pStyle w:val="EndNoteBibliography"/>
        <w:spacing w:before="120" w:after="120"/>
        <w:ind w:left="720" w:hanging="720"/>
        <w:jc w:val="left"/>
      </w:pPr>
      <w:r w:rsidRPr="007B5109">
        <w:t>Devlin, M., Lewis, S., Davis, A., Smith, R., Negri, A., Thompson, M., Poggio, M., 2015. Advancing our understanding of the source, management, transport and impacts of pesticides on the Great Barrier Reef 2011 - 2015. , Tropical Water and Aquatic Ecosystem Research (TropWATER), James Cook University, Cairns.</w:t>
      </w:r>
    </w:p>
    <w:p w14:paraId="0F46C868" w14:textId="77777777" w:rsidR="007B5109" w:rsidRPr="007B5109" w:rsidRDefault="007B5109" w:rsidP="007F4391">
      <w:pPr>
        <w:pStyle w:val="EndNoteBibliography"/>
        <w:spacing w:before="120" w:after="120"/>
        <w:ind w:left="720" w:hanging="720"/>
        <w:jc w:val="left"/>
      </w:pPr>
      <w:r w:rsidRPr="007B5109">
        <w:t>Devlin, M., Schaffelke, B., 2009. Spatial extent of riverine flood plumes and exposure of marine ecosystems in the Tully coastal region, Great Barrier Reef. Marine and Freshwater Research 60, 1109-1122.</w:t>
      </w:r>
    </w:p>
    <w:p w14:paraId="2982F8FA" w14:textId="77777777" w:rsidR="007B5109" w:rsidRPr="007B5109" w:rsidRDefault="007B5109" w:rsidP="007F4391">
      <w:pPr>
        <w:pStyle w:val="EndNoteBibliography"/>
        <w:spacing w:before="120" w:after="120"/>
        <w:ind w:left="720" w:hanging="720"/>
        <w:jc w:val="left"/>
      </w:pPr>
      <w:r w:rsidRPr="007B5109">
        <w:t>Devlin, M.J., Wenger, A., Petus, C., da Silva, E.T., DeBose, J., Álvarez-Romero, J., 2012. Reef Rescue Marine Monitoring Program. Final Report of JCU Activities 2011/12– Flood Plumes and Extreme weather monitoring for the Great Barrier Reef Marine Park Authority., James Cook University. Townsville.</w:t>
      </w:r>
    </w:p>
    <w:p w14:paraId="20965555" w14:textId="77777777" w:rsidR="007B5109" w:rsidRPr="007B5109" w:rsidRDefault="007B5109" w:rsidP="007F4391">
      <w:pPr>
        <w:pStyle w:val="EndNoteBibliography"/>
        <w:spacing w:before="120" w:after="120"/>
        <w:ind w:left="720" w:hanging="720"/>
        <w:jc w:val="left"/>
      </w:pPr>
      <w:r w:rsidRPr="007B5109">
        <w:t>DoE, 2016. National Water Quality Management Strategy, Department of the Environment, Canberra.</w:t>
      </w:r>
    </w:p>
    <w:p w14:paraId="42544E6F" w14:textId="77777777" w:rsidR="007B5109" w:rsidRPr="007B5109" w:rsidRDefault="007B5109" w:rsidP="007F4391">
      <w:pPr>
        <w:pStyle w:val="EndNoteBibliography"/>
        <w:spacing w:before="120" w:after="120"/>
        <w:ind w:left="720" w:hanging="720"/>
        <w:jc w:val="left"/>
      </w:pPr>
      <w:r w:rsidRPr="007B5109">
        <w:t>DSITI, 2015. Notification of Reported Exceedances of Pesticide Water Quality Guidelines in 2015–16 No.7, Deparment of Science, Information Technology and Innovation, Brisbane.</w:t>
      </w:r>
    </w:p>
    <w:p w14:paraId="3751C6C6" w14:textId="77777777" w:rsidR="007B5109" w:rsidRPr="007B5109" w:rsidRDefault="007B5109" w:rsidP="007F4391">
      <w:pPr>
        <w:pStyle w:val="EndNoteBibliography"/>
        <w:spacing w:before="120" w:after="120"/>
        <w:ind w:left="720" w:hanging="720"/>
        <w:jc w:val="left"/>
      </w:pPr>
      <w:r w:rsidRPr="007B5109">
        <w:t>DSITI, 2016. Land use summary 1999–2015 for the Wet Tropics NRM region, Queensland Department of Science, Information Technology and Innovation, Brisbane.</w:t>
      </w:r>
    </w:p>
    <w:p w14:paraId="57437A96" w14:textId="77777777" w:rsidR="007B5109" w:rsidRPr="007B5109" w:rsidRDefault="007B5109" w:rsidP="007F4391">
      <w:pPr>
        <w:pStyle w:val="EndNoteBibliography"/>
        <w:spacing w:before="120" w:after="120"/>
        <w:ind w:left="720" w:hanging="720"/>
        <w:jc w:val="left"/>
      </w:pPr>
      <w:r w:rsidRPr="007B5109">
        <w:t>DSITIA, 2012a. Land use summary 1999–2009 for the Fitzroy NRM region, Queensland Department of Science, Information Technology, Innovation and the Arts, Brisbane.</w:t>
      </w:r>
    </w:p>
    <w:p w14:paraId="52C2B278" w14:textId="77777777" w:rsidR="007B5109" w:rsidRPr="007B5109" w:rsidRDefault="007B5109" w:rsidP="007F4391">
      <w:pPr>
        <w:pStyle w:val="EndNoteBibliography"/>
        <w:spacing w:before="120" w:after="120"/>
        <w:ind w:left="720" w:hanging="720"/>
        <w:jc w:val="left"/>
      </w:pPr>
      <w:r w:rsidRPr="007B5109">
        <w:t>DSITIA, 2012b. Land use summary 1999–2009: Burdekin NRM region, Queensland Department of Science, Information Technology, Innovation and the Arts, Brisbane.</w:t>
      </w:r>
    </w:p>
    <w:p w14:paraId="1245879A" w14:textId="77777777" w:rsidR="007B5109" w:rsidRPr="007B5109" w:rsidRDefault="007B5109" w:rsidP="007F4391">
      <w:pPr>
        <w:pStyle w:val="EndNoteBibliography"/>
        <w:spacing w:before="120" w:after="120"/>
        <w:ind w:left="720" w:hanging="720"/>
        <w:jc w:val="left"/>
      </w:pPr>
      <w:r w:rsidRPr="007B5109">
        <w:t>DSITIA, 2012c. Land use summary 1999–2009: Great Barrier Reef catchments. Queensland Department of Science, Information Technology, Innovation and the Arts, Brisbane.</w:t>
      </w:r>
    </w:p>
    <w:p w14:paraId="106FE8E7" w14:textId="77777777" w:rsidR="007B5109" w:rsidRPr="007B5109" w:rsidRDefault="007B5109" w:rsidP="007F4391">
      <w:pPr>
        <w:pStyle w:val="EndNoteBibliography"/>
        <w:spacing w:before="120" w:after="120"/>
        <w:ind w:left="720" w:hanging="720"/>
        <w:jc w:val="left"/>
      </w:pPr>
      <w:r w:rsidRPr="007B5109">
        <w:t>DSITIA, 2012d. Land use Summary 1999–2009: Mackay–Whitsunday NRM Region, Queensland Department of Science, Information Technology, Innovation and the Arts, Brisbane.</w:t>
      </w:r>
    </w:p>
    <w:p w14:paraId="3046A41C" w14:textId="77777777" w:rsidR="007B5109" w:rsidRPr="007B5109" w:rsidRDefault="007B5109" w:rsidP="007F4391">
      <w:pPr>
        <w:pStyle w:val="EndNoteBibliography"/>
        <w:spacing w:before="120" w:after="120"/>
        <w:ind w:left="720" w:hanging="720"/>
        <w:jc w:val="left"/>
      </w:pPr>
      <w:r w:rsidRPr="007B5109">
        <w:t>Gallen, C., Devlin, M., Paxman, C., Banks, A., Mueller, J., 2013. Pesticide monitoring in inshore waters of the Great Barrier Reef using both time-integrated and event monitoring techniques (2012-2013), The University of Queensland, The National Research Centre for Environmental Toxicology (Entox).</w:t>
      </w:r>
    </w:p>
    <w:p w14:paraId="211296DF" w14:textId="77777777" w:rsidR="007B5109" w:rsidRPr="007B5109" w:rsidRDefault="007B5109" w:rsidP="007F4391">
      <w:pPr>
        <w:pStyle w:val="EndNoteBibliography"/>
        <w:spacing w:before="120" w:after="120"/>
        <w:ind w:left="720" w:hanging="720"/>
        <w:jc w:val="left"/>
      </w:pPr>
      <w:r w:rsidRPr="007B5109">
        <w:t>Gallen, C., Devlin, M., Thompson, K., Paxman, C., Mueller, J., 2014. Pesticide monitoring in inshore waters of the Great Barrier Reef using both time-integrated and event monitoring techniques (2013-2014), The University of Queensland, The National Research Centre for Environmental Toxicology (Entox).</w:t>
      </w:r>
    </w:p>
    <w:p w14:paraId="6132B48A" w14:textId="77777777" w:rsidR="007B5109" w:rsidRPr="007B5109" w:rsidRDefault="007B5109" w:rsidP="007F4391">
      <w:pPr>
        <w:pStyle w:val="EndNoteBibliography"/>
        <w:spacing w:before="120" w:after="120"/>
        <w:ind w:left="720" w:hanging="720"/>
        <w:jc w:val="left"/>
      </w:pPr>
      <w:r w:rsidRPr="007B5109">
        <w:t>Gallen, C., Thompson, K., Paxman, C., Devlin, M., Mueller, J., 2016. Marine Monitoring Program.  Annual Report for inshore pesticide monitoring: 2014 to 2015. Report for the Great Barrier Reef Marine Park Authority. The University of Queensland, The National Research Centre for Environmental Toxicology (Entox), Brisbane.</w:t>
      </w:r>
    </w:p>
    <w:p w14:paraId="7144EF91" w14:textId="77777777" w:rsidR="007B5109" w:rsidRPr="007B5109" w:rsidRDefault="007B5109" w:rsidP="007F4391">
      <w:pPr>
        <w:pStyle w:val="EndNoteBibliography"/>
        <w:spacing w:before="120" w:after="120"/>
        <w:ind w:left="720" w:hanging="720"/>
        <w:jc w:val="left"/>
      </w:pPr>
      <w:r w:rsidRPr="007B5109">
        <w:t>GBRMPA, 2010. Water Quality Guidelines for the Great Barrier Reef Marine Park. Revised Edition 2010., Great Barrier Reef Marine Park Authority, Townsville.</w:t>
      </w:r>
    </w:p>
    <w:p w14:paraId="7CA77AEB" w14:textId="77777777" w:rsidR="007B5109" w:rsidRPr="007B5109" w:rsidRDefault="007B5109" w:rsidP="007F4391">
      <w:pPr>
        <w:pStyle w:val="EndNoteBibliography"/>
        <w:spacing w:before="120" w:after="120"/>
        <w:ind w:left="720" w:hanging="720"/>
        <w:jc w:val="left"/>
      </w:pPr>
      <w:r w:rsidRPr="007B5109">
        <w:t>GBRMPA, 2011. Marine Monitoring Program.</w:t>
      </w:r>
    </w:p>
    <w:p w14:paraId="40238348" w14:textId="77777777" w:rsidR="007B5109" w:rsidRPr="007B5109" w:rsidRDefault="007B5109" w:rsidP="007F4391">
      <w:pPr>
        <w:pStyle w:val="EndNoteBibliography"/>
        <w:spacing w:before="120" w:after="120"/>
        <w:ind w:left="720" w:hanging="720"/>
        <w:jc w:val="left"/>
      </w:pPr>
      <w:r w:rsidRPr="007B5109">
        <w:t>GBRMPA, 2014a. Great Barrier Reef Outlook Report 2014, Great Barrier Reef Marine Park Authority, Townsville.</w:t>
      </w:r>
    </w:p>
    <w:p w14:paraId="2D702904" w14:textId="77777777" w:rsidR="007B5109" w:rsidRPr="007B5109" w:rsidRDefault="007B5109" w:rsidP="007F4391">
      <w:pPr>
        <w:pStyle w:val="EndNoteBibliography"/>
        <w:spacing w:before="120" w:after="120"/>
        <w:ind w:left="720" w:hanging="720"/>
        <w:jc w:val="left"/>
      </w:pPr>
      <w:r w:rsidRPr="007B5109">
        <w:t>GBRMPA, 2014b. Great Barrier Reef Region Strategic Assessment: Strategic assessment report, Great Barrier Reef Marine Park Authority, Townsville.</w:t>
      </w:r>
    </w:p>
    <w:p w14:paraId="42E23959" w14:textId="77777777" w:rsidR="007B5109" w:rsidRPr="007B5109" w:rsidRDefault="007B5109" w:rsidP="007F4391">
      <w:pPr>
        <w:pStyle w:val="EndNoteBibliography"/>
        <w:spacing w:before="120" w:after="120"/>
        <w:ind w:left="720" w:hanging="720"/>
        <w:jc w:val="left"/>
      </w:pPr>
      <w:r w:rsidRPr="007B5109">
        <w:t>GBRMPA, 2019. Marine Monitoring Program: Quality Assurance and Quality Control Manual 2017-2018. Great Barrier Reef Marine Park Authority, Townsville.</w:t>
      </w:r>
    </w:p>
    <w:p w14:paraId="7BBEDC54" w14:textId="77777777" w:rsidR="007B5109" w:rsidRPr="007B5109" w:rsidRDefault="007B5109" w:rsidP="007F4391">
      <w:pPr>
        <w:pStyle w:val="EndNoteBibliography"/>
        <w:spacing w:before="120" w:after="120"/>
        <w:ind w:left="720" w:hanging="720"/>
        <w:jc w:val="left"/>
      </w:pPr>
      <w:r w:rsidRPr="007B5109">
        <w:t>Grant, S., Gallen, C., Thompson, K., Paxman, C., Tracey, D., Mueller, J., 2017. Marine Monitoring Program.  Annual Report for inshore pesticide monitoring: 2015-2016. Report for the Great Barrier Reef Marine Park Authority. Great Barrier Reef Marine Park Authority, Townsville, p. pp 127.</w:t>
      </w:r>
    </w:p>
    <w:p w14:paraId="641769EA" w14:textId="77777777" w:rsidR="007B5109" w:rsidRPr="007B5109" w:rsidRDefault="007B5109" w:rsidP="007F4391">
      <w:pPr>
        <w:pStyle w:val="EndNoteBibliography"/>
        <w:spacing w:before="120" w:after="120"/>
        <w:ind w:left="720" w:hanging="720"/>
        <w:jc w:val="left"/>
      </w:pPr>
      <w:r w:rsidRPr="007B5109">
        <w:t>Grant, S., Thompson, K., Paxman, C., Elisei, G., Gallen, C., Tracey, D., Kaserzon, S., Jiang, H., Samanipour, S., Mueller, J., 2018. Marine Monitoring Program: Annual report for inshore pesticide monitoring 2016-2017.</w:t>
      </w:r>
    </w:p>
    <w:p w14:paraId="71472952" w14:textId="77777777" w:rsidR="007B5109" w:rsidRPr="007B5109" w:rsidRDefault="007B5109" w:rsidP="007F4391">
      <w:pPr>
        <w:pStyle w:val="EndNoteBibliography"/>
        <w:spacing w:before="120" w:after="120"/>
        <w:ind w:left="720" w:hanging="720"/>
        <w:jc w:val="left"/>
      </w:pPr>
      <w:r w:rsidRPr="007B5109">
        <w:t>Hairsine, P.B., 2017. Sediment-related controls on the health of the Great Barrier Reef. Vadose Zone Journal 16.</w:t>
      </w:r>
    </w:p>
    <w:p w14:paraId="52091D88" w14:textId="77777777" w:rsidR="007B5109" w:rsidRPr="007B5109" w:rsidRDefault="007B5109" w:rsidP="007F4391">
      <w:pPr>
        <w:pStyle w:val="EndNoteBibliography"/>
        <w:spacing w:before="120" w:after="120"/>
        <w:ind w:left="720" w:hanging="720"/>
        <w:jc w:val="left"/>
      </w:pPr>
      <w:r w:rsidRPr="007B5109">
        <w:t>Kaserzon, S., Hawker, D.W., Kennedy, K., Bartkow, M., Carter, S., Booij, K., Mueller, J., 2014. Characterisation and comparison of the uptake of ionizable and polar pesticides, pharmaceuticals and personal care products by POCIS and Chemcatchers. Environmental Science: Processes &amp; Impacts 16, 2517-2526.</w:t>
      </w:r>
    </w:p>
    <w:p w14:paraId="42BED63A" w14:textId="77777777" w:rsidR="007B5109" w:rsidRPr="007B5109" w:rsidRDefault="007B5109" w:rsidP="007F4391">
      <w:pPr>
        <w:pStyle w:val="EndNoteBibliography"/>
        <w:spacing w:before="120" w:after="120"/>
        <w:ind w:left="720" w:hanging="720"/>
        <w:jc w:val="left"/>
      </w:pPr>
      <w:r w:rsidRPr="007B5109">
        <w:t>Kennedy, K., Bentley, C., Paxman, C., Dunn, A., Heffernan, A., Kaserzon, S., Mueller, J., 2010. Final Report-Monitoring of organic chemicals in the Great Barrier Reef Marine Park using time integrated monitoring tools (2009-2010).</w:t>
      </w:r>
    </w:p>
    <w:p w14:paraId="2E2D5786" w14:textId="77777777" w:rsidR="007B5109" w:rsidRPr="007B5109" w:rsidRDefault="007B5109" w:rsidP="007F4391">
      <w:pPr>
        <w:pStyle w:val="EndNoteBibliography"/>
        <w:spacing w:before="120" w:after="120"/>
        <w:ind w:left="720" w:hanging="720"/>
        <w:jc w:val="left"/>
      </w:pPr>
      <w:r w:rsidRPr="007B5109">
        <w:t>Kennedy, K., Devlin, M., Bentley, C., Paxman, C., Chue, K., Mueller, J., 2012. Pesticide monitoring in inshore waters of the Great Barrier Reef using both time-integrated and event monitoring techniques (2010-2011), The University of Queensland, The National Research Centre for Environmental Toxicology (Entox).</w:t>
      </w:r>
    </w:p>
    <w:p w14:paraId="1C836B1A" w14:textId="77777777" w:rsidR="007B5109" w:rsidRPr="007B5109" w:rsidRDefault="007B5109" w:rsidP="007F4391">
      <w:pPr>
        <w:pStyle w:val="EndNoteBibliography"/>
        <w:spacing w:before="120" w:after="120"/>
        <w:ind w:left="720" w:hanging="720"/>
        <w:jc w:val="left"/>
      </w:pPr>
      <w:r w:rsidRPr="007B5109">
        <w:t xml:space="preserve">King, O.C., Smith, R.A., J., W.M.S., 2017a. Proposed Default Guideline Values for Toxicants: Diuron – Marine. Department of Science, Information Technology and Innovation, Brisbane, Australia, p. pp 37 </w:t>
      </w:r>
    </w:p>
    <w:p w14:paraId="78B0797E" w14:textId="77777777" w:rsidR="007B5109" w:rsidRPr="007B5109" w:rsidRDefault="007B5109" w:rsidP="007F4391">
      <w:pPr>
        <w:pStyle w:val="EndNoteBibliography"/>
        <w:spacing w:before="120" w:after="120"/>
        <w:ind w:left="720" w:hanging="720"/>
        <w:jc w:val="left"/>
      </w:pPr>
      <w:r w:rsidRPr="007B5109">
        <w:t>King, O.C., Smith, R.A., J., W.M.S., J.S., F., Mann, R., 2017b. Proposed aquatic ecosystem protection guideline values for pesticides commonly used in the Great Barrier Reef catchment area: Part 2 - Bromacil, Chlorothalonil, Fipronil, Fluometuron, Fluroxypyr, Haloxyfop, MCPA, Pendimethalin, Prometryn, Propazine, Propiconazole, Terbutryn, Triclopyr and Terbuthylazine. Department of Science, Information Technology and Innovation, Brisbane, Australia.</w:t>
      </w:r>
    </w:p>
    <w:p w14:paraId="2531C7B1" w14:textId="298DF01B" w:rsidR="007B5109" w:rsidRPr="007B5109" w:rsidRDefault="007B5109" w:rsidP="007F4391">
      <w:pPr>
        <w:pStyle w:val="EndNoteBibliography"/>
        <w:spacing w:before="120" w:after="120"/>
        <w:ind w:left="720" w:hanging="720"/>
        <w:jc w:val="left"/>
      </w:pPr>
      <w:r w:rsidRPr="007B5109">
        <w:t xml:space="preserve">King, O.C., Smith, R.A., Mann, R., J., W.M.S., 2017c. Proposed aquatic ecosystem protection guideline values for pesticides commonly used in the Great Barrier Reef catchment area: Part 1 (amended) - </w:t>
      </w:r>
      <w:r w:rsidR="00FE6E97">
        <w:t>2,4</w:t>
      </w:r>
      <w:r w:rsidR="00FE6E97">
        <w:noBreakHyphen/>
        <w:t>D</w:t>
      </w:r>
      <w:r w:rsidRPr="007B5109">
        <w:t>, Ametryn, Diuron, Glyphosate, Hexazinone, Imazapic, Imidacloprid, Isoxaflutole, Metolachlor, Metribuzin, Metsulfuron-methyl, Simazine, Tebuthiuron. Department of Environment and Science, Brisbane, Queensland, Australia, p. pp 296.</w:t>
      </w:r>
    </w:p>
    <w:p w14:paraId="01C6A0F4" w14:textId="77777777" w:rsidR="007B5109" w:rsidRPr="007B5109" w:rsidRDefault="007B5109" w:rsidP="007F4391">
      <w:pPr>
        <w:pStyle w:val="EndNoteBibliography"/>
        <w:spacing w:before="120" w:after="120"/>
        <w:ind w:left="720" w:hanging="720"/>
        <w:jc w:val="left"/>
      </w:pPr>
      <w:r w:rsidRPr="007B5109">
        <w:t>Kroon, F., Turner, R., Smith, R., Warne, M., Hunter, H., Bartley, R., Wilkinson, S., Lewis, S., Waters, D., Carroll, C., 2013. 2013 Scientific Consensus Statement: Chapter 4 Sources of sediment, nutrients, pesticides and other pollutants in the Great Barrier Reef catchment.</w:t>
      </w:r>
    </w:p>
    <w:p w14:paraId="3C196757" w14:textId="77777777" w:rsidR="007B5109" w:rsidRPr="007B5109" w:rsidRDefault="007B5109" w:rsidP="007F4391">
      <w:pPr>
        <w:pStyle w:val="EndNoteBibliography"/>
        <w:spacing w:before="120" w:after="120"/>
        <w:ind w:left="720" w:hanging="720"/>
        <w:jc w:val="left"/>
      </w:pPr>
      <w:r w:rsidRPr="007B5109">
        <w:t>Kuhnert, P.M., Liu, Y., Henderson, B., Dambacher, J., Lawrence, E., Kroon, F., 2015. Review of the Marine Monitoring Program (MMP), Final Report for the Great Barrier Reef Marine Park Authority (GBRMPA), CSIRO, Australia.</w:t>
      </w:r>
    </w:p>
    <w:p w14:paraId="359E3F03" w14:textId="77777777" w:rsidR="007B5109" w:rsidRPr="007B5109" w:rsidRDefault="007B5109" w:rsidP="007F4391">
      <w:pPr>
        <w:pStyle w:val="EndNoteBibliography"/>
        <w:spacing w:before="120" w:after="120"/>
        <w:ind w:left="720" w:hanging="720"/>
        <w:jc w:val="left"/>
      </w:pPr>
      <w:r w:rsidRPr="007B5109">
        <w:t>Larson, J., Leon, J., McGrath, C., Trancoso, R., 2013. Review of the catchment processes relevant to the Great Barrier Reef region, Great Barrier Reef Marine Park Authority, Townsville.</w:t>
      </w:r>
    </w:p>
    <w:p w14:paraId="12E42EBC" w14:textId="77777777" w:rsidR="007B5109" w:rsidRPr="007B5109" w:rsidRDefault="007B5109" w:rsidP="007F4391">
      <w:pPr>
        <w:pStyle w:val="EndNoteBibliography"/>
        <w:spacing w:before="120" w:after="120"/>
        <w:ind w:left="720" w:hanging="720"/>
        <w:jc w:val="left"/>
      </w:pPr>
      <w:r w:rsidRPr="007B5109">
        <w:t>Lewis, S., Brodie, J.E., Ledee, E., Alewijnse, M., 2006. The Spatial Extent of Delivery of Terrestrial Materials from the Burdekin Region in the GBR Lagoon ACTFR Report No. 06/02 Australian Centre for Tropical Freshwater Research,  Burdekin Dry Tropics NRM.</w:t>
      </w:r>
    </w:p>
    <w:p w14:paraId="56E19133" w14:textId="77777777" w:rsidR="007B5109" w:rsidRPr="007B5109" w:rsidRDefault="007B5109" w:rsidP="007F4391">
      <w:pPr>
        <w:pStyle w:val="EndNoteBibliography"/>
        <w:spacing w:before="120" w:after="120"/>
        <w:ind w:left="720" w:hanging="720"/>
        <w:jc w:val="left"/>
      </w:pPr>
      <w:r w:rsidRPr="007B5109">
        <w:t>Lewis, S.E., Brodie, J.E., Bainbridge, Z.T., Rohde, K.W., Davis, A.M., Masters, B.L., Maughan, M., Devlin, M.J., Mueller, J.F., Schaffelke, B., 2009. Herbicides: a new threat to the Great Barrier Reef. Environmental Pollution 157, 2470-2484.</w:t>
      </w:r>
    </w:p>
    <w:p w14:paraId="268C467E" w14:textId="77777777" w:rsidR="007B5109" w:rsidRPr="007B5109" w:rsidRDefault="007B5109" w:rsidP="007F4391">
      <w:pPr>
        <w:pStyle w:val="EndNoteBibliography"/>
        <w:spacing w:before="120" w:after="120"/>
        <w:ind w:left="720" w:hanging="720"/>
        <w:jc w:val="left"/>
      </w:pPr>
      <w:r w:rsidRPr="007B5109">
        <w:t>Magnusson, M., Heimann, K., Ridd, M., Negri, A.P., 2012. Chronic herbicide exposures affect the sensitivity and community structure of tropical benthic microalgae. Marine pollution bulletin 65, 363-372.</w:t>
      </w:r>
    </w:p>
    <w:p w14:paraId="6E791800" w14:textId="77777777" w:rsidR="007B5109" w:rsidRPr="007B5109" w:rsidRDefault="007B5109" w:rsidP="007F4391">
      <w:pPr>
        <w:pStyle w:val="EndNoteBibliography"/>
        <w:spacing w:before="120" w:after="120"/>
        <w:ind w:left="720" w:hanging="720"/>
        <w:jc w:val="left"/>
      </w:pPr>
      <w:r w:rsidRPr="007B5109">
        <w:t>McKenzie, L., Collier, C., Langlois, L., Yoshida, R., Smith, N., Waycott, M., 2017. Marine Monitoring Program: Annual Report for inshore seagrass monitoring 2015-2016. Report for the Great Barrier Reef Marine Park Authority, Great Barrier Reef Marine Park Authority, Townsville, 243pp.</w:t>
      </w:r>
    </w:p>
    <w:p w14:paraId="369ABC19" w14:textId="77777777" w:rsidR="007B5109" w:rsidRPr="007B5109" w:rsidRDefault="007B5109" w:rsidP="007F4391">
      <w:pPr>
        <w:pStyle w:val="EndNoteBibliography"/>
        <w:spacing w:before="120" w:after="120"/>
        <w:ind w:left="720" w:hanging="720"/>
        <w:jc w:val="left"/>
      </w:pPr>
      <w:r w:rsidRPr="007B5109">
        <w:t>Mercurio, P., Mueller, J.F., Eaglesham, G., Flores, F., Negri, A.P., 2015. Herbicide Persistence in Seawater Simulation Experiments. PLOS ONE 10, e0136391.</w:t>
      </w:r>
    </w:p>
    <w:p w14:paraId="692EEDE9" w14:textId="77777777" w:rsidR="007B5109" w:rsidRPr="007B5109" w:rsidRDefault="007B5109" w:rsidP="007F4391">
      <w:pPr>
        <w:pStyle w:val="EndNoteBibliography"/>
        <w:spacing w:before="120" w:after="120"/>
        <w:ind w:left="720" w:hanging="720"/>
        <w:jc w:val="left"/>
      </w:pPr>
      <w:r w:rsidRPr="007B5109">
        <w:t>Nash, S.B., McMahon, K., Eaglesham, G., Müller, J., 2005. Application of a novel phytotoxicity assay for the detection of herbicides in Hervey Bay and the Great Sandy Straits. Marine Pollution Bulletin 51, 351-360.</w:t>
      </w:r>
    </w:p>
    <w:p w14:paraId="4869F3E3" w14:textId="77777777" w:rsidR="007B5109" w:rsidRPr="007B5109" w:rsidRDefault="007B5109" w:rsidP="007F4391">
      <w:pPr>
        <w:pStyle w:val="EndNoteBibliography"/>
        <w:spacing w:before="120" w:after="120"/>
        <w:ind w:left="720" w:hanging="720"/>
        <w:jc w:val="left"/>
      </w:pPr>
      <w:r w:rsidRPr="007B5109">
        <w:t>Negri, A., Vollhardt, C., Humphrey, C., Heyward, A., Jones, R., Eaglesham, G., Fabricius, K., 2005. Effects of the herbicide diuron on the early life history stages of coral. Marine Pollution Bulletin 51, 370-383.</w:t>
      </w:r>
    </w:p>
    <w:p w14:paraId="23BE290D" w14:textId="77777777" w:rsidR="007B5109" w:rsidRPr="007B5109" w:rsidRDefault="007B5109" w:rsidP="007F4391">
      <w:pPr>
        <w:pStyle w:val="EndNoteBibliography"/>
        <w:spacing w:before="120" w:after="120"/>
        <w:ind w:left="720" w:hanging="720"/>
        <w:jc w:val="left"/>
      </w:pPr>
      <w:r w:rsidRPr="007B5109">
        <w:t>Negri, A.P., Flores, F., Mercurio, P., Mueller, J.F., Collier, C.J., 2015. Lethal and sub-lethal chronic effects of the herbicide diuron on seagrass. Aquatic Toxicology 165, 73-83.</w:t>
      </w:r>
    </w:p>
    <w:p w14:paraId="5139AC8A" w14:textId="77777777" w:rsidR="007B5109" w:rsidRPr="007B5109" w:rsidRDefault="007B5109" w:rsidP="007F4391">
      <w:pPr>
        <w:pStyle w:val="EndNoteBibliography"/>
        <w:spacing w:before="120" w:after="120"/>
        <w:ind w:left="720" w:hanging="720"/>
        <w:jc w:val="left"/>
      </w:pPr>
      <w:r w:rsidRPr="007B5109">
        <w:t>Negri, A.P., Flores, F., Röthig, T., Uthicke, S., 2011. Herbicides increase the vulnerability of corals to rising sea surface temperature. Limnology and Oceanography 56, 471-485.</w:t>
      </w:r>
    </w:p>
    <w:p w14:paraId="2C9D1BA7" w14:textId="77777777" w:rsidR="007B5109" w:rsidRPr="007B5109" w:rsidRDefault="007B5109" w:rsidP="007F4391">
      <w:pPr>
        <w:pStyle w:val="EndNoteBibliography"/>
        <w:spacing w:before="120" w:after="120"/>
        <w:ind w:left="720" w:hanging="720"/>
        <w:jc w:val="left"/>
      </w:pPr>
      <w:r w:rsidRPr="007B5109">
        <w:t xml:space="preserve">Negri, A.P., Mercurio, P., Flores, F., Mueller, J.F., 2014. Pesticide dynamics in the Great Barrier Reef catchment and lagoon: grazing, bananas and grain. Herbicide persistence in the marine environment. Report to the Reef Rescue Water Quality Research &amp; Development Program, Reef and Rainforest Research Centre Limited, Cairns </w:t>
      </w:r>
    </w:p>
    <w:p w14:paraId="223A9044" w14:textId="77777777" w:rsidR="007B5109" w:rsidRPr="007B5109" w:rsidRDefault="007B5109" w:rsidP="007F4391">
      <w:pPr>
        <w:pStyle w:val="EndNoteBibliography"/>
        <w:spacing w:before="120" w:after="120"/>
        <w:ind w:left="720" w:hanging="720"/>
        <w:jc w:val="left"/>
      </w:pPr>
      <w:r w:rsidRPr="007B5109">
        <w:t>O’Brien, D., Bartkow, M., Mueller, J.F., 2011a. Determination of deployment specific chemical uptake rates for SDB-RPD Empore disk using a passive flow monitor (PFM). Chemosphere 83, 1290-1295.</w:t>
      </w:r>
    </w:p>
    <w:p w14:paraId="3BBD35D4" w14:textId="77777777" w:rsidR="007B5109" w:rsidRPr="007B5109" w:rsidRDefault="007B5109" w:rsidP="007F4391">
      <w:pPr>
        <w:pStyle w:val="EndNoteBibliography"/>
        <w:spacing w:before="120" w:after="120"/>
        <w:ind w:left="720" w:hanging="720"/>
        <w:jc w:val="left"/>
      </w:pPr>
      <w:r w:rsidRPr="007B5109">
        <w:t>O’Brien, D., Lewis, S., Davis, A., Gallen, C., Smith, R., Turner, R., Warne, M., Turner, S., Caswell, S., Mueller, J.F., 2016. Spatial and temporal variability in pesticide exposure downstream of a heavily irrigated cropping area: application of different monitoring techniques. Journal of agricultural and food chemistry 64, 3975-3989.</w:t>
      </w:r>
    </w:p>
    <w:p w14:paraId="64C6D789" w14:textId="77777777" w:rsidR="007B5109" w:rsidRPr="007B5109" w:rsidRDefault="007B5109" w:rsidP="007F4391">
      <w:pPr>
        <w:pStyle w:val="EndNoteBibliography"/>
        <w:spacing w:before="120" w:after="120"/>
        <w:ind w:left="720" w:hanging="720"/>
        <w:jc w:val="left"/>
      </w:pPr>
      <w:r w:rsidRPr="007B5109">
        <w:t xml:space="preserve">O’Brien, D.S., Booij, K., Hawker, D.W., Mueller, J.F., 2011b. Method for the </w:t>
      </w:r>
      <w:r w:rsidRPr="008F240E">
        <w:rPr>
          <w:i/>
        </w:rPr>
        <w:t>in situ</w:t>
      </w:r>
      <w:r w:rsidRPr="007B5109">
        <w:t xml:space="preserve"> calibration of a passive phosphate sampler in estuarine and marine waters. Environmental science &amp; technology 45, 2871-2877.</w:t>
      </w:r>
    </w:p>
    <w:p w14:paraId="3B479496" w14:textId="77777777" w:rsidR="007B5109" w:rsidRPr="007B5109" w:rsidRDefault="007B5109" w:rsidP="007F4391">
      <w:pPr>
        <w:pStyle w:val="EndNoteBibliography"/>
        <w:spacing w:before="120" w:after="120"/>
        <w:ind w:left="720" w:hanging="720"/>
        <w:jc w:val="left"/>
      </w:pPr>
      <w:r w:rsidRPr="007B5109">
        <w:t>Paddock to Reef, 2013. Paddock to Reef Integrated Monitoring, Modelling and Reporting Program: Reef Water Quality Protection Plan 2013–2018.</w:t>
      </w:r>
    </w:p>
    <w:p w14:paraId="441C14F6" w14:textId="77777777" w:rsidR="007B5109" w:rsidRPr="007B5109" w:rsidRDefault="007B5109" w:rsidP="007F4391">
      <w:pPr>
        <w:pStyle w:val="EndNoteBibliography"/>
        <w:spacing w:before="120" w:after="120"/>
        <w:ind w:left="720" w:hanging="720"/>
        <w:jc w:val="left"/>
      </w:pPr>
      <w:r w:rsidRPr="007B5109">
        <w:t>Reef Plan, 2009. Reef Water Quality Protection Plan 2009: For catchments adjacent to the Great Barrier Reef World Heritage Area, Reef Water Quality Protection Plan Secretariat, September 2009. Great Barrier Reef Marine Park Authority, Townsville.</w:t>
      </w:r>
    </w:p>
    <w:p w14:paraId="045CEC60" w14:textId="77777777" w:rsidR="007B5109" w:rsidRPr="007B5109" w:rsidRDefault="007B5109" w:rsidP="007F4391">
      <w:pPr>
        <w:pStyle w:val="EndNoteBibliography"/>
        <w:spacing w:before="120" w:after="120"/>
        <w:ind w:left="720" w:hanging="720"/>
        <w:jc w:val="left"/>
      </w:pPr>
      <w:r w:rsidRPr="007B5109">
        <w:t>Reef Plan, 2013. Reef Water Quality Protection Plan 2013: Securing the health and resilience of the Great Barrier Reef World Heritage Area and adjacent catchments, Reef Water Quality Protection Plan Secretariat, July 2013. Great Barrier Reef Marine Park Authority, Townsville.</w:t>
      </w:r>
    </w:p>
    <w:p w14:paraId="7BE4CB87" w14:textId="77777777" w:rsidR="007B5109" w:rsidRPr="007B5109" w:rsidRDefault="007B5109" w:rsidP="007F4391">
      <w:pPr>
        <w:pStyle w:val="EndNoteBibliography"/>
        <w:spacing w:before="120" w:after="120"/>
        <w:ind w:left="720" w:hanging="720"/>
        <w:jc w:val="left"/>
      </w:pPr>
      <w:r w:rsidRPr="007B5109">
        <w:t>Shaw, M., Eaglesham, G., Mueller, J.F., 2009. Uptake and release of polar compounds in SDB-RPS Empore™ disks; implications for their use as passive samplers. Chemosphere 75, 1-7.</w:t>
      </w:r>
    </w:p>
    <w:p w14:paraId="13610424" w14:textId="77777777" w:rsidR="007B5109" w:rsidRPr="007B5109" w:rsidRDefault="007B5109" w:rsidP="007F4391">
      <w:pPr>
        <w:pStyle w:val="EndNoteBibliography"/>
        <w:spacing w:before="120" w:after="120"/>
        <w:ind w:left="720" w:hanging="720"/>
        <w:jc w:val="left"/>
      </w:pPr>
      <w:r w:rsidRPr="007B5109">
        <w:t>Shaw, M., Mueller, J.F., 2009. Time Integrative Passive Sampling: How Well Do Chemcatchers Integrate Fluctuating Pollutant Concentrations? Environmental Science &amp; Technology 43, 1443-1448.</w:t>
      </w:r>
    </w:p>
    <w:p w14:paraId="0BE88391" w14:textId="77777777" w:rsidR="007B5109" w:rsidRPr="007B5109" w:rsidRDefault="007B5109" w:rsidP="007F4391">
      <w:pPr>
        <w:pStyle w:val="EndNoteBibliography"/>
        <w:spacing w:before="120" w:after="120"/>
        <w:ind w:left="720" w:hanging="720"/>
        <w:jc w:val="left"/>
      </w:pPr>
      <w:r w:rsidRPr="007B5109">
        <w:t>Shaw, M., Silburn, D.M., Thornton, C., Robinson, B., McClymont, D., 2011. Modelling pesticide runoff from paddocks in the Great Barrier Reef with HowLeaky. MODSIM 2011, Perth WA.</w:t>
      </w:r>
    </w:p>
    <w:p w14:paraId="720C04C6" w14:textId="77777777" w:rsidR="007B5109" w:rsidRPr="007B5109" w:rsidRDefault="007B5109" w:rsidP="007F4391">
      <w:pPr>
        <w:pStyle w:val="EndNoteBibliography"/>
        <w:spacing w:before="120" w:after="120"/>
        <w:ind w:left="720" w:hanging="720"/>
        <w:jc w:val="left"/>
      </w:pPr>
      <w:r w:rsidRPr="007B5109">
        <w:t>Smith, R., Middlebrook, R., Turner, R., Huggins, R., Vardy, S., Warne, M., 2012. Large-scale pesticide monitoring across Great Barrier Reef catchments–paddock to reef integrated monitoring, modelling and reporting program. Marine pollution bulletin 65, 117-127.</w:t>
      </w:r>
    </w:p>
    <w:p w14:paraId="52201B7C" w14:textId="77777777" w:rsidR="007B5109" w:rsidRPr="007B5109" w:rsidRDefault="007B5109" w:rsidP="007F4391">
      <w:pPr>
        <w:pStyle w:val="EndNoteBibliography"/>
        <w:spacing w:before="120" w:after="120"/>
        <w:ind w:left="720" w:hanging="720"/>
        <w:jc w:val="left"/>
      </w:pPr>
      <w:r w:rsidRPr="007B5109">
        <w:t>Smith, R., Turner, R., Vardy, S., Huggins, R., Wallace, R., Warne, M.S.J., 2015. An evaluation of the prevalence of alternate pesticides of environmental concern in Great Barrier Reef catchments: RP57C. , Department of Science, Information Technology, Innovation and the Arts. Brisbane.</w:t>
      </w:r>
    </w:p>
    <w:p w14:paraId="34CB521E" w14:textId="77777777" w:rsidR="007B5109" w:rsidRPr="007B5109" w:rsidRDefault="007B5109" w:rsidP="007F4391">
      <w:pPr>
        <w:pStyle w:val="EndNoteBibliography"/>
        <w:spacing w:before="120" w:after="120"/>
        <w:ind w:left="720" w:hanging="720"/>
        <w:jc w:val="left"/>
      </w:pPr>
      <w:r w:rsidRPr="007B5109">
        <w:t>Stephens, B.S., Kapernick, A., Eaglesham, G., Mueller, J., 2005. Aquatic passive sampling of herbicides on naked particle loaded membranes: accelerated measurement and empirical estimation of kinetic parameters. Environmental science &amp; technology 39, 8891-8897.</w:t>
      </w:r>
    </w:p>
    <w:p w14:paraId="771A1C37" w14:textId="77777777" w:rsidR="007B5109" w:rsidRPr="007B5109" w:rsidRDefault="007B5109" w:rsidP="007F4391">
      <w:pPr>
        <w:pStyle w:val="EndNoteBibliography"/>
        <w:spacing w:before="120" w:after="120"/>
        <w:ind w:left="720" w:hanging="720"/>
        <w:jc w:val="left"/>
      </w:pPr>
      <w:r w:rsidRPr="007B5109">
        <w:t>Stephens, B.S., Kapernick, A.P., Eaglesham, G., Mueller, J.F., 2009. Event monitoring of herbicides with naked and membrane-covered Empore disk integrative passive sampling devices. Marine pollution bulletin 58, 1116-1122.</w:t>
      </w:r>
    </w:p>
    <w:p w14:paraId="3FB96995" w14:textId="77777777" w:rsidR="007B5109" w:rsidRPr="007B5109" w:rsidRDefault="007B5109" w:rsidP="007F4391">
      <w:pPr>
        <w:pStyle w:val="EndNoteBibliography"/>
        <w:spacing w:before="120" w:after="120"/>
        <w:ind w:left="720" w:hanging="720"/>
        <w:jc w:val="left"/>
      </w:pPr>
      <w:r w:rsidRPr="007B5109">
        <w:t>Thompson, A., Costello, P., Davidson, J., Logan, M., Coleman, G., Gunn, K., Schaffelke, B., 2017. Marine Monitoring Program. Annual Report for coral reef monitoring: 2015 to 2016. Australian Institute of Marine Science, Townsville.133 pp.</w:t>
      </w:r>
    </w:p>
    <w:p w14:paraId="47145FDB" w14:textId="77777777" w:rsidR="007B5109" w:rsidRPr="007B5109" w:rsidRDefault="007B5109" w:rsidP="007F4391">
      <w:pPr>
        <w:pStyle w:val="EndNoteBibliography"/>
        <w:spacing w:before="120" w:after="120"/>
        <w:ind w:left="720" w:hanging="720"/>
        <w:jc w:val="left"/>
      </w:pPr>
      <w:r w:rsidRPr="007B5109">
        <w:t>Traas, T.P., van de Meent, D., Posthuma, L., Hamers, T., Kater, B.J., De Zwart, D., Aldenberg, T., 2002. The potentially affected fraction as a measure of ecological risk. CRC Press: Boca Raton, FL, pp. 315-344.</w:t>
      </w:r>
    </w:p>
    <w:p w14:paraId="73AE2F85" w14:textId="77777777" w:rsidR="007B5109" w:rsidRPr="007B5109" w:rsidRDefault="007B5109" w:rsidP="007F4391">
      <w:pPr>
        <w:pStyle w:val="EndNoteBibliography"/>
        <w:spacing w:before="120" w:after="120"/>
        <w:ind w:left="720" w:hanging="720"/>
        <w:jc w:val="left"/>
      </w:pPr>
      <w:r w:rsidRPr="007B5109">
        <w:t>UNESCO, 1981. Great Barrier Reef.</w:t>
      </w:r>
    </w:p>
    <w:p w14:paraId="7C61EEC9" w14:textId="77777777" w:rsidR="007B5109" w:rsidRPr="007B5109" w:rsidRDefault="007B5109" w:rsidP="007F4391">
      <w:pPr>
        <w:pStyle w:val="EndNoteBibliography"/>
        <w:spacing w:before="120" w:after="120"/>
        <w:ind w:left="720" w:hanging="720"/>
        <w:jc w:val="left"/>
      </w:pPr>
      <w:r w:rsidRPr="007B5109">
        <w:t xml:space="preserve">van Dam, J.W., 2012. title., The University of Queensland, Brisbane </w:t>
      </w:r>
    </w:p>
    <w:p w14:paraId="54127D65" w14:textId="77777777" w:rsidR="007B5109" w:rsidRPr="007B5109" w:rsidRDefault="007B5109" w:rsidP="007F4391">
      <w:pPr>
        <w:pStyle w:val="EndNoteBibliography"/>
        <w:spacing w:before="120" w:after="120"/>
        <w:ind w:left="720" w:hanging="720"/>
        <w:jc w:val="left"/>
      </w:pPr>
      <w:r w:rsidRPr="007B5109">
        <w:t>van Dam, J.W., Negri, A.P., Mueller, J.F., Altenburger, R., Uthicke, S., 2012. Additive Pressures of Elevated Sea Surface Temperatures and Herbicides on Symbiont-Bearing Foraminifera. PLoS ONE 7, e33900.</w:t>
      </w:r>
    </w:p>
    <w:p w14:paraId="64616694" w14:textId="77777777" w:rsidR="007B5109" w:rsidRPr="007B5109" w:rsidRDefault="007B5109" w:rsidP="007F4391">
      <w:pPr>
        <w:pStyle w:val="EndNoteBibliography"/>
        <w:spacing w:before="120" w:after="120"/>
        <w:ind w:left="720" w:hanging="720"/>
        <w:jc w:val="left"/>
      </w:pPr>
      <w:r w:rsidRPr="007B5109">
        <w:t>Vermeirssen, E.L., Bramaz, N., Hollender, J., Singer, H., Escher, B.I., 2009. Passive sampling combined with ecotoxicological and chemical analysis of pharmaceuticals and biocides–evaluation of three Chemcatcher™ configurations. Water research 43, 903-914.</w:t>
      </w:r>
    </w:p>
    <w:p w14:paraId="07A92245" w14:textId="77777777" w:rsidR="007B5109" w:rsidRPr="007B5109" w:rsidRDefault="007B5109" w:rsidP="007F4391">
      <w:pPr>
        <w:pStyle w:val="EndNoteBibliography"/>
        <w:spacing w:before="120" w:after="120"/>
        <w:ind w:left="720" w:hanging="720"/>
        <w:jc w:val="left"/>
      </w:pPr>
      <w:r w:rsidRPr="007B5109">
        <w:t>Warne, M.S.J., Batley, G.E., van Dam, R.A., Chapman, J.C., Fox, D.R., Hickey, C.W., Stauber, J.L., 2015. Revised Method for Deriving Australian and New Zealand Water Quality Guideline Values for Toxicants. Prepared for the Council of Australian Government’s Standing Council on Environment and Water (SCEW), Department of Science, Information Technology and Innovation, Brisbane, p. 50 pp.</w:t>
      </w:r>
    </w:p>
    <w:p w14:paraId="7E94771F" w14:textId="77777777" w:rsidR="007B5109" w:rsidRPr="007B5109" w:rsidRDefault="007B5109" w:rsidP="007F4391">
      <w:pPr>
        <w:pStyle w:val="EndNoteBibliography"/>
        <w:spacing w:before="120" w:after="120"/>
        <w:ind w:left="720" w:hanging="720"/>
        <w:jc w:val="left"/>
      </w:pPr>
      <w:r w:rsidRPr="007B5109">
        <w:t>Warne, M.S.J., King, O., Smith, R.A., 2018. Ecotoxicity thresholds for ametryn, diuron, hexazinone and simazine in fresh and marine waters. Environmental Science and Pollution Research, 1-19.</w:t>
      </w:r>
    </w:p>
    <w:p w14:paraId="20AADA19" w14:textId="77777777" w:rsidR="007B5109" w:rsidRPr="007B5109" w:rsidRDefault="007B5109" w:rsidP="007F4391">
      <w:pPr>
        <w:pStyle w:val="EndNoteBibliography"/>
        <w:spacing w:before="120" w:after="120"/>
        <w:ind w:left="720" w:hanging="720"/>
        <w:jc w:val="left"/>
      </w:pPr>
      <w:r w:rsidRPr="007B5109">
        <w:t>Waterhouse, J., Brodie, J., Tracey, D., Smith, R., Vandergragt, M., Collier, C., Petus, C., Baird, M., Kroon, F., Mann, R., Sutcliffe, T., Waters, D., Adame, F., 2017a. Scientific Consensus Statement 2017: A synthesis of the science of land-based water quality impacts on the Great Barrier Reef, Chapter 3: The risk from anthropogenic pollutants to Great Barrier Reef coastal and marine ecosystems. State of Queensland.</w:t>
      </w:r>
    </w:p>
    <w:p w14:paraId="557DB20B" w14:textId="77777777" w:rsidR="007B5109" w:rsidRPr="007B5109" w:rsidRDefault="007B5109" w:rsidP="007F4391">
      <w:pPr>
        <w:pStyle w:val="EndNoteBibliography"/>
        <w:spacing w:before="120" w:after="120"/>
        <w:ind w:left="720" w:hanging="720"/>
        <w:jc w:val="left"/>
      </w:pPr>
      <w:r w:rsidRPr="007B5109">
        <w:t>Waterhouse, J., Lønborg, C., Logan, M., Petus, C., Tracey, Lewis, S., Tonin, H., Skuza, M., da Silva, E., Carreira, C., Costello, P., Davidson, J., Gunn, K., Wright, M., Zagorskis, I., Brinkman, R., Schaffelke, B., 2017b. Marine Monitoring Program: Annual Report for inshore water quality monitoring 2015-2016. Report for the Great Barrier Reef Marine Park Authority, Townsville, 227pp.</w:t>
      </w:r>
    </w:p>
    <w:p w14:paraId="52243C57" w14:textId="77777777" w:rsidR="007B5109" w:rsidRPr="007B5109" w:rsidRDefault="007B5109" w:rsidP="007F4391">
      <w:pPr>
        <w:pStyle w:val="EndNoteBibliography"/>
        <w:spacing w:before="120" w:after="120"/>
        <w:ind w:left="720" w:hanging="720"/>
        <w:jc w:val="left"/>
      </w:pPr>
      <w:r w:rsidRPr="007B5109">
        <w:t>Waterhouse, J., Lønborg, C., Logan, M., Petus, C., Tracey, D., Lewis, S., Howley, C., Harper, E., Tonin, H., Skuza, M., Doyle, J., Costello, P., Davidson, J., Gunn, K., Wright, M., Zagorskis, I., Kroon, F., 2018. Marine Monitoring Program: Annual Report for inshore water quality monitoring 2016-2017. Report for the Great Barrier Reef Marine Park Authority, Townsville, 393pp.</w:t>
      </w:r>
    </w:p>
    <w:p w14:paraId="532BC878" w14:textId="77777777" w:rsidR="007B5109" w:rsidRPr="007B5109" w:rsidRDefault="007B5109" w:rsidP="007F4391">
      <w:pPr>
        <w:pStyle w:val="EndNoteBibliography"/>
        <w:spacing w:before="120" w:after="120"/>
        <w:ind w:left="720" w:hanging="720"/>
        <w:jc w:val="left"/>
      </w:pPr>
      <w:r w:rsidRPr="007B5109">
        <w:t>Wilkinson, A.D., Collier, C.J., Flores, F., Langlois, L., Ralph, P.J., Negri, A.P., 2017. Combined effects of temperature and the herbicide diuron on Photosystem II activity of the tropical seagrass Halophila ovalis. Scientific reports 7, 45404.</w:t>
      </w:r>
    </w:p>
    <w:p w14:paraId="51B68EE4" w14:textId="77777777" w:rsidR="003509A6" w:rsidRPr="003509A6" w:rsidRDefault="003509A6" w:rsidP="002439C8">
      <w:pPr>
        <w:spacing w:after="40" w:line="276" w:lineRule="auto"/>
        <w:ind w:left="567" w:hanging="567"/>
        <w:jc w:val="left"/>
        <w:rPr>
          <w:rFonts w:cs="Arial"/>
          <w:sz w:val="20"/>
          <w:szCs w:val="20"/>
        </w:rPr>
      </w:pPr>
      <w:r w:rsidRPr="00620447">
        <w:rPr>
          <w:rFonts w:cs="Arial"/>
          <w:sz w:val="20"/>
          <w:szCs w:val="20"/>
        </w:rPr>
        <w:fldChar w:fldCharType="end"/>
      </w:r>
      <w:r>
        <w:br w:type="page"/>
      </w:r>
    </w:p>
    <w:p w14:paraId="63949EDC" w14:textId="77777777" w:rsidR="0059608E" w:rsidRDefault="002409CC" w:rsidP="002439C8">
      <w:pPr>
        <w:pStyle w:val="Heading7"/>
      </w:pPr>
      <w:r w:rsidRPr="002409CC">
        <w:t xml:space="preserve">Supplemental information </w:t>
      </w:r>
      <w:r>
        <w:t>on methodology</w:t>
      </w:r>
      <w:bookmarkEnd w:id="640"/>
    </w:p>
    <w:p w14:paraId="17AE6604" w14:textId="77777777" w:rsidR="0059608E" w:rsidRDefault="008232E9" w:rsidP="002439C8">
      <w:pPr>
        <w:jc w:val="left"/>
        <w:rPr>
          <w:b/>
          <w:sz w:val="24"/>
        </w:rPr>
      </w:pPr>
      <w:bookmarkStart w:id="641" w:name="_Toc461457783"/>
      <w:r>
        <w:rPr>
          <w:b/>
          <w:sz w:val="24"/>
        </w:rPr>
        <w:t>A-1</w:t>
      </w:r>
      <w:r>
        <w:rPr>
          <w:b/>
          <w:sz w:val="24"/>
        </w:rPr>
        <w:tab/>
      </w:r>
      <w:r w:rsidR="002409CC" w:rsidRPr="002409CC">
        <w:rPr>
          <w:b/>
          <w:sz w:val="24"/>
        </w:rPr>
        <w:t xml:space="preserve">Sampler deployment, approaches for missing data </w:t>
      </w:r>
      <w:r w:rsidR="002409CC">
        <w:rPr>
          <w:b/>
          <w:sz w:val="24"/>
        </w:rPr>
        <w:t>and s</w:t>
      </w:r>
      <w:r w:rsidR="003E1F60" w:rsidRPr="008232E9">
        <w:rPr>
          <w:b/>
          <w:sz w:val="24"/>
        </w:rPr>
        <w:t>ources</w:t>
      </w:r>
      <w:r w:rsidR="0059608E" w:rsidRPr="008232E9">
        <w:rPr>
          <w:b/>
          <w:sz w:val="24"/>
        </w:rPr>
        <w:t xml:space="preserve"> of uncertainty</w:t>
      </w:r>
      <w:bookmarkEnd w:id="641"/>
      <w:r w:rsidR="0059608E" w:rsidRPr="008232E9">
        <w:rPr>
          <w:b/>
          <w:sz w:val="24"/>
        </w:rPr>
        <w:t xml:space="preserve"> </w:t>
      </w:r>
    </w:p>
    <w:p w14:paraId="188C644C" w14:textId="77777777" w:rsidR="008232E9" w:rsidRPr="008232E9" w:rsidRDefault="008232E9" w:rsidP="002439C8">
      <w:pPr>
        <w:jc w:val="left"/>
        <w:rPr>
          <w:b/>
          <w:sz w:val="24"/>
        </w:rPr>
      </w:pPr>
    </w:p>
    <w:p w14:paraId="5CF07DF7" w14:textId="77777777" w:rsidR="002409CC" w:rsidRDefault="002409CC" w:rsidP="002439C8">
      <w:pPr>
        <w:spacing w:after="120" w:line="276" w:lineRule="auto"/>
        <w:jc w:val="left"/>
        <w:rPr>
          <w:b/>
          <w:sz w:val="24"/>
        </w:rPr>
      </w:pPr>
      <w:r w:rsidRPr="002409CC">
        <w:rPr>
          <w:b/>
          <w:sz w:val="24"/>
        </w:rPr>
        <w:t>Sampler deployment</w:t>
      </w:r>
      <w:r>
        <w:rPr>
          <w:b/>
          <w:sz w:val="24"/>
        </w:rPr>
        <w:t xml:space="preserve"> and</w:t>
      </w:r>
      <w:r w:rsidRPr="002409CC">
        <w:rPr>
          <w:b/>
          <w:sz w:val="24"/>
        </w:rPr>
        <w:t xml:space="preserve"> approaches for missing data </w:t>
      </w:r>
    </w:p>
    <w:p w14:paraId="111D5C14" w14:textId="65F66C00" w:rsidR="002409CC" w:rsidRDefault="002409CC" w:rsidP="002439C8">
      <w:pPr>
        <w:spacing w:line="276" w:lineRule="auto"/>
        <w:jc w:val="left"/>
        <w:rPr>
          <w:lang w:val="en-AU"/>
        </w:rPr>
      </w:pPr>
      <w:r>
        <w:rPr>
          <w:lang w:val="en-AU" w:eastAsia="en-AU"/>
        </w:rPr>
        <w:t xml:space="preserve">Samplers are cleaned, assembled and calibrated by QAEHS but are deployed in the field by a team of volunteers. </w:t>
      </w:r>
      <w:r w:rsidRPr="00B14AD9">
        <w:rPr>
          <w:rFonts w:cs="Arial"/>
          <w:lang w:val="en-AU"/>
        </w:rPr>
        <w:t xml:space="preserve">The participation of volunteers from various community groups, agencies and tourist operations is a key feature of the </w:t>
      </w:r>
      <w:r>
        <w:rPr>
          <w:rFonts w:cs="Arial"/>
          <w:lang w:val="en-AU"/>
        </w:rPr>
        <w:t xml:space="preserve">long-term </w:t>
      </w:r>
      <w:r w:rsidRPr="00B14AD9">
        <w:rPr>
          <w:rFonts w:cs="Arial"/>
          <w:lang w:val="en-AU"/>
        </w:rPr>
        <w:t>pesticide monitoring program and integral to the success of maintaining the program in often remo</w:t>
      </w:r>
      <w:r>
        <w:rPr>
          <w:rFonts w:cs="Arial"/>
          <w:lang w:val="en-AU"/>
        </w:rPr>
        <w:t>te locations. Volunteers</w:t>
      </w:r>
      <w:r w:rsidRPr="00B14AD9">
        <w:rPr>
          <w:rFonts w:cs="Arial"/>
          <w:lang w:val="en-AU"/>
        </w:rPr>
        <w:t xml:space="preserve"> receiv</w:t>
      </w:r>
      <w:r>
        <w:rPr>
          <w:rFonts w:cs="Arial"/>
          <w:lang w:val="en-AU"/>
        </w:rPr>
        <w:t>e</w:t>
      </w:r>
      <w:r w:rsidRPr="00B14AD9">
        <w:rPr>
          <w:rFonts w:cs="Arial"/>
          <w:lang w:val="en-AU"/>
        </w:rPr>
        <w:t>, deploy, retriev</w:t>
      </w:r>
      <w:r>
        <w:rPr>
          <w:rFonts w:cs="Arial"/>
          <w:lang w:val="en-AU"/>
        </w:rPr>
        <w:t>e</w:t>
      </w:r>
      <w:r w:rsidRPr="00B14AD9">
        <w:rPr>
          <w:rFonts w:cs="Arial"/>
          <w:lang w:val="en-AU"/>
        </w:rPr>
        <w:t xml:space="preserve"> and return the passive samplers to </w:t>
      </w:r>
      <w:r>
        <w:rPr>
          <w:rFonts w:cs="Arial"/>
          <w:lang w:val="en-AU"/>
        </w:rPr>
        <w:t>QAEHS</w:t>
      </w:r>
      <w:r w:rsidRPr="00B14AD9">
        <w:rPr>
          <w:rFonts w:cs="Arial"/>
          <w:lang w:val="en-AU"/>
        </w:rPr>
        <w:t xml:space="preserve"> for subsequent extraction and analysis.</w:t>
      </w:r>
      <w:r>
        <w:rPr>
          <w:rFonts w:cs="Arial"/>
          <w:lang w:val="en-AU"/>
        </w:rPr>
        <w:t xml:space="preserve"> Volunteers are</w:t>
      </w:r>
      <w:r w:rsidRPr="00B14AD9">
        <w:rPr>
          <w:rFonts w:cs="Arial"/>
          <w:lang w:val="en-AU"/>
        </w:rPr>
        <w:t xml:space="preserve"> train</w:t>
      </w:r>
      <w:r>
        <w:rPr>
          <w:rFonts w:cs="Arial"/>
          <w:lang w:val="en-AU"/>
        </w:rPr>
        <w:t>ed</w:t>
      </w:r>
      <w:r w:rsidRPr="00B14AD9">
        <w:rPr>
          <w:rFonts w:cs="Arial"/>
          <w:lang w:val="en-AU"/>
        </w:rPr>
        <w:t xml:space="preserve"> </w:t>
      </w:r>
      <w:r>
        <w:rPr>
          <w:rFonts w:cs="Arial"/>
          <w:lang w:val="en-AU"/>
        </w:rPr>
        <w:t>by</w:t>
      </w:r>
      <w:r w:rsidRPr="00B14AD9">
        <w:rPr>
          <w:rFonts w:cs="Arial"/>
          <w:lang w:val="en-AU"/>
        </w:rPr>
        <w:t xml:space="preserve"> </w:t>
      </w:r>
      <w:r>
        <w:rPr>
          <w:rFonts w:cs="Arial"/>
          <w:lang w:val="en-AU"/>
        </w:rPr>
        <w:t>the Great Barrier Reef Marine Park Authority (</w:t>
      </w:r>
      <w:r w:rsidR="003354BF">
        <w:rPr>
          <w:rFonts w:cs="Arial"/>
          <w:lang w:val="en-AU"/>
        </w:rPr>
        <w:t>the Authority</w:t>
      </w:r>
      <w:r>
        <w:rPr>
          <w:rFonts w:cs="Arial"/>
          <w:lang w:val="en-AU"/>
        </w:rPr>
        <w:t>)</w:t>
      </w:r>
      <w:r w:rsidRPr="00B14AD9">
        <w:rPr>
          <w:rFonts w:cs="Arial"/>
          <w:lang w:val="en-AU"/>
        </w:rPr>
        <w:t xml:space="preserve"> and/or </w:t>
      </w:r>
      <w:r>
        <w:rPr>
          <w:rFonts w:cs="Arial"/>
          <w:lang w:val="en-AU"/>
        </w:rPr>
        <w:t>QAEHS</w:t>
      </w:r>
      <w:r w:rsidRPr="00B14AD9">
        <w:rPr>
          <w:rFonts w:cs="Arial"/>
          <w:lang w:val="en-AU"/>
        </w:rPr>
        <w:t xml:space="preserve"> staff in </w:t>
      </w:r>
      <w:r>
        <w:rPr>
          <w:rFonts w:cs="Arial"/>
          <w:lang w:val="en-AU"/>
        </w:rPr>
        <w:t xml:space="preserve">the </w:t>
      </w:r>
      <w:r w:rsidRPr="00B14AD9">
        <w:rPr>
          <w:rFonts w:cs="Arial"/>
          <w:lang w:val="en-AU"/>
        </w:rPr>
        <w:t>Standard Operating Procedures</w:t>
      </w:r>
      <w:r>
        <w:rPr>
          <w:rFonts w:cs="Arial"/>
          <w:lang w:val="en-AU"/>
        </w:rPr>
        <w:t xml:space="preserve"> (SOPs) for deploying and retrieving the passive samplers,</w:t>
      </w:r>
      <w:r w:rsidRPr="00B14AD9">
        <w:rPr>
          <w:rFonts w:cs="Arial"/>
          <w:lang w:val="en-AU"/>
        </w:rPr>
        <w:t xml:space="preserve"> </w:t>
      </w:r>
      <w:r>
        <w:rPr>
          <w:rFonts w:cs="Arial"/>
          <w:lang w:val="en-AU"/>
        </w:rPr>
        <w:t>ensuring</w:t>
      </w:r>
      <w:r w:rsidRPr="00B14AD9">
        <w:rPr>
          <w:rFonts w:cs="Arial"/>
          <w:lang w:val="en-AU"/>
        </w:rPr>
        <w:t xml:space="preserve"> high quality usable data.</w:t>
      </w:r>
      <w:r>
        <w:rPr>
          <w:lang w:val="en-AU"/>
        </w:rPr>
        <w:t xml:space="preserve"> </w:t>
      </w:r>
    </w:p>
    <w:p w14:paraId="2E621B99" w14:textId="77777777" w:rsidR="002409CC" w:rsidRDefault="002409CC" w:rsidP="002439C8">
      <w:pPr>
        <w:spacing w:line="276" w:lineRule="auto"/>
        <w:jc w:val="left"/>
        <w:rPr>
          <w:lang w:val="en-AU"/>
        </w:rPr>
      </w:pPr>
    </w:p>
    <w:p w14:paraId="04C97622" w14:textId="4BE99366" w:rsidR="006D282D" w:rsidRDefault="002409CC" w:rsidP="002439C8">
      <w:pPr>
        <w:spacing w:line="276" w:lineRule="auto"/>
        <w:jc w:val="left"/>
        <w:rPr>
          <w:lang w:val="en-AU"/>
        </w:rPr>
      </w:pPr>
      <w:r>
        <w:rPr>
          <w:lang w:val="en-AU"/>
        </w:rPr>
        <w:t>Whilst every effort is made to deploy samplers in accordance with the proposed sampling schedule, there are circumstances every year where this is not possible. This may result in periods where passive samplers are not deployed (for example, during bad weather) or samplers are under- or over-deployed, i.e. the period the sampler is left in the water is less than or greater than the preferred period (2 months in dry season, 1 month in wet season). In addition, samplers are regularly lost in extreme weather events or are stolen or otherwise damaged. For periods of non-deployment, gaps between successful deployments are often up to 1-2 weeks at most and have minimum impact on the long-term trends. Longer periods of non-deployment or when samplers are lost can result in uncertainty in the represent</w:t>
      </w:r>
      <w:r w:rsidR="00E70022">
        <w:rPr>
          <w:lang w:val="en-AU"/>
        </w:rPr>
        <w:t xml:space="preserve">ativeness </w:t>
      </w:r>
      <w:r>
        <w:rPr>
          <w:lang w:val="en-AU"/>
        </w:rPr>
        <w:t xml:space="preserve">of the pesticide concentration data for that deployment season and, therefore, may affect the long-term trends (for example, when only one wet season sampler is successfully deployed in one year, but all 6 are deployed for previous years). This can make interpretation of long term trends challenging. Actual dates of deployment are given in </w:t>
      </w:r>
      <w:r>
        <w:rPr>
          <w:highlight w:val="yellow"/>
          <w:lang w:val="en-AU"/>
        </w:rPr>
        <w:fldChar w:fldCharType="begin"/>
      </w:r>
      <w:r>
        <w:rPr>
          <w:lang w:val="en-AU"/>
        </w:rPr>
        <w:instrText xml:space="preserve"> REF _Ref335637596 \n \h </w:instrText>
      </w:r>
      <w:r w:rsidR="002439C8">
        <w:rPr>
          <w:highlight w:val="yellow"/>
          <w:lang w:val="en-AU"/>
        </w:rPr>
        <w:instrText xml:space="preserve"> \* MERGEFORMAT </w:instrText>
      </w:r>
      <w:r>
        <w:rPr>
          <w:highlight w:val="yellow"/>
          <w:lang w:val="en-AU"/>
        </w:rPr>
      </w:r>
      <w:r>
        <w:rPr>
          <w:highlight w:val="yellow"/>
          <w:lang w:val="en-AU"/>
        </w:rPr>
        <w:fldChar w:fldCharType="separate"/>
      </w:r>
      <w:r w:rsidR="00251B46">
        <w:rPr>
          <w:lang w:val="en-AU"/>
        </w:rPr>
        <w:t xml:space="preserve">Appendix F </w:t>
      </w:r>
      <w:r>
        <w:rPr>
          <w:highlight w:val="yellow"/>
          <w:lang w:val="en-AU"/>
        </w:rPr>
        <w:fldChar w:fldCharType="end"/>
      </w:r>
      <w:r>
        <w:rPr>
          <w:lang w:val="en-AU"/>
        </w:rPr>
        <w:t xml:space="preserve">and average concentrations where only one sampler was received for that season are highlighted in the summary statistics tables in the Results section. </w:t>
      </w:r>
    </w:p>
    <w:p w14:paraId="3FC596A5" w14:textId="77777777" w:rsidR="006D282D" w:rsidRDefault="006D282D" w:rsidP="002439C8">
      <w:pPr>
        <w:spacing w:line="276" w:lineRule="auto"/>
        <w:jc w:val="left"/>
        <w:rPr>
          <w:lang w:val="en-AU"/>
        </w:rPr>
      </w:pPr>
    </w:p>
    <w:p w14:paraId="692A8451" w14:textId="51BC126C" w:rsidR="002409CC" w:rsidRDefault="002409CC" w:rsidP="002439C8">
      <w:pPr>
        <w:spacing w:line="276" w:lineRule="auto"/>
        <w:jc w:val="left"/>
        <w:rPr>
          <w:lang w:val="en-AU"/>
        </w:rPr>
      </w:pPr>
      <w:r>
        <w:rPr>
          <w:lang w:val="en-AU"/>
        </w:rPr>
        <w:t>Passive samplers are calibrated for an optimum deployment period and if they are over- or under-deployed, this reduces the confidence in the reported concentrations. If under-deployed, the amount of pesticide taken up into the sampler may be too low to be detected on the analytical instruments, resulting in a non-detect result when in fact the pesticide was present in the marine waters. If over-deployed, the samplers may become saturated, violate the assumptions of pesticide uptake dynamics or become bio-fouled or otherwise contaminated in the field. In these cases, samplers are excluded from the analysis.</w:t>
      </w:r>
      <w:r w:rsidR="002F42CD">
        <w:rPr>
          <w:lang w:val="en-AU"/>
        </w:rPr>
        <w:t xml:space="preserve"> </w:t>
      </w:r>
    </w:p>
    <w:p w14:paraId="1F22F8D6" w14:textId="77777777" w:rsidR="002409CC" w:rsidRDefault="002409CC" w:rsidP="002439C8">
      <w:pPr>
        <w:spacing w:line="276" w:lineRule="auto"/>
        <w:jc w:val="left"/>
        <w:rPr>
          <w:lang w:val="en-AU"/>
        </w:rPr>
      </w:pPr>
      <w:r>
        <w:rPr>
          <w:lang w:val="en-AU"/>
        </w:rPr>
        <w:t xml:space="preserve">Passive samplers that show evidence of inappropriate storage during transportation that may lead to contamination (such as transport lids not attached or EDs returned dry) or damage during deployment (mud underneath membrane or severe biofilm that impedes water flow) are also excluded from analysis. </w:t>
      </w:r>
    </w:p>
    <w:p w14:paraId="1BB0E251" w14:textId="77777777" w:rsidR="002409CC" w:rsidRDefault="002409CC" w:rsidP="002439C8">
      <w:pPr>
        <w:spacing w:line="276" w:lineRule="auto"/>
        <w:jc w:val="left"/>
        <w:rPr>
          <w:lang w:val="en-AU" w:eastAsia="en-AU"/>
        </w:rPr>
      </w:pPr>
    </w:p>
    <w:p w14:paraId="6BE6F638" w14:textId="77777777" w:rsidR="002409CC" w:rsidRPr="002409CC" w:rsidRDefault="002409CC" w:rsidP="002439C8">
      <w:pPr>
        <w:spacing w:after="120" w:line="276" w:lineRule="auto"/>
        <w:jc w:val="left"/>
        <w:rPr>
          <w:b/>
          <w:sz w:val="24"/>
          <w:lang w:val="en-AU" w:eastAsia="en-AU"/>
        </w:rPr>
      </w:pPr>
      <w:r w:rsidRPr="002409CC">
        <w:rPr>
          <w:b/>
          <w:sz w:val="24"/>
          <w:lang w:val="en-AU" w:eastAsia="en-AU"/>
        </w:rPr>
        <w:t>Sources of uncertainty</w:t>
      </w:r>
    </w:p>
    <w:p w14:paraId="1680B669" w14:textId="77777777" w:rsidR="0059608E" w:rsidRDefault="00BF6243" w:rsidP="002439C8">
      <w:pPr>
        <w:spacing w:line="276" w:lineRule="auto"/>
        <w:jc w:val="left"/>
        <w:rPr>
          <w:lang w:val="en-AU" w:eastAsia="en-AU"/>
        </w:rPr>
      </w:pPr>
      <w:r>
        <w:rPr>
          <w:lang w:val="en-AU" w:eastAsia="en-AU"/>
        </w:rPr>
        <w:t>To</w:t>
      </w:r>
      <w:r w:rsidR="0059608E">
        <w:rPr>
          <w:lang w:val="en-AU" w:eastAsia="en-AU"/>
        </w:rPr>
        <w:t xml:space="preserve"> interpret both trends in the long-term data and true changes in concentrations year to year, there must be an understanding of the inherent variability of the data. Possible sources of uncertainty when using the passive samplers may include (but are not limited to) the effects of salinity and water temperature on chemical uptake into the sampler, accurate measurement of exposure time, the integrity of the flow-limiting membrane over the deployment period, degree of biofouling on the surface of the sampler and its effect on the sampling area, analytical error and variability in the dissolution of the PFM used to approximate water flow (and sampling rates).</w:t>
      </w:r>
    </w:p>
    <w:p w14:paraId="62E29B8E" w14:textId="77777777" w:rsidR="0059608E" w:rsidRDefault="0059608E" w:rsidP="002439C8">
      <w:pPr>
        <w:spacing w:line="276" w:lineRule="auto"/>
        <w:jc w:val="left"/>
        <w:rPr>
          <w:lang w:val="en-AU" w:eastAsia="en-AU"/>
        </w:rPr>
      </w:pPr>
    </w:p>
    <w:p w14:paraId="2A768661" w14:textId="66D09FEF" w:rsidR="0059608E" w:rsidRDefault="0059608E" w:rsidP="002439C8">
      <w:pPr>
        <w:spacing w:line="276" w:lineRule="auto"/>
        <w:jc w:val="left"/>
        <w:rPr>
          <w:lang w:val="en-AU" w:eastAsia="en-AU"/>
        </w:rPr>
      </w:pPr>
      <w:r>
        <w:rPr>
          <w:lang w:val="en-AU" w:eastAsia="en-AU"/>
        </w:rPr>
        <w:t xml:space="preserve">Salinity (ionic strength) has been found to have a very small effect on the solubility of the gypsum contained in the PFM, which is subsequently used to estimate sampling rates with respect to the water flow at a given site </w:t>
      </w:r>
      <w:r w:rsidR="00C91BF5">
        <w:rPr>
          <w:lang w:val="en-AU" w:eastAsia="en-AU"/>
        </w:rPr>
        <w:fldChar w:fldCharType="begin"/>
      </w:r>
      <w:r w:rsidR="0018079F">
        <w:rPr>
          <w:lang w:val="en-AU" w:eastAsia="en-AU"/>
        </w:rPr>
        <w:instrText xml:space="preserve"> ADDIN EN.CITE &lt;EndNote&gt;&lt;Cite&gt;&lt;Author&gt;O’Brien&lt;/Author&gt;&lt;Year&gt;2011&lt;/Year&gt;&lt;RecNum&gt;74&lt;/RecNum&gt;&lt;DisplayText&gt;(O’Brien et al., 2011b)&lt;/DisplayText&gt;&lt;record&gt;&lt;rec-number&gt;74&lt;/rec-number&gt;&lt;foreign-keys&gt;&lt;key app="EN" db-id="xtpvpwz0ufxa2me5tv6v2prn2ez5p9atsvtr" timestamp="1539144945"&gt;74&lt;/key&gt;&lt;/foreign-keys&gt;&lt;ref-type name="Journal Article"&gt;17&lt;/ref-type&gt;&lt;contributors&gt;&lt;authors&gt;&lt;author&gt;O’Brien, Dominique S&lt;/author&gt;&lt;author&gt;Booij, Kees&lt;/author&gt;&lt;author&gt;Hawker, Darryl W&lt;/author&gt;&lt;author&gt;Mueller, Jochen F&lt;/author&gt;&lt;/authors&gt;&lt;/contributors&gt;&lt;titles&gt;&lt;title&gt;Method for the in situ calibration of a passive phosphate sampler in estuarine and marine waters&lt;/title&gt;&lt;secondary-title&gt;Environmental science &amp;amp; technology&lt;/secondary-title&gt;&lt;/titles&gt;&lt;periodical&gt;&lt;full-title&gt;Environmental science &amp;amp; technology&lt;/full-title&gt;&lt;/periodical&gt;&lt;pages&gt;2871-2877&lt;/pages&gt;&lt;volume&gt;45&lt;/volume&gt;&lt;number&gt;7&lt;/number&gt;&lt;dates&gt;&lt;year&gt;2011&lt;/year&gt;&lt;/dates&gt;&lt;isbn&gt;0013-936X&lt;/isbn&gt;&lt;urls&gt;&lt;/urls&gt;&lt;/record&gt;&lt;/Cite&gt;&lt;/EndNote&gt;</w:instrText>
      </w:r>
      <w:r w:rsidR="00C91BF5">
        <w:rPr>
          <w:lang w:val="en-AU" w:eastAsia="en-AU"/>
        </w:rPr>
        <w:fldChar w:fldCharType="separate"/>
      </w:r>
      <w:r w:rsidR="00B33845">
        <w:rPr>
          <w:noProof/>
          <w:lang w:val="en-AU" w:eastAsia="en-AU"/>
        </w:rPr>
        <w:t>(O’Brien et al., 2011b)</w:t>
      </w:r>
      <w:r w:rsidR="00C91BF5">
        <w:rPr>
          <w:lang w:val="en-AU" w:eastAsia="en-AU"/>
        </w:rPr>
        <w:fldChar w:fldCharType="end"/>
      </w:r>
      <w:r>
        <w:rPr>
          <w:lang w:val="en-AU" w:eastAsia="en-AU"/>
        </w:rPr>
        <w:t>. The effect of salinity on a hypothetical calculation of water conce</w:t>
      </w:r>
      <w:r w:rsidR="00FF0A36">
        <w:rPr>
          <w:lang w:val="en-AU" w:eastAsia="en-AU"/>
        </w:rPr>
        <w:t>ntration from an ED</w:t>
      </w:r>
      <w:r>
        <w:rPr>
          <w:lang w:val="en-AU" w:eastAsia="en-AU"/>
        </w:rPr>
        <w:t xml:space="preserve"> found that a change in salinity from 5</w:t>
      </w:r>
      <w:r w:rsidR="0061135A">
        <w:rPr>
          <w:lang w:val="en-AU" w:eastAsia="en-AU"/>
        </w:rPr>
        <w:t> </w:t>
      </w:r>
      <w:r>
        <w:rPr>
          <w:lang w:val="en-AU" w:eastAsia="en-AU"/>
        </w:rPr>
        <w:t>g</w:t>
      </w:r>
      <w:r w:rsidR="0061135A">
        <w:rPr>
          <w:lang w:val="en-AU" w:eastAsia="en-AU"/>
        </w:rPr>
        <w:t> </w:t>
      </w:r>
      <w:r>
        <w:rPr>
          <w:lang w:val="en-AU" w:eastAsia="en-AU"/>
        </w:rPr>
        <w:t>L</w:t>
      </w:r>
      <w:r w:rsidR="00A209AA" w:rsidRPr="00A209AA">
        <w:rPr>
          <w:vertAlign w:val="superscript"/>
          <w:lang w:val="en-AU" w:eastAsia="en-AU"/>
        </w:rPr>
        <w:noBreakHyphen/>
        <w:t>1</w:t>
      </w:r>
      <w:r>
        <w:rPr>
          <w:lang w:val="en-AU" w:eastAsia="en-AU"/>
        </w:rPr>
        <w:t xml:space="preserve"> (freshwater) to 35</w:t>
      </w:r>
      <w:r w:rsidR="0061135A">
        <w:rPr>
          <w:lang w:val="en-AU" w:eastAsia="en-AU"/>
        </w:rPr>
        <w:t> </w:t>
      </w:r>
      <w:r>
        <w:rPr>
          <w:lang w:val="en-AU" w:eastAsia="en-AU"/>
        </w:rPr>
        <w:t>g</w:t>
      </w:r>
      <w:r w:rsidR="0061135A">
        <w:rPr>
          <w:lang w:val="en-AU" w:eastAsia="en-AU"/>
        </w:rPr>
        <w:t> </w:t>
      </w:r>
      <w:r>
        <w:rPr>
          <w:lang w:val="en-AU" w:eastAsia="en-AU"/>
        </w:rPr>
        <w:t>L</w:t>
      </w:r>
      <w:r w:rsidR="00A209AA" w:rsidRPr="00A209AA">
        <w:rPr>
          <w:vertAlign w:val="superscript"/>
          <w:lang w:val="en-AU" w:eastAsia="en-AU"/>
        </w:rPr>
        <w:noBreakHyphen/>
        <w:t>1</w:t>
      </w:r>
      <w:r>
        <w:rPr>
          <w:lang w:val="en-AU" w:eastAsia="en-AU"/>
        </w:rPr>
        <w:t xml:space="preserve"> (marine water) did not change the estimated flow rate (to two significant figures) under either low or high dissolution rate conditions. The effect of water temperature on the dissolution of the PFM is not well understood, but as water temperature remains relatively constant betw</w:t>
      </w:r>
      <w:r w:rsidR="00E31255">
        <w:rPr>
          <w:lang w:val="en-AU" w:eastAsia="en-AU"/>
        </w:rPr>
        <w:t>een the wet and dry seasons (20-</w:t>
      </w:r>
      <w:r w:rsidR="00330611">
        <w:rPr>
          <w:lang w:val="en-AU" w:eastAsia="en-AU"/>
        </w:rPr>
        <w:t>25</w:t>
      </w:r>
      <w:r w:rsidR="00FF0A36">
        <w:rPr>
          <w:rFonts w:cs="Arial"/>
          <w:lang w:val="en-AU" w:eastAsia="en-AU"/>
        </w:rPr>
        <w:t>°</w:t>
      </w:r>
      <w:r w:rsidR="00FF0A36">
        <w:rPr>
          <w:lang w:val="en-AU" w:eastAsia="en-AU"/>
        </w:rPr>
        <w:t>C</w:t>
      </w:r>
      <w:r>
        <w:rPr>
          <w:lang w:val="en-AU" w:eastAsia="en-AU"/>
        </w:rPr>
        <w:t>) it is assumed to have a negligible effect.</w:t>
      </w:r>
    </w:p>
    <w:p w14:paraId="200E1161" w14:textId="77777777" w:rsidR="0059608E" w:rsidRDefault="0059608E" w:rsidP="002439C8">
      <w:pPr>
        <w:spacing w:line="276" w:lineRule="auto"/>
        <w:jc w:val="left"/>
        <w:rPr>
          <w:lang w:val="en-AU" w:eastAsia="en-AU"/>
        </w:rPr>
      </w:pPr>
    </w:p>
    <w:p w14:paraId="56BD7D6B" w14:textId="77777777" w:rsidR="0059608E" w:rsidRDefault="0059608E" w:rsidP="002439C8">
      <w:pPr>
        <w:spacing w:line="276" w:lineRule="auto"/>
        <w:jc w:val="left"/>
        <w:rPr>
          <w:lang w:val="en-AU" w:eastAsia="en-AU"/>
        </w:rPr>
      </w:pPr>
      <w:r>
        <w:rPr>
          <w:lang w:val="en-AU" w:eastAsia="en-AU"/>
        </w:rPr>
        <w:t xml:space="preserve">Replicate PFMs are deployed at each passive sampler site, and the mass lost per day is used to estimate the sampling rate of chemicals. Normalised difference percentages between duplicate PFMs deployed at each site this monitoring year ranged between &lt;1 and </w:t>
      </w:r>
      <w:r w:rsidR="00077EDA">
        <w:rPr>
          <w:lang w:val="en-AU" w:eastAsia="en-AU"/>
        </w:rPr>
        <w:t>3</w:t>
      </w:r>
      <w:r w:rsidR="00ED7DD8">
        <w:rPr>
          <w:lang w:val="en-AU" w:eastAsia="en-AU"/>
        </w:rPr>
        <w:t>2%</w:t>
      </w:r>
      <w:r>
        <w:rPr>
          <w:lang w:val="en-AU" w:eastAsia="en-AU"/>
        </w:rPr>
        <w:t xml:space="preserve"> (mean of </w:t>
      </w:r>
      <w:r w:rsidR="00077EDA">
        <w:rPr>
          <w:lang w:val="en-AU" w:eastAsia="en-AU"/>
        </w:rPr>
        <w:t>9.8</w:t>
      </w:r>
      <w:r w:rsidR="00ED7DD8">
        <w:rPr>
          <w:lang w:val="en-AU" w:eastAsia="en-AU"/>
        </w:rPr>
        <w:t>%</w:t>
      </w:r>
      <w:r>
        <w:rPr>
          <w:lang w:val="en-AU" w:eastAsia="en-AU"/>
        </w:rPr>
        <w:t xml:space="preserve">), showing good agreement (this excludes </w:t>
      </w:r>
      <w:r w:rsidR="00077EDA">
        <w:rPr>
          <w:lang w:val="en-AU" w:eastAsia="en-AU"/>
        </w:rPr>
        <w:t>26</w:t>
      </w:r>
      <w:r>
        <w:rPr>
          <w:lang w:val="en-AU" w:eastAsia="en-AU"/>
        </w:rPr>
        <w:t xml:space="preserve"> sampler</w:t>
      </w:r>
      <w:r w:rsidR="00330611">
        <w:rPr>
          <w:lang w:val="en-AU" w:eastAsia="en-AU"/>
        </w:rPr>
        <w:t>-</w:t>
      </w:r>
      <w:r>
        <w:rPr>
          <w:lang w:val="en-AU" w:eastAsia="en-AU"/>
        </w:rPr>
        <w:t xml:space="preserve">sets where PFM duplicates were both empty upon retrieval). </w:t>
      </w:r>
    </w:p>
    <w:p w14:paraId="3E816124" w14:textId="77777777" w:rsidR="0059608E" w:rsidRDefault="0059608E" w:rsidP="002439C8">
      <w:pPr>
        <w:spacing w:line="276" w:lineRule="auto"/>
        <w:jc w:val="left"/>
        <w:rPr>
          <w:lang w:val="en-AU" w:eastAsia="en-AU"/>
        </w:rPr>
      </w:pPr>
    </w:p>
    <w:p w14:paraId="047871CE" w14:textId="36D25A72" w:rsidR="0059608E" w:rsidRDefault="0059608E" w:rsidP="002439C8">
      <w:pPr>
        <w:spacing w:line="276" w:lineRule="auto"/>
        <w:jc w:val="left"/>
        <w:rPr>
          <w:lang w:val="en-AU"/>
        </w:rPr>
      </w:pPr>
      <w:r w:rsidRPr="008324EB">
        <w:rPr>
          <w:lang w:val="en-AU"/>
        </w:rPr>
        <w:t xml:space="preserve">Duplicate </w:t>
      </w:r>
      <w:r w:rsidR="003664EA">
        <w:rPr>
          <w:lang w:val="en-AU"/>
        </w:rPr>
        <w:t>EDs</w:t>
      </w:r>
      <w:r w:rsidRPr="008324EB">
        <w:rPr>
          <w:lang w:val="en-AU"/>
        </w:rPr>
        <w:t xml:space="preserve"> are </w:t>
      </w:r>
      <w:r w:rsidR="008324EB" w:rsidRPr="008324EB">
        <w:rPr>
          <w:lang w:val="en-AU"/>
        </w:rPr>
        <w:t xml:space="preserve">deployed at each sampling site. </w:t>
      </w:r>
      <w:r w:rsidR="008324EB">
        <w:rPr>
          <w:lang w:val="en-AU"/>
        </w:rPr>
        <w:t>One</w:t>
      </w:r>
      <w:r w:rsidR="008324EB" w:rsidRPr="008324EB">
        <w:rPr>
          <w:lang w:val="en-AU"/>
        </w:rPr>
        <w:t xml:space="preserve"> duplicate sampler </w:t>
      </w:r>
      <w:r w:rsidR="008324EB">
        <w:rPr>
          <w:lang w:val="en-AU"/>
        </w:rPr>
        <w:t xml:space="preserve">is </w:t>
      </w:r>
      <w:r w:rsidR="008324EB" w:rsidRPr="008324EB">
        <w:rPr>
          <w:lang w:val="en-AU"/>
        </w:rPr>
        <w:t xml:space="preserve">analysed </w:t>
      </w:r>
      <w:r w:rsidR="008324EB">
        <w:rPr>
          <w:lang w:val="en-AU"/>
        </w:rPr>
        <w:t>for a</w:t>
      </w:r>
      <w:r w:rsidRPr="008324EB">
        <w:rPr>
          <w:lang w:val="en-AU"/>
        </w:rPr>
        <w:t xml:space="preserve">pproximately every 10 samples to determine the variability in the overall performance (chemical uptake) of the </w:t>
      </w:r>
      <w:r w:rsidR="003664EA">
        <w:rPr>
          <w:lang w:val="en-AU"/>
        </w:rPr>
        <w:t>EDs</w:t>
      </w:r>
      <w:r w:rsidRPr="008324EB">
        <w:rPr>
          <w:lang w:val="en-AU"/>
        </w:rPr>
        <w:t xml:space="preserve"> (</w:t>
      </w:r>
      <w:r w:rsidR="00C91BF5">
        <w:rPr>
          <w:lang w:val="en-AU"/>
        </w:rPr>
        <w:fldChar w:fldCharType="begin"/>
      </w:r>
      <w:r w:rsidR="005B06AA">
        <w:rPr>
          <w:lang w:val="en-AU"/>
        </w:rPr>
        <w:instrText xml:space="preserve"> REF _Ref480726609 \h </w:instrText>
      </w:r>
      <w:r w:rsidR="002439C8">
        <w:rPr>
          <w:lang w:val="en-AU"/>
        </w:rPr>
        <w:instrText xml:space="preserve"> \* MERGEFORMAT </w:instrText>
      </w:r>
      <w:r w:rsidR="00C91BF5">
        <w:rPr>
          <w:lang w:val="en-AU"/>
        </w:rPr>
      </w:r>
      <w:r w:rsidR="00C91BF5">
        <w:rPr>
          <w:lang w:val="en-AU"/>
        </w:rPr>
        <w:fldChar w:fldCharType="separate"/>
      </w:r>
      <w:r w:rsidR="00251B46">
        <w:t xml:space="preserve">Table </w:t>
      </w:r>
      <w:r w:rsidR="00251B46">
        <w:rPr>
          <w:noProof/>
        </w:rPr>
        <w:t>A</w:t>
      </w:r>
      <w:r w:rsidR="00251B46">
        <w:rPr>
          <w:noProof/>
        </w:rPr>
        <w:noBreakHyphen/>
        <w:t>1</w:t>
      </w:r>
      <w:r w:rsidR="00C91BF5">
        <w:rPr>
          <w:lang w:val="en-AU"/>
        </w:rPr>
        <w:fldChar w:fldCharType="end"/>
      </w:r>
      <w:r w:rsidRPr="003664EA">
        <w:rPr>
          <w:lang w:val="en-AU"/>
        </w:rPr>
        <w:t>).</w:t>
      </w:r>
      <w:r w:rsidR="00077EDA">
        <w:rPr>
          <w:lang w:val="en-AU"/>
        </w:rPr>
        <w:t xml:space="preserve"> This monitoring year, </w:t>
      </w:r>
      <w:r w:rsidR="004E116F">
        <w:rPr>
          <w:lang w:val="en-AU"/>
        </w:rPr>
        <w:t>24</w:t>
      </w:r>
      <w:r w:rsidR="004E116F" w:rsidRPr="008324EB">
        <w:rPr>
          <w:lang w:val="en-AU"/>
        </w:rPr>
        <w:t xml:space="preserve"> </w:t>
      </w:r>
      <w:r w:rsidRPr="008324EB">
        <w:rPr>
          <w:lang w:val="en-AU"/>
        </w:rPr>
        <w:t xml:space="preserve">ED sampler sets were analysed in duplicate, </w:t>
      </w:r>
      <w:r w:rsidR="004E116F">
        <w:rPr>
          <w:lang w:val="en-AU"/>
        </w:rPr>
        <w:t>and four grab samples were also analysed in duplicate (results combined). There were 284</w:t>
      </w:r>
      <w:r w:rsidRPr="008324EB">
        <w:rPr>
          <w:lang w:val="en-AU"/>
        </w:rPr>
        <w:t xml:space="preserve"> </w:t>
      </w:r>
      <w:r w:rsidR="004E116F">
        <w:rPr>
          <w:lang w:val="en-AU"/>
        </w:rPr>
        <w:t>pesticide</w:t>
      </w:r>
      <w:r w:rsidR="004E116F" w:rsidRPr="008324EB">
        <w:rPr>
          <w:lang w:val="en-AU"/>
        </w:rPr>
        <w:t xml:space="preserve"> </w:t>
      </w:r>
      <w:r w:rsidRPr="008324EB">
        <w:rPr>
          <w:lang w:val="en-AU"/>
        </w:rPr>
        <w:t xml:space="preserve">detections in both duplicates and </w:t>
      </w:r>
      <w:r w:rsidR="00ED7DD8" w:rsidRPr="008324EB">
        <w:rPr>
          <w:lang w:val="en-AU"/>
        </w:rPr>
        <w:t>2</w:t>
      </w:r>
      <w:r w:rsidR="00077EDA">
        <w:rPr>
          <w:lang w:val="en-AU"/>
        </w:rPr>
        <w:t>4</w:t>
      </w:r>
      <w:r w:rsidR="00ED7DD8" w:rsidRPr="008324EB">
        <w:rPr>
          <w:lang w:val="en-AU"/>
        </w:rPr>
        <w:t xml:space="preserve"> </w:t>
      </w:r>
      <w:r w:rsidRPr="008324EB">
        <w:rPr>
          <w:lang w:val="en-AU"/>
        </w:rPr>
        <w:t xml:space="preserve">herbicide detections in only one of the duplicates. Mean coefficients of variation (%CVs) for chemicals (which includes detections in both duplicates only) ranged from </w:t>
      </w:r>
      <w:r w:rsidR="004E116F">
        <w:rPr>
          <w:lang w:val="en-AU"/>
        </w:rPr>
        <w:t>3.3</w:t>
      </w:r>
      <w:r w:rsidR="00ED7DD8" w:rsidRPr="008324EB">
        <w:rPr>
          <w:lang w:val="en-AU"/>
        </w:rPr>
        <w:t xml:space="preserve">% </w:t>
      </w:r>
      <w:r w:rsidR="00ED7DD8" w:rsidRPr="003664EA">
        <w:rPr>
          <w:lang w:val="en-AU"/>
        </w:rPr>
        <w:t>(</w:t>
      </w:r>
      <w:r w:rsidR="004E116F">
        <w:rPr>
          <w:lang w:val="en-AU"/>
        </w:rPr>
        <w:t>terbutryn; however only one duplicate detection</w:t>
      </w:r>
      <w:r w:rsidR="00ED7DD8" w:rsidRPr="008324EB">
        <w:rPr>
          <w:lang w:val="en-AU"/>
        </w:rPr>
        <w:t xml:space="preserve">) to </w:t>
      </w:r>
      <w:r w:rsidR="004E116F">
        <w:rPr>
          <w:lang w:val="en-AU"/>
        </w:rPr>
        <w:t>55</w:t>
      </w:r>
      <w:r w:rsidRPr="008324EB">
        <w:rPr>
          <w:lang w:val="en-AU"/>
        </w:rPr>
        <w:t>% (</w:t>
      </w:r>
      <w:r w:rsidR="004E116F">
        <w:rPr>
          <w:lang w:val="en-AU"/>
        </w:rPr>
        <w:t>fluazifop; also only one duplicate detection</w:t>
      </w:r>
      <w:r w:rsidRPr="008324EB">
        <w:rPr>
          <w:lang w:val="en-AU"/>
        </w:rPr>
        <w:t xml:space="preserve">). Variability </w:t>
      </w:r>
      <w:r w:rsidR="004E116F">
        <w:rPr>
          <w:lang w:val="en-AU"/>
        </w:rPr>
        <w:t>for the most frequently detected pesticides (diuron, atrazine, hexazinone) were 26%, 22% and 24% respectively</w:t>
      </w:r>
      <w:r w:rsidR="00E866FF">
        <w:rPr>
          <w:lang w:val="en-AU"/>
        </w:rPr>
        <w:t>, similar to the previous monitoring year (20%, 23% and 23%)</w:t>
      </w:r>
      <w:r w:rsidR="004E116F">
        <w:rPr>
          <w:lang w:val="en-AU"/>
        </w:rPr>
        <w:t>.</w:t>
      </w:r>
      <w:r>
        <w:rPr>
          <w:lang w:val="en-AU"/>
        </w:rPr>
        <w:t xml:space="preserve"> </w:t>
      </w:r>
    </w:p>
    <w:p w14:paraId="1BB2A981" w14:textId="77777777" w:rsidR="0059608E" w:rsidRDefault="0059608E" w:rsidP="002439C8">
      <w:pPr>
        <w:spacing w:line="276" w:lineRule="auto"/>
        <w:jc w:val="left"/>
        <w:rPr>
          <w:lang w:val="en-AU" w:eastAsia="en-AU"/>
        </w:rPr>
      </w:pPr>
    </w:p>
    <w:p w14:paraId="301D8026" w14:textId="0F99E368" w:rsidR="0059608E" w:rsidRDefault="0059608E" w:rsidP="002439C8">
      <w:pPr>
        <w:spacing w:line="276" w:lineRule="auto"/>
        <w:jc w:val="left"/>
        <w:rPr>
          <w:lang w:val="en-AU"/>
        </w:rPr>
      </w:pPr>
      <w:r w:rsidRPr="00CB705A">
        <w:rPr>
          <w:lang w:val="en-AU"/>
        </w:rPr>
        <w:t>The objective of most passive sampling field studies is to derive</w:t>
      </w:r>
      <w:r>
        <w:rPr>
          <w:lang w:val="en-AU"/>
        </w:rPr>
        <w:t xml:space="preserve"> </w:t>
      </w:r>
      <w:r w:rsidRPr="00CB705A">
        <w:rPr>
          <w:lang w:val="en-AU"/>
        </w:rPr>
        <w:t>an accurate estimate of the concentration of pollutants present in</w:t>
      </w:r>
      <w:r>
        <w:rPr>
          <w:lang w:val="en-AU"/>
        </w:rPr>
        <w:t xml:space="preserve"> </w:t>
      </w:r>
      <w:r w:rsidRPr="00CB705A">
        <w:rPr>
          <w:lang w:val="en-AU"/>
        </w:rPr>
        <w:t>the environment. However, the environmental concentrations obtained</w:t>
      </w:r>
      <w:r>
        <w:rPr>
          <w:lang w:val="en-AU"/>
        </w:rPr>
        <w:t xml:space="preserve"> </w:t>
      </w:r>
      <w:r w:rsidRPr="00CB705A">
        <w:rPr>
          <w:lang w:val="en-AU"/>
        </w:rPr>
        <w:t>from passive sampling can only be accurate when appropriate</w:t>
      </w:r>
      <w:r>
        <w:rPr>
          <w:lang w:val="en-AU"/>
        </w:rPr>
        <w:t xml:space="preserve"> </w:t>
      </w:r>
      <w:r w:rsidRPr="00CB705A">
        <w:rPr>
          <w:lang w:val="en-AU"/>
        </w:rPr>
        <w:t>calibration data</w:t>
      </w:r>
      <w:r>
        <w:rPr>
          <w:lang w:val="en-AU"/>
        </w:rPr>
        <w:t xml:space="preserve"> (i.e. sampling or chemical uptake rates usually in units of L day</w:t>
      </w:r>
      <w:r w:rsidR="00A209AA" w:rsidRPr="00A209AA">
        <w:rPr>
          <w:vertAlign w:val="superscript"/>
          <w:lang w:val="en-AU"/>
        </w:rPr>
        <w:noBreakHyphen/>
        <w:t>1</w:t>
      </w:r>
      <w:r>
        <w:rPr>
          <w:lang w:val="en-AU"/>
        </w:rPr>
        <w:t xml:space="preserve">) </w:t>
      </w:r>
      <w:r w:rsidRPr="00CB705A">
        <w:rPr>
          <w:lang w:val="en-AU"/>
        </w:rPr>
        <w:t>is used to derive these values</w:t>
      </w:r>
      <w:r>
        <w:rPr>
          <w:lang w:val="en-AU"/>
        </w:rPr>
        <w:t xml:space="preserve">. Sampling rates are influenced by the prevailing conditions at a sampling site and include temperature, water flow and the degree of sampler biofouling, and cannot be easily predicted based on a chemical’s physico-chemical properties. </w:t>
      </w:r>
      <w:r w:rsidR="00242A5B">
        <w:rPr>
          <w:lang w:val="en-AU"/>
        </w:rPr>
        <w:t>Although</w:t>
      </w:r>
      <w:r>
        <w:rPr>
          <w:lang w:val="en-AU"/>
        </w:rPr>
        <w:t xml:space="preserve"> there is an ever-increasing amount of calibration data available for commonly detected anthropogenic chemicals, calibration data is still lacking, particularly for new and emerging chemicals. </w:t>
      </w:r>
    </w:p>
    <w:p w14:paraId="76C9F3D0" w14:textId="77777777" w:rsidR="0059608E" w:rsidRDefault="0059608E" w:rsidP="002439C8">
      <w:pPr>
        <w:spacing w:line="276" w:lineRule="auto"/>
        <w:jc w:val="left"/>
        <w:rPr>
          <w:lang w:val="en-AU"/>
        </w:rPr>
      </w:pPr>
    </w:p>
    <w:p w14:paraId="3C9B73BD" w14:textId="77777777" w:rsidR="0059608E" w:rsidRDefault="0059608E" w:rsidP="002439C8">
      <w:pPr>
        <w:spacing w:line="276" w:lineRule="auto"/>
        <w:jc w:val="left"/>
      </w:pPr>
      <w:r w:rsidRPr="00225C09">
        <w:rPr>
          <w:lang w:val="en-AU"/>
        </w:rPr>
        <w:t>The sampling rates (R</w:t>
      </w:r>
      <w:r w:rsidRPr="002A4CF4">
        <w:rPr>
          <w:vertAlign w:val="subscript"/>
          <w:lang w:val="en-AU"/>
        </w:rPr>
        <w:t>s</w:t>
      </w:r>
      <w:r w:rsidRPr="00225C09">
        <w:rPr>
          <w:lang w:val="en-AU"/>
        </w:rPr>
        <w:t xml:space="preserve">) of many polar chemicals </w:t>
      </w:r>
      <w:r>
        <w:rPr>
          <w:lang w:val="en-AU"/>
        </w:rPr>
        <w:t xml:space="preserve">relevant to the Reef </w:t>
      </w:r>
      <w:r w:rsidRPr="00225C09">
        <w:rPr>
          <w:lang w:val="en-AU"/>
        </w:rPr>
        <w:t xml:space="preserve">have been reported in both field and laboratory calibration experiments throughout the literature </w:t>
      </w:r>
      <w:r w:rsidR="00C91BF5">
        <w:rPr>
          <w:lang w:val="en-AU"/>
        </w:rPr>
        <w:fldChar w:fldCharType="begin">
          <w:fldData xml:space="preserve">PEVuZE5vdGU+PENpdGU+PEF1dGhvcj5TaGF3PC9BdXRob3I+PFllYXI+MjAwOTwvWWVhcj48UmVj
TnVtPjc1PC9SZWNOdW0+PERpc3BsYXlUZXh0PihCb29paiBldCBhbC4sIDIwMDI7IEthc2Vyem9u
IGV0IGFsLiwgMjAxNDsgT+KAmUJyaWVuIGV0IGFsLiwgMjAxMWE7IFNoYXcgZXQgYWwuLCAyMDA5
OyBTaGF3IGFuZCBNdWVsbGVyLCAyMDA5OyBTdGVwaGVucyBldCBhbC4sIDIwMDU7IFN0ZXBoZW5z
IGV0IGFsLiwgMjAwOTsgVmVybWVpcnNzZW4gZXQgYWwuLCAyMDA5KTwvRGlzcGxheVRleHQ+PHJl
Y29yZD48cmVjLW51bWJlcj43NTwvcmVjLW51bWJlcj48Zm9yZWlnbi1rZXlzPjxrZXkgYXBwPSJF
TiIgZGItaWQ9Inh0cHZwd3owdWZ4YTJtZTV0djZ2MnBybjJlejVwOWF0c3Z0ciIgdGltZXN0YW1w
PSIxNTM5MTQ0OTQ1Ij43NTwva2V5PjwvZm9yZWlnbi1rZXlzPjxyZWYtdHlwZSBuYW1lPSJKb3Vy
bmFsIEFydGljbGUiPjE3PC9yZWYtdHlwZT48Y29udHJpYnV0b3JzPjxhdXRob3JzPjxhdXRob3I+
U2hhdywgTWVsYW5pZTwvYXV0aG9yPjxhdXRob3I+TXVlbGxlciwgSm9jaGVuIEYuPC9hdXRob3I+
PC9hdXRob3JzPjwvY29udHJpYnV0b3JzPjx0aXRsZXM+PHRpdGxlPlRpbWUgSW50ZWdyYXRpdmUg
UGFzc2l2ZSBTYW1wbGluZzogSG93IFdlbGwgRG8gQ2hlbWNhdGNoZXJzIEludGVncmF0ZSBGbHVj
dHVhdGluZyBQb2xsdXRhbnQgQ29uY2VudHJhdGlvbnM/PC90aXRsZT48c2Vjb25kYXJ5LXRpdGxl
PkVudmlyb25tZW50YWwgU2NpZW5jZSAmYW1wOyBUZWNobm9sb2d5PC9zZWNvbmRhcnktdGl0bGU+
PC90aXRsZXM+PHBlcmlvZGljYWw+PGZ1bGwtdGl0bGU+RW52aXJvbm1lbnRhbCBzY2llbmNlICZh
bXA7IHRlY2hub2xvZ3k8L2Z1bGwtdGl0bGU+PC9wZXJpb2RpY2FsPjxwYWdlcz4xNDQzLTE0NDg8
L3BhZ2VzPjx2b2x1bWU+NDM8L3ZvbHVtZT48bnVtYmVyPjU8L251bWJlcj48ZGF0ZXM+PHllYXI+
MjAwOTwveWVhcj48cHViLWRhdGVzPjxkYXRlPjIwMDkvMDMvMDE8L2RhdGU+PC9wdWItZGF0ZXM+
PC9kYXRlcz48cHVibGlzaGVyPkFtZXJpY2FuIENoZW1pY2FsIFNvY2lldHk8L3B1Ymxpc2hlcj48
aXNibj4wMDEzLTkzNlg8L2lzYm4+PHVybHM+PHJlbGF0ZWQtdXJscz48dXJsPmh0dHA6Ly9keC5k
b2kub3JnLzEwLjEwMjEvZXM4MDIxNDQ2PC91cmw+PC9yZWxhdGVkLXVybHM+PC91cmxzPjxlbGVj
dHJvbmljLXJlc291cmNlLW51bT4xMC4xMDIxL2VzODAyMTQ0NjwvZWxlY3Ryb25pYy1yZXNvdXJj
ZS1udW0+PC9yZWNvcmQ+PC9DaXRlPjxDaXRlPjxBdXRob3I+U2hhdzwvQXV0aG9yPjxZZWFyPjIw
MDk8L1llYXI+PFJlY051bT43NjwvUmVjTnVtPjxyZWNvcmQ+PHJlYy1udW1iZXI+NzY8L3JlYy1u
dW1iZXI+PGZvcmVpZ24ta2V5cz48a2V5IGFwcD0iRU4iIGRiLWlkPSJ4dHB2cHd6MHVmeGEybWU1
dHY2djJwcm4yZXo1cDlhdHN2dHIiIHRpbWVzdGFtcD0iMTUzOTE0NDk0NSI+NzY8L2tleT48L2Zv
cmVpZ24ta2V5cz48cmVmLXR5cGUgbmFtZT0iSm91cm5hbCBBcnRpY2xlIj4xNzwvcmVmLXR5cGU+
PGNvbnRyaWJ1dG9ycz48YXV0aG9ycz48YXV0aG9yPlNoYXcsIE1lbGFuaWU8L2F1dGhvcj48YXV0
aG9yPkVhZ2xlc2hhbSwgR2VvZmY8L2F1dGhvcj48YXV0aG9yPk11ZWxsZXIsIEpvY2hlbiBGPC9h
dXRob3I+PC9hdXRob3JzPjwvY29udHJpYnV0b3JzPjx0aXRsZXM+PHRpdGxlPlVwdGFrZSBhbmQg
cmVsZWFzZSBvZiBwb2xhciBjb21wb3VuZHMgaW4gU0RCLVJQUyBFbXBvcmXihKIgZGlza3M7IGlt
cGxpY2F0aW9ucyBmb3IgdGhlaXIgdXNlIGFzIHBhc3NpdmUgc2FtcGxlcnM8L3RpdGxlPjxzZWNv
bmRhcnktdGl0bGU+Q2hlbW9zcGhlcmU8L3NlY29uZGFyeS10aXRsZT48L3RpdGxlcz48cGVyaW9k
aWNhbD48ZnVsbC10aXRsZT5DaGVtb3NwaGVyZTwvZnVsbC10aXRsZT48L3BlcmlvZGljYWw+PHBh
Z2VzPjEtNzwvcGFnZXM+PHZvbHVtZT43NTwvdm9sdW1lPjxudW1iZXI+MTwvbnVtYmVyPjxkYXRl
cz48eWVhcj4yMDA5PC95ZWFyPjwvZGF0ZXM+PGlzYm4+MDA0NS02NTM1PC9pc2JuPjx1cmxzPjwv
dXJscz48L3JlY29yZD48L0NpdGU+PENpdGU+PEF1dGhvcj5TdGVwaGVuczwvQXV0aG9yPjxZZWFy
PjIwMDk8L1llYXI+PFJlY051bT43NzwvUmVjTnVtPjxyZWNvcmQ+PHJlYy1udW1iZXI+Nzc8L3Jl
Yy1udW1iZXI+PGZvcmVpZ24ta2V5cz48a2V5IGFwcD0iRU4iIGRiLWlkPSJ4dHB2cHd6MHVmeGEy
bWU1dHY2djJwcm4yZXo1cDlhdHN2dHIiIHRpbWVzdGFtcD0iMTUzOTE0NDk0NSI+Nzc8L2tleT48
L2ZvcmVpZ24ta2V5cz48cmVmLXR5cGUgbmFtZT0iSm91cm5hbCBBcnRpY2xlIj4xNzwvcmVmLXR5
cGU+PGNvbnRyaWJ1dG9ycz48YXV0aG9ycz48YXV0aG9yPlN0ZXBoZW5zLCBCIFNjb3R0PC9hdXRo
b3I+PGF1dGhvcj5LYXBlcm5pY2ssIEFuaXRhIFA8L2F1dGhvcj48YXV0aG9yPkVhZ2xlc2hhbSwg
R2VvZmY8L2F1dGhvcj48YXV0aG9yPk11ZWxsZXIsIEpvY2hlbiBGPC9hdXRob3I+PC9hdXRob3Jz
PjwvY29udHJpYnV0b3JzPjx0aXRsZXM+PHRpdGxlPkV2ZW50IG1vbml0b3Jpbmcgb2YgaGVyYmlj
aWRlcyB3aXRoIG5ha2VkIGFuZCBtZW1icmFuZS1jb3ZlcmVkIEVtcG9yZSBkaXNrIGludGVncmF0
aXZlIHBhc3NpdmUgc2FtcGxpbmcgZGV2aWNlczwvdGl0bGU+PHNlY29uZGFyeS10aXRsZT5NYXJp
bmUgcG9sbHV0aW9uIGJ1bGxldGluPC9zZWNvbmRhcnktdGl0bGU+PC90aXRsZXM+PHBlcmlvZGlj
YWw+PGZ1bGwtdGl0bGU+TWFyaW5lIHBvbGx1dGlvbiBidWxsZXRpbjwvZnVsbC10aXRsZT48L3Bl
cmlvZGljYWw+PHBhZ2VzPjExMTYtMTEyMjwvcGFnZXM+PHZvbHVtZT41ODwvdm9sdW1lPjxudW1i
ZXI+ODwvbnVtYmVyPjxkYXRlcz48eWVhcj4yMDA5PC95ZWFyPjwvZGF0ZXM+PGlzYm4+MDAyNS0z
MjZYPC9pc2JuPjx1cmxzPjwvdXJscz48L3JlY29yZD48L0NpdGU+PENpdGU+PEF1dGhvcj5TdGVw
aGVuczwvQXV0aG9yPjxZZWFyPjIwMDU8L1llYXI+PFJlY051bT43ODwvUmVjTnVtPjxyZWNvcmQ+
PHJlYy1udW1iZXI+Nzg8L3JlYy1udW1iZXI+PGZvcmVpZ24ta2V5cz48a2V5IGFwcD0iRU4iIGRi
LWlkPSJ4dHB2cHd6MHVmeGEybWU1dHY2djJwcm4yZXo1cDlhdHN2dHIiIHRpbWVzdGFtcD0iMTUz
OTE0NDk0NSI+Nzg8L2tleT48L2ZvcmVpZ24ta2V5cz48cmVmLXR5cGUgbmFtZT0iSm91cm5hbCBB
cnRpY2xlIj4xNzwvcmVmLXR5cGU+PGNvbnRyaWJ1dG9ycz48YXV0aG9ycz48YXV0aG9yPlN0ZXBo
ZW5zLCBCIFNjb3R0PC9hdXRob3I+PGF1dGhvcj5LYXBlcm5pY2ssIEFuaXRhPC9hdXRob3I+PGF1
dGhvcj5FYWdsZXNoYW0sIEdlb2ZmPC9hdXRob3I+PGF1dGhvcj5NdWVsbGVyLCBKb2NoZW48L2F1
dGhvcj48L2F1dGhvcnM+PC9jb250cmlidXRvcnM+PHRpdGxlcz48dGl0bGU+QXF1YXRpYyBwYXNz
aXZlIHNhbXBsaW5nIG9mIGhlcmJpY2lkZXMgb24gbmFrZWQgcGFydGljbGUgbG9hZGVkIG1lbWJy
YW5lczogYWNjZWxlcmF0ZWQgbWVhc3VyZW1lbnQgYW5kIGVtcGlyaWNhbCBlc3RpbWF0aW9uIG9m
IGtpbmV0aWMgcGFyYW1ldGVyczwvdGl0bGU+PHNlY29uZGFyeS10aXRsZT5FbnZpcm9ubWVudGFs
IHNjaWVuY2UgJmFtcDsgdGVjaG5vbG9neTwvc2Vjb25kYXJ5LXRpdGxlPjwvdGl0bGVzPjxwZXJp
b2RpY2FsPjxmdWxsLXRpdGxlPkVudmlyb25tZW50YWwgc2NpZW5jZSAmYW1wOyB0ZWNobm9sb2d5
PC9mdWxsLXRpdGxlPjwvcGVyaW9kaWNhbD48cGFnZXM+ODg5MS04ODk3PC9wYWdlcz48dm9sdW1l
PjM5PC92b2x1bWU+PG51bWJlcj4yMjwvbnVtYmVyPjxkYXRlcz48eWVhcj4yMDA1PC95ZWFyPjwv
ZGF0ZXM+PGlzYm4+MDAxMy05MzZYPC9pc2JuPjx1cmxzPjwvdXJscz48L3JlY29yZD48L0NpdGU+
PENpdGU+PEF1dGhvcj5Cb29pajwvQXV0aG9yPjxZZWFyPjIwMDI8L1llYXI+PFJlY051bT43OTwv
UmVjTnVtPjxyZWNvcmQ+PHJlYy1udW1iZXI+Nzk8L3JlYy1udW1iZXI+PGZvcmVpZ24ta2V5cz48
a2V5IGFwcD0iRU4iIGRiLWlkPSJ4dHB2cHd6MHVmeGEybWU1dHY2djJwcm4yZXo1cDlhdHN2dHIi
IHRpbWVzdGFtcD0iMTUzOTE0NDk0NSI+Nzk8L2tleT48L2ZvcmVpZ24ta2V5cz48cmVmLXR5cGUg
bmFtZT0iSm91cm5hbCBBcnRpY2xlIj4xNzwvcmVmLXR5cGU+PGNvbnRyaWJ1dG9ycz48YXV0aG9y
cz48YXV0aG9yPkJvb2lqLCBLZWVzPC9hdXRob3I+PGF1dGhvcj5TbWVkZXMsIEZvcHBlPC9hdXRo
b3I+PGF1dGhvcj5WYW4gV2VlcmxlZSwgRXZhbGluZSBNPC9hdXRob3I+PC9hdXRob3JzPjwvY29u
dHJpYnV0b3JzPjx0aXRsZXM+PHRpdGxlPlNwaWtpbmcgb2YgcGVyZm9ybWFuY2UgcmVmZXJlbmNl
IGNvbXBvdW5kcyBpbiBsb3cgZGVuc2l0eSBwb2x5ZXRoeWxlbmUgYW5kIHNpbGljb25lIHBhc3Np
dmUgd2F0ZXIgc2FtcGxlcnM8L3RpdGxlPjxzZWNvbmRhcnktdGl0bGU+Q2hlbW9zcGhlcmU8L3Nl
Y29uZGFyeS10aXRsZT48L3RpdGxlcz48cGVyaW9kaWNhbD48ZnVsbC10aXRsZT5DaGVtb3NwaGVy
ZTwvZnVsbC10aXRsZT48L3BlcmlvZGljYWw+PHBhZ2VzPjExNTctMTE2MTwvcGFnZXM+PHZvbHVt
ZT40Njwvdm9sdW1lPjxudW1iZXI+ODwvbnVtYmVyPjxkYXRlcz48eWVhcj4yMDAyPC95ZWFyPjwv
ZGF0ZXM+PGlzYm4+MDA0NS02NTM1PC9pc2JuPjx1cmxzPjwvdXJscz48L3JlY29yZD48L0NpdGU+
PENpdGU+PEF1dGhvcj5P4oCZQnJpZW48L0F1dGhvcj48WWVhcj4yMDExPC9ZZWFyPjxSZWNOdW0+
ODA8L1JlY051bT48cmVjb3JkPjxyZWMtbnVtYmVyPjgwPC9yZWMtbnVtYmVyPjxmb3JlaWduLWtl
eXM+PGtleSBhcHA9IkVOIiBkYi1pZD0ieHRwdnB3ejB1ZnhhMm1lNXR2NnYycHJuMmV6NXA5YXRz
dnRyIiB0aW1lc3RhbXA9IjE1MzkxNDQ5NDUiPjgwPC9rZXk+PC9mb3JlaWduLWtleXM+PHJlZi10
eXBlIG5hbWU9IkpvdXJuYWwgQXJ0aWNsZSI+MTc8L3JlZi10eXBlPjxjb250cmlidXRvcnM+PGF1
dGhvcnM+PGF1dGhvcj5P4oCZQnJpZW4sIERvbWluaXF1ZTwvYXV0aG9yPjxhdXRob3I+QmFydGtv
dywgTWljaGFlbDwvYXV0aG9yPjxhdXRob3I+TXVlbGxlciwgSm9jaGVuIEY8L2F1dGhvcj48L2F1
dGhvcnM+PC9jb250cmlidXRvcnM+PHRpdGxlcz48dGl0bGU+RGV0ZXJtaW5hdGlvbiBvZiBkZXBs
b3ltZW50IHNwZWNpZmljIGNoZW1pY2FsIHVwdGFrZSByYXRlcyBmb3IgU0RCLVJQRCBFbXBvcmUg
ZGlzayB1c2luZyBhIHBhc3NpdmUgZmxvdyBtb25pdG9yIChQRk0pPC90aXRsZT48c2Vjb25kYXJ5
LXRpdGxlPkNoZW1vc3BoZXJlPC9zZWNvbmRhcnktdGl0bGU+PC90aXRsZXM+PHBlcmlvZGljYWw+
PGZ1bGwtdGl0bGU+Q2hlbW9zcGhlcmU8L2Z1bGwtdGl0bGU+PC9wZXJpb2RpY2FsPjxwYWdlcz4x
MjkwLTEyOTU8L3BhZ2VzPjx2b2x1bWU+ODM8L3ZvbHVtZT48bnVtYmVyPjk8L251bWJlcj48ZGF0
ZXM+PHllYXI+MjAxMTwveWVhcj48L2RhdGVzPjxpc2JuPjAwNDUtNjUzNTwvaXNibj48dXJscz48
L3VybHM+PC9yZWNvcmQ+PC9DaXRlPjxDaXRlPjxBdXRob3I+VmVybWVpcnNzZW48L0F1dGhvcj48
WWVhcj4yMDA5PC9ZZWFyPjxSZWNOdW0+ODE8L1JlY051bT48cmVjb3JkPjxyZWMtbnVtYmVyPjgx
PC9yZWMtbnVtYmVyPjxmb3JlaWduLWtleXM+PGtleSBhcHA9IkVOIiBkYi1pZD0ieHRwdnB3ejB1
ZnhhMm1lNXR2NnYycHJuMmV6NXA5YXRzdnRyIiB0aW1lc3RhbXA9IjE1MzkxNDQ5NDUiPjgxPC9r
ZXk+PC9mb3JlaWduLWtleXM+PHJlZi10eXBlIG5hbWU9IkpvdXJuYWwgQXJ0aWNsZSI+MTc8L3Jl
Zi10eXBlPjxjb250cmlidXRvcnM+PGF1dGhvcnM+PGF1dGhvcj5WZXJtZWlyc3NlbiwgRXRpZW5u
ZSBMTTwvYXV0aG9yPjxhdXRob3I+QnJhbWF6LCBOYWRpbmU8L2F1dGhvcj48YXV0aG9yPkhvbGxl
bmRlciwgSnVsaWFuZTwvYXV0aG9yPjxhdXRob3I+U2luZ2VyLCBIZWluejwvYXV0aG9yPjxhdXRo
b3I+RXNjaGVyLCBCZWF0ZSBJPC9hdXRob3I+PC9hdXRob3JzPjwvY29udHJpYnV0b3JzPjx0aXRs
ZXM+PHRpdGxlPlBhc3NpdmUgc2FtcGxpbmcgY29tYmluZWQgd2l0aCBlY290b3hpY29sb2dpY2Fs
IGFuZCBjaGVtaWNhbCBhbmFseXNpcyBvZiBwaGFybWFjZXV0aWNhbHMgYW5kIGJpb2NpZGVz4oCT
ZXZhbHVhdGlvbiBvZiB0aHJlZSBDaGVtY2F0Y2hlcuKEoiBjb25maWd1cmF0aW9uczwvdGl0bGU+
PHNlY29uZGFyeS10aXRsZT5XYXRlciByZXNlYXJjaDwvc2Vjb25kYXJ5LXRpdGxlPjwvdGl0bGVz
PjxwZXJpb2RpY2FsPjxmdWxsLXRpdGxlPldhdGVyIHJlc2VhcmNoPC9mdWxsLXRpdGxlPjwvcGVy
aW9kaWNhbD48cGFnZXM+OTAzLTkxNDwvcGFnZXM+PHZvbHVtZT40Mzwvdm9sdW1lPjxudW1iZXI+
NDwvbnVtYmVyPjxkYXRlcz48eWVhcj4yMDA5PC95ZWFyPjwvZGF0ZXM+PGlzYm4+MDA0My0xMzU0
PC9pc2JuPjx1cmxzPjwvdXJscz48L3JlY29yZD48L0NpdGU+PENpdGU+PEF1dGhvcj5LYXNlcnpv
bjwvQXV0aG9yPjxZZWFyPjIwMTQ8L1llYXI+PFJlY051bT44MjwvUmVjTnVtPjxyZWNvcmQ+PHJl
Yy1udW1iZXI+ODI8L3JlYy1udW1iZXI+PGZvcmVpZ24ta2V5cz48a2V5IGFwcD0iRU4iIGRiLWlk
PSJ4dHB2cHd6MHVmeGEybWU1dHY2djJwcm4yZXo1cDlhdHN2dHIiIHRpbWVzdGFtcD0iMTUzOTE0
NDk0NSI+ODI8L2tleT48L2ZvcmVpZ24ta2V5cz48cmVmLXR5cGUgbmFtZT0iSm91cm5hbCBBcnRp
Y2xlIj4xNzwvcmVmLXR5cGU+PGNvbnRyaWJ1dG9ycz48YXV0aG9ycz48YXV0aG9yPkthc2Vyem9u
LCBTTDwvYXV0aG9yPjxhdXRob3I+SGF3a2VyLCBEYXJyeWwgV2lsbGlhbTwvYXV0aG9yPjxhdXRo
b3I+S2VubmVkeSwgSzwvYXV0aG9yPjxhdXRob3I+QmFydGtvdywgTTwvYXV0aG9yPjxhdXRob3I+
Q2FydGVyLCBTPC9hdXRob3I+PGF1dGhvcj5Cb29paiwgSzwvYXV0aG9yPjxhdXRob3I+TXVlbGxl
ciwgSkY8L2F1dGhvcj48L2F1dGhvcnM+PC9jb250cmlidXRvcnM+PHRpdGxlcz48dGl0bGU+Q2hh
cmFjdGVyaXNhdGlvbiBhbmQgY29tcGFyaXNvbiBvZiB0aGUgdXB0YWtlIG9mIGlvbml6YWJsZSBh
bmQgcG9sYXIgcGVzdGljaWRlcywgcGhhcm1hY2V1dGljYWxzIGFuZCBwZXJzb25hbCBjYXJlIHBy
b2R1Y3RzIGJ5IFBPQ0lTIGFuZCBDaGVtY2F0Y2hlcnM8L3RpdGxlPjxzZWNvbmRhcnktdGl0bGU+
RW52aXJvbm1lbnRhbCBTY2llbmNlOiBQcm9jZXNzZXMgJmFtcDsgSW1wYWN0czwvc2Vjb25kYXJ5
LXRpdGxlPjwvdGl0bGVzPjxwZXJpb2RpY2FsPjxmdWxsLXRpdGxlPkVudmlyb25tZW50YWwgU2Np
ZW5jZTogUHJvY2Vzc2VzICZhbXA7IEltcGFjdHM8L2Z1bGwtdGl0bGU+PC9wZXJpb2RpY2FsPjxw
YWdlcz4yNTE3LTI1MjY8L3BhZ2VzPjx2b2x1bWU+MTY8L3ZvbHVtZT48bnVtYmVyPjExPC9udW1i
ZXI+PGRhdGVzPjx5ZWFyPjIwMTQ8L3llYXI+PC9kYXRlcz48dXJscz48L3VybHM+PC9yZWNvcmQ+
PC9DaXRlPjwvRW5kTm90ZT4A
</w:fldData>
        </w:fldChar>
      </w:r>
      <w:r w:rsidR="002D0872">
        <w:rPr>
          <w:lang w:val="en-AU"/>
        </w:rPr>
        <w:instrText xml:space="preserve"> ADDIN EN.CITE </w:instrText>
      </w:r>
      <w:r w:rsidR="002D0872">
        <w:rPr>
          <w:lang w:val="en-AU"/>
        </w:rPr>
        <w:fldChar w:fldCharType="begin">
          <w:fldData xml:space="preserve">PEVuZE5vdGU+PENpdGU+PEF1dGhvcj5TaGF3PC9BdXRob3I+PFllYXI+MjAwOTwvWWVhcj48UmVj
TnVtPjc1PC9SZWNOdW0+PERpc3BsYXlUZXh0PihCb29paiBldCBhbC4sIDIwMDI7IEthc2Vyem9u
IGV0IGFsLiwgMjAxNDsgT+KAmUJyaWVuIGV0IGFsLiwgMjAxMWE7IFNoYXcgZXQgYWwuLCAyMDA5
OyBTaGF3IGFuZCBNdWVsbGVyLCAyMDA5OyBTdGVwaGVucyBldCBhbC4sIDIwMDU7IFN0ZXBoZW5z
IGV0IGFsLiwgMjAwOTsgVmVybWVpcnNzZW4gZXQgYWwuLCAyMDA5KTwvRGlzcGxheVRleHQ+PHJl
Y29yZD48cmVjLW51bWJlcj43NTwvcmVjLW51bWJlcj48Zm9yZWlnbi1rZXlzPjxrZXkgYXBwPSJF
TiIgZGItaWQ9Inh0cHZwd3owdWZ4YTJtZTV0djZ2MnBybjJlejVwOWF0c3Z0ciIgdGltZXN0YW1w
PSIxNTM5MTQ0OTQ1Ij43NTwva2V5PjwvZm9yZWlnbi1rZXlzPjxyZWYtdHlwZSBuYW1lPSJKb3Vy
bmFsIEFydGljbGUiPjE3PC9yZWYtdHlwZT48Y29udHJpYnV0b3JzPjxhdXRob3JzPjxhdXRob3I+
U2hhdywgTWVsYW5pZTwvYXV0aG9yPjxhdXRob3I+TXVlbGxlciwgSm9jaGVuIEYuPC9hdXRob3I+
PC9hdXRob3JzPjwvY29udHJpYnV0b3JzPjx0aXRsZXM+PHRpdGxlPlRpbWUgSW50ZWdyYXRpdmUg
UGFzc2l2ZSBTYW1wbGluZzogSG93IFdlbGwgRG8gQ2hlbWNhdGNoZXJzIEludGVncmF0ZSBGbHVj
dHVhdGluZyBQb2xsdXRhbnQgQ29uY2VudHJhdGlvbnM/PC90aXRsZT48c2Vjb25kYXJ5LXRpdGxl
PkVudmlyb25tZW50YWwgU2NpZW5jZSAmYW1wOyBUZWNobm9sb2d5PC9zZWNvbmRhcnktdGl0bGU+
PC90aXRsZXM+PHBlcmlvZGljYWw+PGZ1bGwtdGl0bGU+RW52aXJvbm1lbnRhbCBzY2llbmNlICZh
bXA7IHRlY2hub2xvZ3k8L2Z1bGwtdGl0bGU+PC9wZXJpb2RpY2FsPjxwYWdlcz4xNDQzLTE0NDg8
L3BhZ2VzPjx2b2x1bWU+NDM8L3ZvbHVtZT48bnVtYmVyPjU8L251bWJlcj48ZGF0ZXM+PHllYXI+
MjAwOTwveWVhcj48cHViLWRhdGVzPjxkYXRlPjIwMDkvMDMvMDE8L2RhdGU+PC9wdWItZGF0ZXM+
PC9kYXRlcz48cHVibGlzaGVyPkFtZXJpY2FuIENoZW1pY2FsIFNvY2lldHk8L3B1Ymxpc2hlcj48
aXNibj4wMDEzLTkzNlg8L2lzYm4+PHVybHM+PHJlbGF0ZWQtdXJscz48dXJsPmh0dHA6Ly9keC5k
b2kub3JnLzEwLjEwMjEvZXM4MDIxNDQ2PC91cmw+PC9yZWxhdGVkLXVybHM+PC91cmxzPjxlbGVj
dHJvbmljLXJlc291cmNlLW51bT4xMC4xMDIxL2VzODAyMTQ0NjwvZWxlY3Ryb25pYy1yZXNvdXJj
ZS1udW0+PC9yZWNvcmQ+PC9DaXRlPjxDaXRlPjxBdXRob3I+U2hhdzwvQXV0aG9yPjxZZWFyPjIw
MDk8L1llYXI+PFJlY051bT43NjwvUmVjTnVtPjxyZWNvcmQ+PHJlYy1udW1iZXI+NzY8L3JlYy1u
dW1iZXI+PGZvcmVpZ24ta2V5cz48a2V5IGFwcD0iRU4iIGRiLWlkPSJ4dHB2cHd6MHVmeGEybWU1
dHY2djJwcm4yZXo1cDlhdHN2dHIiIHRpbWVzdGFtcD0iMTUzOTE0NDk0NSI+NzY8L2tleT48L2Zv
cmVpZ24ta2V5cz48cmVmLXR5cGUgbmFtZT0iSm91cm5hbCBBcnRpY2xlIj4xNzwvcmVmLXR5cGU+
PGNvbnRyaWJ1dG9ycz48YXV0aG9ycz48YXV0aG9yPlNoYXcsIE1lbGFuaWU8L2F1dGhvcj48YXV0
aG9yPkVhZ2xlc2hhbSwgR2VvZmY8L2F1dGhvcj48YXV0aG9yPk11ZWxsZXIsIEpvY2hlbiBGPC9h
dXRob3I+PC9hdXRob3JzPjwvY29udHJpYnV0b3JzPjx0aXRsZXM+PHRpdGxlPlVwdGFrZSBhbmQg
cmVsZWFzZSBvZiBwb2xhciBjb21wb3VuZHMgaW4gU0RCLVJQUyBFbXBvcmXihKIgZGlza3M7IGlt
cGxpY2F0aW9ucyBmb3IgdGhlaXIgdXNlIGFzIHBhc3NpdmUgc2FtcGxlcnM8L3RpdGxlPjxzZWNv
bmRhcnktdGl0bGU+Q2hlbW9zcGhlcmU8L3NlY29uZGFyeS10aXRsZT48L3RpdGxlcz48cGVyaW9k
aWNhbD48ZnVsbC10aXRsZT5DaGVtb3NwaGVyZTwvZnVsbC10aXRsZT48L3BlcmlvZGljYWw+PHBh
Z2VzPjEtNzwvcGFnZXM+PHZvbHVtZT43NTwvdm9sdW1lPjxudW1iZXI+MTwvbnVtYmVyPjxkYXRl
cz48eWVhcj4yMDA5PC95ZWFyPjwvZGF0ZXM+PGlzYm4+MDA0NS02NTM1PC9pc2JuPjx1cmxzPjwv
dXJscz48L3JlY29yZD48L0NpdGU+PENpdGU+PEF1dGhvcj5TdGVwaGVuczwvQXV0aG9yPjxZZWFy
PjIwMDk8L1llYXI+PFJlY051bT43NzwvUmVjTnVtPjxyZWNvcmQ+PHJlYy1udW1iZXI+Nzc8L3Jl
Yy1udW1iZXI+PGZvcmVpZ24ta2V5cz48a2V5IGFwcD0iRU4iIGRiLWlkPSJ4dHB2cHd6MHVmeGEy
bWU1dHY2djJwcm4yZXo1cDlhdHN2dHIiIHRpbWVzdGFtcD0iMTUzOTE0NDk0NSI+Nzc8L2tleT48
L2ZvcmVpZ24ta2V5cz48cmVmLXR5cGUgbmFtZT0iSm91cm5hbCBBcnRpY2xlIj4xNzwvcmVmLXR5
cGU+PGNvbnRyaWJ1dG9ycz48YXV0aG9ycz48YXV0aG9yPlN0ZXBoZW5zLCBCIFNjb3R0PC9hdXRo
b3I+PGF1dGhvcj5LYXBlcm5pY2ssIEFuaXRhIFA8L2F1dGhvcj48YXV0aG9yPkVhZ2xlc2hhbSwg
R2VvZmY8L2F1dGhvcj48YXV0aG9yPk11ZWxsZXIsIEpvY2hlbiBGPC9hdXRob3I+PC9hdXRob3Jz
PjwvY29udHJpYnV0b3JzPjx0aXRsZXM+PHRpdGxlPkV2ZW50IG1vbml0b3Jpbmcgb2YgaGVyYmlj
aWRlcyB3aXRoIG5ha2VkIGFuZCBtZW1icmFuZS1jb3ZlcmVkIEVtcG9yZSBkaXNrIGludGVncmF0
aXZlIHBhc3NpdmUgc2FtcGxpbmcgZGV2aWNlczwvdGl0bGU+PHNlY29uZGFyeS10aXRsZT5NYXJp
bmUgcG9sbHV0aW9uIGJ1bGxldGluPC9zZWNvbmRhcnktdGl0bGU+PC90aXRsZXM+PHBlcmlvZGlj
YWw+PGZ1bGwtdGl0bGU+TWFyaW5lIHBvbGx1dGlvbiBidWxsZXRpbjwvZnVsbC10aXRsZT48L3Bl
cmlvZGljYWw+PHBhZ2VzPjExMTYtMTEyMjwvcGFnZXM+PHZvbHVtZT41ODwvdm9sdW1lPjxudW1i
ZXI+ODwvbnVtYmVyPjxkYXRlcz48eWVhcj4yMDA5PC95ZWFyPjwvZGF0ZXM+PGlzYm4+MDAyNS0z
MjZYPC9pc2JuPjx1cmxzPjwvdXJscz48L3JlY29yZD48L0NpdGU+PENpdGU+PEF1dGhvcj5TdGVw
aGVuczwvQXV0aG9yPjxZZWFyPjIwMDU8L1llYXI+PFJlY051bT43ODwvUmVjTnVtPjxyZWNvcmQ+
PHJlYy1udW1iZXI+Nzg8L3JlYy1udW1iZXI+PGZvcmVpZ24ta2V5cz48a2V5IGFwcD0iRU4iIGRi
LWlkPSJ4dHB2cHd6MHVmeGEybWU1dHY2djJwcm4yZXo1cDlhdHN2dHIiIHRpbWVzdGFtcD0iMTUz
OTE0NDk0NSI+Nzg8L2tleT48L2ZvcmVpZ24ta2V5cz48cmVmLXR5cGUgbmFtZT0iSm91cm5hbCBB
cnRpY2xlIj4xNzwvcmVmLXR5cGU+PGNvbnRyaWJ1dG9ycz48YXV0aG9ycz48YXV0aG9yPlN0ZXBo
ZW5zLCBCIFNjb3R0PC9hdXRob3I+PGF1dGhvcj5LYXBlcm5pY2ssIEFuaXRhPC9hdXRob3I+PGF1
dGhvcj5FYWdsZXNoYW0sIEdlb2ZmPC9hdXRob3I+PGF1dGhvcj5NdWVsbGVyLCBKb2NoZW48L2F1
dGhvcj48L2F1dGhvcnM+PC9jb250cmlidXRvcnM+PHRpdGxlcz48dGl0bGU+QXF1YXRpYyBwYXNz
aXZlIHNhbXBsaW5nIG9mIGhlcmJpY2lkZXMgb24gbmFrZWQgcGFydGljbGUgbG9hZGVkIG1lbWJy
YW5lczogYWNjZWxlcmF0ZWQgbWVhc3VyZW1lbnQgYW5kIGVtcGlyaWNhbCBlc3RpbWF0aW9uIG9m
IGtpbmV0aWMgcGFyYW1ldGVyczwvdGl0bGU+PHNlY29uZGFyeS10aXRsZT5FbnZpcm9ubWVudGFs
IHNjaWVuY2UgJmFtcDsgdGVjaG5vbG9neTwvc2Vjb25kYXJ5LXRpdGxlPjwvdGl0bGVzPjxwZXJp
b2RpY2FsPjxmdWxsLXRpdGxlPkVudmlyb25tZW50YWwgc2NpZW5jZSAmYW1wOyB0ZWNobm9sb2d5
PC9mdWxsLXRpdGxlPjwvcGVyaW9kaWNhbD48cGFnZXM+ODg5MS04ODk3PC9wYWdlcz48dm9sdW1l
PjM5PC92b2x1bWU+PG51bWJlcj4yMjwvbnVtYmVyPjxkYXRlcz48eWVhcj4yMDA1PC95ZWFyPjwv
ZGF0ZXM+PGlzYm4+MDAxMy05MzZYPC9pc2JuPjx1cmxzPjwvdXJscz48L3JlY29yZD48L0NpdGU+
PENpdGU+PEF1dGhvcj5Cb29pajwvQXV0aG9yPjxZZWFyPjIwMDI8L1llYXI+PFJlY051bT43OTwv
UmVjTnVtPjxyZWNvcmQ+PHJlYy1udW1iZXI+Nzk8L3JlYy1udW1iZXI+PGZvcmVpZ24ta2V5cz48
a2V5IGFwcD0iRU4iIGRiLWlkPSJ4dHB2cHd6MHVmeGEybWU1dHY2djJwcm4yZXo1cDlhdHN2dHIi
IHRpbWVzdGFtcD0iMTUzOTE0NDk0NSI+Nzk8L2tleT48L2ZvcmVpZ24ta2V5cz48cmVmLXR5cGUg
bmFtZT0iSm91cm5hbCBBcnRpY2xlIj4xNzwvcmVmLXR5cGU+PGNvbnRyaWJ1dG9ycz48YXV0aG9y
cz48YXV0aG9yPkJvb2lqLCBLZWVzPC9hdXRob3I+PGF1dGhvcj5TbWVkZXMsIEZvcHBlPC9hdXRo
b3I+PGF1dGhvcj5WYW4gV2VlcmxlZSwgRXZhbGluZSBNPC9hdXRob3I+PC9hdXRob3JzPjwvY29u
dHJpYnV0b3JzPjx0aXRsZXM+PHRpdGxlPlNwaWtpbmcgb2YgcGVyZm9ybWFuY2UgcmVmZXJlbmNl
IGNvbXBvdW5kcyBpbiBsb3cgZGVuc2l0eSBwb2x5ZXRoeWxlbmUgYW5kIHNpbGljb25lIHBhc3Np
dmUgd2F0ZXIgc2FtcGxlcnM8L3RpdGxlPjxzZWNvbmRhcnktdGl0bGU+Q2hlbW9zcGhlcmU8L3Nl
Y29uZGFyeS10aXRsZT48L3RpdGxlcz48cGVyaW9kaWNhbD48ZnVsbC10aXRsZT5DaGVtb3NwaGVy
ZTwvZnVsbC10aXRsZT48L3BlcmlvZGljYWw+PHBhZ2VzPjExNTctMTE2MTwvcGFnZXM+PHZvbHVt
ZT40Njwvdm9sdW1lPjxudW1iZXI+ODwvbnVtYmVyPjxkYXRlcz48eWVhcj4yMDAyPC95ZWFyPjwv
ZGF0ZXM+PGlzYm4+MDA0NS02NTM1PC9pc2JuPjx1cmxzPjwvdXJscz48L3JlY29yZD48L0NpdGU+
PENpdGU+PEF1dGhvcj5P4oCZQnJpZW48L0F1dGhvcj48WWVhcj4yMDExPC9ZZWFyPjxSZWNOdW0+
ODA8L1JlY051bT48cmVjb3JkPjxyZWMtbnVtYmVyPjgwPC9yZWMtbnVtYmVyPjxmb3JlaWduLWtl
eXM+PGtleSBhcHA9IkVOIiBkYi1pZD0ieHRwdnB3ejB1ZnhhMm1lNXR2NnYycHJuMmV6NXA5YXRz
dnRyIiB0aW1lc3RhbXA9IjE1MzkxNDQ5NDUiPjgwPC9rZXk+PC9mb3JlaWduLWtleXM+PHJlZi10
eXBlIG5hbWU9IkpvdXJuYWwgQXJ0aWNsZSI+MTc8L3JlZi10eXBlPjxjb250cmlidXRvcnM+PGF1
dGhvcnM+PGF1dGhvcj5P4oCZQnJpZW4sIERvbWluaXF1ZTwvYXV0aG9yPjxhdXRob3I+QmFydGtv
dywgTWljaGFlbDwvYXV0aG9yPjxhdXRob3I+TXVlbGxlciwgSm9jaGVuIEY8L2F1dGhvcj48L2F1
dGhvcnM+PC9jb250cmlidXRvcnM+PHRpdGxlcz48dGl0bGU+RGV0ZXJtaW5hdGlvbiBvZiBkZXBs
b3ltZW50IHNwZWNpZmljIGNoZW1pY2FsIHVwdGFrZSByYXRlcyBmb3IgU0RCLVJQRCBFbXBvcmUg
ZGlzayB1c2luZyBhIHBhc3NpdmUgZmxvdyBtb25pdG9yIChQRk0pPC90aXRsZT48c2Vjb25kYXJ5
LXRpdGxlPkNoZW1vc3BoZXJlPC9zZWNvbmRhcnktdGl0bGU+PC90aXRsZXM+PHBlcmlvZGljYWw+
PGZ1bGwtdGl0bGU+Q2hlbW9zcGhlcmU8L2Z1bGwtdGl0bGU+PC9wZXJpb2RpY2FsPjxwYWdlcz4x
MjkwLTEyOTU8L3BhZ2VzPjx2b2x1bWU+ODM8L3ZvbHVtZT48bnVtYmVyPjk8L251bWJlcj48ZGF0
ZXM+PHllYXI+MjAxMTwveWVhcj48L2RhdGVzPjxpc2JuPjAwNDUtNjUzNTwvaXNibj48dXJscz48
L3VybHM+PC9yZWNvcmQ+PC9DaXRlPjxDaXRlPjxBdXRob3I+VmVybWVpcnNzZW48L0F1dGhvcj48
WWVhcj4yMDA5PC9ZZWFyPjxSZWNOdW0+ODE8L1JlY051bT48cmVjb3JkPjxyZWMtbnVtYmVyPjgx
PC9yZWMtbnVtYmVyPjxmb3JlaWduLWtleXM+PGtleSBhcHA9IkVOIiBkYi1pZD0ieHRwdnB3ejB1
ZnhhMm1lNXR2NnYycHJuMmV6NXA5YXRzdnRyIiB0aW1lc3RhbXA9IjE1MzkxNDQ5NDUiPjgxPC9r
ZXk+PC9mb3JlaWduLWtleXM+PHJlZi10eXBlIG5hbWU9IkpvdXJuYWwgQXJ0aWNsZSI+MTc8L3Jl
Zi10eXBlPjxjb250cmlidXRvcnM+PGF1dGhvcnM+PGF1dGhvcj5WZXJtZWlyc3NlbiwgRXRpZW5u
ZSBMTTwvYXV0aG9yPjxhdXRob3I+QnJhbWF6LCBOYWRpbmU8L2F1dGhvcj48YXV0aG9yPkhvbGxl
bmRlciwgSnVsaWFuZTwvYXV0aG9yPjxhdXRob3I+U2luZ2VyLCBIZWluejwvYXV0aG9yPjxhdXRo
b3I+RXNjaGVyLCBCZWF0ZSBJPC9hdXRob3I+PC9hdXRob3JzPjwvY29udHJpYnV0b3JzPjx0aXRs
ZXM+PHRpdGxlPlBhc3NpdmUgc2FtcGxpbmcgY29tYmluZWQgd2l0aCBlY290b3hpY29sb2dpY2Fs
IGFuZCBjaGVtaWNhbCBhbmFseXNpcyBvZiBwaGFybWFjZXV0aWNhbHMgYW5kIGJpb2NpZGVz4oCT
ZXZhbHVhdGlvbiBvZiB0aHJlZSBDaGVtY2F0Y2hlcuKEoiBjb25maWd1cmF0aW9uczwvdGl0bGU+
PHNlY29uZGFyeS10aXRsZT5XYXRlciByZXNlYXJjaDwvc2Vjb25kYXJ5LXRpdGxlPjwvdGl0bGVz
PjxwZXJpb2RpY2FsPjxmdWxsLXRpdGxlPldhdGVyIHJlc2VhcmNoPC9mdWxsLXRpdGxlPjwvcGVy
aW9kaWNhbD48cGFnZXM+OTAzLTkxNDwvcGFnZXM+PHZvbHVtZT40Mzwvdm9sdW1lPjxudW1iZXI+
NDwvbnVtYmVyPjxkYXRlcz48eWVhcj4yMDA5PC95ZWFyPjwvZGF0ZXM+PGlzYm4+MDA0My0xMzU0
PC9pc2JuPjx1cmxzPjwvdXJscz48L3JlY29yZD48L0NpdGU+PENpdGU+PEF1dGhvcj5LYXNlcnpv
bjwvQXV0aG9yPjxZZWFyPjIwMTQ8L1llYXI+PFJlY051bT44MjwvUmVjTnVtPjxyZWNvcmQ+PHJl
Yy1udW1iZXI+ODI8L3JlYy1udW1iZXI+PGZvcmVpZ24ta2V5cz48a2V5IGFwcD0iRU4iIGRiLWlk
PSJ4dHB2cHd6MHVmeGEybWU1dHY2djJwcm4yZXo1cDlhdHN2dHIiIHRpbWVzdGFtcD0iMTUzOTE0
NDk0NSI+ODI8L2tleT48L2ZvcmVpZ24ta2V5cz48cmVmLXR5cGUgbmFtZT0iSm91cm5hbCBBcnRp
Y2xlIj4xNzwvcmVmLXR5cGU+PGNvbnRyaWJ1dG9ycz48YXV0aG9ycz48YXV0aG9yPkthc2Vyem9u
LCBTTDwvYXV0aG9yPjxhdXRob3I+SGF3a2VyLCBEYXJyeWwgV2lsbGlhbTwvYXV0aG9yPjxhdXRo
b3I+S2VubmVkeSwgSzwvYXV0aG9yPjxhdXRob3I+QmFydGtvdywgTTwvYXV0aG9yPjxhdXRob3I+
Q2FydGVyLCBTPC9hdXRob3I+PGF1dGhvcj5Cb29paiwgSzwvYXV0aG9yPjxhdXRob3I+TXVlbGxl
ciwgSkY8L2F1dGhvcj48L2F1dGhvcnM+PC9jb250cmlidXRvcnM+PHRpdGxlcz48dGl0bGU+Q2hh
cmFjdGVyaXNhdGlvbiBhbmQgY29tcGFyaXNvbiBvZiB0aGUgdXB0YWtlIG9mIGlvbml6YWJsZSBh
bmQgcG9sYXIgcGVzdGljaWRlcywgcGhhcm1hY2V1dGljYWxzIGFuZCBwZXJzb25hbCBjYXJlIHBy
b2R1Y3RzIGJ5IFBPQ0lTIGFuZCBDaGVtY2F0Y2hlcnM8L3RpdGxlPjxzZWNvbmRhcnktdGl0bGU+
RW52aXJvbm1lbnRhbCBTY2llbmNlOiBQcm9jZXNzZXMgJmFtcDsgSW1wYWN0czwvc2Vjb25kYXJ5
LXRpdGxlPjwvdGl0bGVzPjxwZXJpb2RpY2FsPjxmdWxsLXRpdGxlPkVudmlyb25tZW50YWwgU2Np
ZW5jZTogUHJvY2Vzc2VzICZhbXA7IEltcGFjdHM8L2Z1bGwtdGl0bGU+PC9wZXJpb2RpY2FsPjxw
YWdlcz4yNTE3LTI1MjY8L3BhZ2VzPjx2b2x1bWU+MTY8L3ZvbHVtZT48bnVtYmVyPjExPC9udW1i
ZXI+PGRhdGVzPjx5ZWFyPjIwMTQ8L3llYXI+PC9kYXRlcz48dXJscz48L3VybHM+PC9yZWNvcmQ+
PC9DaXRlPjwvRW5kTm90ZT4A
</w:fldData>
        </w:fldChar>
      </w:r>
      <w:r w:rsidR="002D0872">
        <w:rPr>
          <w:lang w:val="en-AU"/>
        </w:rPr>
        <w:instrText xml:space="preserve"> ADDIN EN.CITE.DATA </w:instrText>
      </w:r>
      <w:r w:rsidR="002D0872">
        <w:rPr>
          <w:lang w:val="en-AU"/>
        </w:rPr>
      </w:r>
      <w:r w:rsidR="002D0872">
        <w:rPr>
          <w:lang w:val="en-AU"/>
        </w:rPr>
        <w:fldChar w:fldCharType="end"/>
      </w:r>
      <w:r w:rsidR="00C91BF5">
        <w:rPr>
          <w:lang w:val="en-AU"/>
        </w:rPr>
      </w:r>
      <w:r w:rsidR="00C91BF5">
        <w:rPr>
          <w:lang w:val="en-AU"/>
        </w:rPr>
        <w:fldChar w:fldCharType="separate"/>
      </w:r>
      <w:r w:rsidR="002D0872">
        <w:rPr>
          <w:noProof/>
          <w:lang w:val="en-AU"/>
        </w:rPr>
        <w:t>(Booij et al., 2002; Kaserzon et al., 2014; O’Brien et al., 2011a; Shaw et al., 2009; Shaw and Mueller, 2009; Stephens et al., 2005; Stephens et al., 2009; Vermeirssen et al., 2009)</w:t>
      </w:r>
      <w:r w:rsidR="00C91BF5">
        <w:rPr>
          <w:lang w:val="en-AU"/>
        </w:rPr>
        <w:fldChar w:fldCharType="end"/>
      </w:r>
      <w:r>
        <w:rPr>
          <w:lang w:val="en-AU"/>
        </w:rPr>
        <w:t>, although rates vary due to the conditions under which they were conducted</w:t>
      </w:r>
      <w:r w:rsidRPr="00225C09">
        <w:rPr>
          <w:lang w:val="en-AU"/>
        </w:rPr>
        <w:t>. Atrazine was common to all of these studies and was chosen as a reference point to estimate compound specific sampling rates of other herbicides on a proportional basis (i.e. R</w:t>
      </w:r>
      <w:r w:rsidRPr="002A4CF4">
        <w:rPr>
          <w:vertAlign w:val="subscript"/>
          <w:lang w:val="en-AU"/>
        </w:rPr>
        <w:t>s</w:t>
      </w:r>
      <w:r w:rsidRPr="00225C09">
        <w:rPr>
          <w:lang w:val="en-AU"/>
        </w:rPr>
        <w:t xml:space="preserve"> of chemical X / R</w:t>
      </w:r>
      <w:r w:rsidRPr="002A4CF4">
        <w:rPr>
          <w:vertAlign w:val="subscript"/>
          <w:lang w:val="en-AU"/>
        </w:rPr>
        <w:t>s</w:t>
      </w:r>
      <w:r w:rsidRPr="00225C09">
        <w:rPr>
          <w:lang w:val="en-AU"/>
        </w:rPr>
        <w:t xml:space="preserve"> of atrazine)</w:t>
      </w:r>
      <w:r>
        <w:rPr>
          <w:lang w:val="en-AU"/>
        </w:rPr>
        <w:t>.</w:t>
      </w:r>
    </w:p>
    <w:p w14:paraId="32B3F932" w14:textId="77777777" w:rsidR="0059608E" w:rsidRDefault="0059608E" w:rsidP="002439C8">
      <w:pPr>
        <w:spacing w:line="276" w:lineRule="auto"/>
        <w:jc w:val="left"/>
      </w:pPr>
    </w:p>
    <w:p w14:paraId="3D6BBD58" w14:textId="77777777" w:rsidR="0059608E" w:rsidRDefault="0059608E" w:rsidP="002439C8">
      <w:pPr>
        <w:spacing w:line="276" w:lineRule="auto"/>
        <w:jc w:val="left"/>
        <w:rPr>
          <w:lang w:val="en-AU"/>
        </w:rPr>
      </w:pPr>
      <w:r>
        <w:t>The relationship between the sampling rate of atrazine and flow effects has been extensively investigated</w:t>
      </w:r>
      <w:r w:rsidR="008326B4">
        <w:t xml:space="preserve"> </w:t>
      </w:r>
      <w:r w:rsidR="00C91BF5">
        <w:fldChar w:fldCharType="begin"/>
      </w:r>
      <w:r w:rsidR="0018079F">
        <w:instrText xml:space="preserve"> ADDIN EN.CITE &lt;EndNote&gt;&lt;Cite&gt;&lt;Author&gt;O’Brien&lt;/Author&gt;&lt;Year&gt;2011&lt;/Year&gt;&lt;RecNum&gt;80&lt;/RecNum&gt;&lt;DisplayText&gt;(O’Brien et al., 2011a)&lt;/DisplayText&gt;&lt;record&gt;&lt;rec-number&gt;80&lt;/rec-number&gt;&lt;foreign-keys&gt;&lt;key app="EN" db-id="xtpvpwz0ufxa2me5tv6v2prn2ez5p9atsvtr" timestamp="1539144945"&gt;80&lt;/key&gt;&lt;/foreign-keys&gt;&lt;ref-type name="Journal Article"&gt;17&lt;/ref-type&gt;&lt;contributors&gt;&lt;authors&gt;&lt;author&gt;O’Brien, Dominique&lt;/author&gt;&lt;author&gt;Bartkow, Michael&lt;/author&gt;&lt;author&gt;Mueller, Jochen F&lt;/author&gt;&lt;/authors&gt;&lt;/contributors&gt;&lt;titles&gt;&lt;title&gt;Determination of deployment specific chemical uptake rates for SDB-RPD Empore disk using a passive flow monitor (PFM)&lt;/title&gt;&lt;secondary-title&gt;Chemosphere&lt;/secondary-title&gt;&lt;/titles&gt;&lt;periodical&gt;&lt;full-title&gt;Chemosphere&lt;/full-title&gt;&lt;/periodical&gt;&lt;pages&gt;1290-1295&lt;/pages&gt;&lt;volume&gt;83&lt;/volume&gt;&lt;number&gt;9&lt;/number&gt;&lt;dates&gt;&lt;year&gt;2011&lt;/year&gt;&lt;/dates&gt;&lt;isbn&gt;0045-6535&lt;/isbn&gt;&lt;urls&gt;&lt;/urls&gt;&lt;/record&gt;&lt;/Cite&gt;&lt;/EndNote&gt;</w:instrText>
      </w:r>
      <w:r w:rsidR="00C91BF5">
        <w:fldChar w:fldCharType="separate"/>
      </w:r>
      <w:r w:rsidR="00B33845">
        <w:rPr>
          <w:noProof/>
        </w:rPr>
        <w:t>(O’Brien et al., 2011a)</w:t>
      </w:r>
      <w:r w:rsidR="00C91BF5">
        <w:fldChar w:fldCharType="end"/>
      </w:r>
      <w:r>
        <w:t xml:space="preserve">. </w:t>
      </w:r>
      <w:r w:rsidRPr="00225C09">
        <w:rPr>
          <w:lang w:val="en-AU"/>
        </w:rPr>
        <w:t xml:space="preserve">Using this relationship, a sampling rate for each herbicide </w:t>
      </w:r>
      <w:r>
        <w:rPr>
          <w:lang w:val="en-AU"/>
        </w:rPr>
        <w:t>was</w:t>
      </w:r>
      <w:r w:rsidRPr="00225C09">
        <w:rPr>
          <w:lang w:val="en-AU"/>
        </w:rPr>
        <w:t xml:space="preserve"> calculated, specific to the flow conditions encountered at a particular site during each deployment. By inserting the relevant water velocity (estimated from PFM loss rate) into the equation and adjusting the resulting sampling rate by their proportion relative to atrazine, compound specific sampling rates were estimated for other herbicides, to provide estimates of herbicide water concentrations.</w:t>
      </w:r>
      <w:r>
        <w:rPr>
          <w:lang w:val="en-AU"/>
        </w:rPr>
        <w:t xml:space="preserve"> For herbicides where no calibration data is available, the sampling rate of atrazine has been assumed. Whilst there is always variability in calibration data, regardless of whether calibration data is available or has been assumed, the objectives of the pesticide monitoring component (to monitor trends in pesticide concentrations) of the MMP can be achieved, provided the same calibration data is used year-on-year.</w:t>
      </w:r>
    </w:p>
    <w:p w14:paraId="1714CC83" w14:textId="77777777" w:rsidR="00E31255" w:rsidRDefault="00E31255" w:rsidP="002439C8">
      <w:pPr>
        <w:spacing w:line="276" w:lineRule="auto"/>
        <w:jc w:val="left"/>
        <w:rPr>
          <w:lang w:val="en-AU"/>
        </w:rPr>
      </w:pPr>
    </w:p>
    <w:p w14:paraId="13F68A3F" w14:textId="2BE978F7" w:rsidR="00E31255" w:rsidRDefault="00695EC7" w:rsidP="002439C8">
      <w:pPr>
        <w:pStyle w:val="Caption"/>
        <w:keepNext/>
        <w:spacing w:after="120"/>
        <w:rPr>
          <w:b w:val="0"/>
        </w:rPr>
      </w:pPr>
      <w:bookmarkStart w:id="642" w:name="_Ref480726609"/>
      <w:bookmarkStart w:id="643" w:name="_Toc527468627"/>
      <w:bookmarkStart w:id="644" w:name="_Toc15283224"/>
      <w:r>
        <w:t xml:space="preserve">Table </w:t>
      </w:r>
      <w:r w:rsidR="00C91BF5">
        <w:fldChar w:fldCharType="begin"/>
      </w:r>
      <w:r w:rsidR="008C60F9">
        <w:instrText xml:space="preserve"> STYLEREF 7 \s </w:instrText>
      </w:r>
      <w:r w:rsidR="00C91BF5">
        <w:fldChar w:fldCharType="separate"/>
      </w:r>
      <w:r w:rsidR="00251B46">
        <w:rPr>
          <w:noProof/>
        </w:rPr>
        <w:t>A</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251B46">
        <w:rPr>
          <w:noProof/>
        </w:rPr>
        <w:t>1</w:t>
      </w:r>
      <w:r w:rsidR="00C91BF5">
        <w:fldChar w:fldCharType="end"/>
      </w:r>
      <w:bookmarkEnd w:id="642"/>
      <w:r w:rsidR="003664EA" w:rsidRPr="003664EA">
        <w:rPr>
          <w:b w:val="0"/>
        </w:rPr>
        <w:t>:</w:t>
      </w:r>
      <w:r w:rsidR="005D5EEF">
        <w:rPr>
          <w:b w:val="0"/>
        </w:rPr>
        <w:t xml:space="preserve"> Summary of variabi</w:t>
      </w:r>
      <w:r w:rsidR="00AA6F75">
        <w:rPr>
          <w:b w:val="0"/>
        </w:rPr>
        <w:t>lity (%</w:t>
      </w:r>
      <w:r w:rsidR="00E31255" w:rsidRPr="003664EA">
        <w:rPr>
          <w:b w:val="0"/>
        </w:rPr>
        <w:t xml:space="preserve"> coefficient of variation</w:t>
      </w:r>
      <w:r w:rsidR="005D5EEF">
        <w:rPr>
          <w:b w:val="0"/>
        </w:rPr>
        <w:t>, % CV</w:t>
      </w:r>
      <w:r w:rsidR="00E31255" w:rsidRPr="003664EA">
        <w:rPr>
          <w:b w:val="0"/>
        </w:rPr>
        <w:t xml:space="preserve">) of replicate ED </w:t>
      </w:r>
      <w:r w:rsidR="004E116F">
        <w:rPr>
          <w:b w:val="0"/>
        </w:rPr>
        <w:t>and grab sample analysis</w:t>
      </w:r>
      <w:bookmarkEnd w:id="643"/>
      <w:bookmarkEnd w:id="644"/>
    </w:p>
    <w:tbl>
      <w:tblPr>
        <w:tblW w:w="6840" w:type="dxa"/>
        <w:jc w:val="center"/>
        <w:tblLook w:val="04A0" w:firstRow="1" w:lastRow="0" w:firstColumn="1" w:lastColumn="0" w:noHBand="0" w:noVBand="1"/>
      </w:tblPr>
      <w:tblGrid>
        <w:gridCol w:w="2436"/>
        <w:gridCol w:w="1535"/>
        <w:gridCol w:w="957"/>
        <w:gridCol w:w="956"/>
        <w:gridCol w:w="956"/>
      </w:tblGrid>
      <w:tr w:rsidR="00E866FF" w:rsidRPr="003B32F7" w14:paraId="56BF807B"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60E6DB7C" w14:textId="77777777" w:rsidR="00E866FF" w:rsidRPr="003B32F7" w:rsidRDefault="00E866FF" w:rsidP="003B32F7">
            <w:pPr>
              <w:contextualSpacing/>
              <w:jc w:val="left"/>
              <w:rPr>
                <w:rFonts w:ascii="Times New Roman" w:eastAsia="Times New Roman" w:hAnsi="Times New Roman" w:cs="Times New Roman"/>
                <w:sz w:val="18"/>
                <w:szCs w:val="18"/>
                <w:lang w:val="en-AU" w:eastAsia="en-AU" w:bidi="ar-SA"/>
              </w:rPr>
            </w:pPr>
          </w:p>
        </w:tc>
        <w:tc>
          <w:tcPr>
            <w:tcW w:w="1535" w:type="dxa"/>
            <w:vMerge w:val="restart"/>
            <w:tcBorders>
              <w:top w:val="single" w:sz="8" w:space="0" w:color="auto"/>
              <w:left w:val="nil"/>
              <w:bottom w:val="nil"/>
              <w:right w:val="nil"/>
            </w:tcBorders>
            <w:shd w:val="clear" w:color="000000" w:fill="F2F2F2"/>
            <w:vAlign w:val="center"/>
            <w:hideMark/>
          </w:tcPr>
          <w:p w14:paraId="137EFD24" w14:textId="77777777" w:rsidR="00E866FF" w:rsidRPr="003B32F7" w:rsidRDefault="00E866FF" w:rsidP="003B32F7">
            <w:pPr>
              <w:contextualSpacing/>
              <w:jc w:val="left"/>
              <w:rPr>
                <w:rFonts w:ascii="Calibri" w:eastAsia="Times New Roman" w:hAnsi="Calibri" w:cs="Calibri"/>
                <w:b/>
                <w:bCs/>
                <w:color w:val="000000"/>
                <w:sz w:val="18"/>
                <w:szCs w:val="18"/>
                <w:lang w:val="en-AU" w:eastAsia="en-AU" w:bidi="ar-SA"/>
              </w:rPr>
            </w:pPr>
            <w:r w:rsidRPr="003B32F7">
              <w:rPr>
                <w:rFonts w:ascii="Calibri" w:eastAsia="Times New Roman" w:hAnsi="Calibri" w:cs="Calibri"/>
                <w:b/>
                <w:bCs/>
                <w:color w:val="000000"/>
                <w:sz w:val="18"/>
                <w:szCs w:val="18"/>
                <w:lang w:val="en-AU" w:eastAsia="en-AU" w:bidi="ar-SA"/>
              </w:rPr>
              <w:t>Detections in both duplicates (n)</w:t>
            </w:r>
          </w:p>
        </w:tc>
        <w:tc>
          <w:tcPr>
            <w:tcW w:w="957" w:type="dxa"/>
            <w:tcBorders>
              <w:top w:val="single" w:sz="8" w:space="0" w:color="auto"/>
              <w:left w:val="nil"/>
              <w:bottom w:val="nil"/>
              <w:right w:val="nil"/>
            </w:tcBorders>
            <w:shd w:val="clear" w:color="000000" w:fill="F2F2F2"/>
            <w:vAlign w:val="center"/>
            <w:hideMark/>
          </w:tcPr>
          <w:p w14:paraId="09C2006F" w14:textId="77777777" w:rsidR="00E866FF" w:rsidRPr="003B32F7" w:rsidRDefault="00E866FF" w:rsidP="003B32F7">
            <w:pPr>
              <w:contextualSpacing/>
              <w:jc w:val="left"/>
              <w:rPr>
                <w:rFonts w:ascii="Calibri" w:eastAsia="Times New Roman" w:hAnsi="Calibri" w:cs="Calibri"/>
                <w:b/>
                <w:bCs/>
                <w:color w:val="000000"/>
                <w:sz w:val="18"/>
                <w:szCs w:val="18"/>
                <w:lang w:val="en-AU" w:eastAsia="en-AU" w:bidi="ar-SA"/>
              </w:rPr>
            </w:pPr>
            <w:r w:rsidRPr="003B32F7">
              <w:rPr>
                <w:rFonts w:ascii="Calibri" w:eastAsia="Times New Roman" w:hAnsi="Calibri" w:cs="Calibri"/>
                <w:b/>
                <w:bCs/>
                <w:color w:val="000000"/>
                <w:sz w:val="18"/>
                <w:szCs w:val="18"/>
                <w:lang w:val="en-AU" w:eastAsia="en-AU" w:bidi="ar-SA"/>
              </w:rPr>
              <w:t xml:space="preserve">Mean </w:t>
            </w:r>
          </w:p>
        </w:tc>
        <w:tc>
          <w:tcPr>
            <w:tcW w:w="956" w:type="dxa"/>
            <w:tcBorders>
              <w:top w:val="single" w:sz="8" w:space="0" w:color="auto"/>
              <w:left w:val="nil"/>
              <w:bottom w:val="nil"/>
              <w:right w:val="nil"/>
            </w:tcBorders>
            <w:shd w:val="clear" w:color="000000" w:fill="F2F2F2"/>
            <w:vAlign w:val="center"/>
            <w:hideMark/>
          </w:tcPr>
          <w:p w14:paraId="72975832" w14:textId="77777777" w:rsidR="00E866FF" w:rsidRPr="003B32F7" w:rsidRDefault="00E866FF" w:rsidP="003B32F7">
            <w:pPr>
              <w:contextualSpacing/>
              <w:jc w:val="left"/>
              <w:rPr>
                <w:rFonts w:ascii="Calibri" w:eastAsia="Times New Roman" w:hAnsi="Calibri" w:cs="Calibri"/>
                <w:b/>
                <w:bCs/>
                <w:color w:val="000000"/>
                <w:sz w:val="18"/>
                <w:szCs w:val="18"/>
                <w:lang w:val="en-AU" w:eastAsia="en-AU" w:bidi="ar-SA"/>
              </w:rPr>
            </w:pPr>
            <w:r w:rsidRPr="003B32F7">
              <w:rPr>
                <w:rFonts w:ascii="Calibri" w:eastAsia="Times New Roman" w:hAnsi="Calibri" w:cs="Calibri"/>
                <w:b/>
                <w:bCs/>
                <w:color w:val="000000"/>
                <w:sz w:val="18"/>
                <w:szCs w:val="18"/>
                <w:lang w:val="en-AU" w:eastAsia="en-AU" w:bidi="ar-SA"/>
              </w:rPr>
              <w:t xml:space="preserve">Min </w:t>
            </w:r>
          </w:p>
        </w:tc>
        <w:tc>
          <w:tcPr>
            <w:tcW w:w="956" w:type="dxa"/>
            <w:tcBorders>
              <w:top w:val="single" w:sz="8" w:space="0" w:color="auto"/>
              <w:left w:val="nil"/>
              <w:bottom w:val="nil"/>
              <w:right w:val="nil"/>
            </w:tcBorders>
            <w:shd w:val="clear" w:color="000000" w:fill="F2F2F2"/>
            <w:vAlign w:val="center"/>
            <w:hideMark/>
          </w:tcPr>
          <w:p w14:paraId="331F6702" w14:textId="77777777" w:rsidR="00E866FF" w:rsidRPr="003B32F7" w:rsidRDefault="00E866FF" w:rsidP="003B32F7">
            <w:pPr>
              <w:contextualSpacing/>
              <w:jc w:val="left"/>
              <w:rPr>
                <w:rFonts w:ascii="Calibri" w:eastAsia="Times New Roman" w:hAnsi="Calibri" w:cs="Calibri"/>
                <w:b/>
                <w:bCs/>
                <w:color w:val="000000"/>
                <w:sz w:val="18"/>
                <w:szCs w:val="18"/>
                <w:lang w:val="en-AU" w:eastAsia="en-AU" w:bidi="ar-SA"/>
              </w:rPr>
            </w:pPr>
            <w:r w:rsidRPr="003B32F7">
              <w:rPr>
                <w:rFonts w:ascii="Calibri" w:eastAsia="Times New Roman" w:hAnsi="Calibri" w:cs="Calibri"/>
                <w:b/>
                <w:bCs/>
                <w:color w:val="000000"/>
                <w:sz w:val="18"/>
                <w:szCs w:val="18"/>
                <w:lang w:val="en-AU" w:eastAsia="en-AU" w:bidi="ar-SA"/>
              </w:rPr>
              <w:t xml:space="preserve">Max </w:t>
            </w:r>
          </w:p>
        </w:tc>
      </w:tr>
      <w:tr w:rsidR="00E866FF" w:rsidRPr="003B32F7" w14:paraId="58A7EC30" w14:textId="77777777" w:rsidTr="00503D38">
        <w:trPr>
          <w:trHeight w:val="300"/>
          <w:jc w:val="center"/>
        </w:trPr>
        <w:tc>
          <w:tcPr>
            <w:tcW w:w="2436" w:type="dxa"/>
            <w:tcBorders>
              <w:top w:val="nil"/>
              <w:left w:val="nil"/>
              <w:bottom w:val="single" w:sz="4" w:space="0" w:color="auto"/>
              <w:right w:val="nil"/>
            </w:tcBorders>
            <w:shd w:val="clear" w:color="auto" w:fill="auto"/>
            <w:noWrap/>
            <w:vAlign w:val="bottom"/>
            <w:hideMark/>
          </w:tcPr>
          <w:p w14:paraId="0BB0D6D6" w14:textId="77777777" w:rsidR="00E866FF" w:rsidRPr="003B32F7" w:rsidRDefault="00E866FF" w:rsidP="003B32F7">
            <w:pPr>
              <w:contextualSpacing/>
              <w:jc w:val="left"/>
              <w:rPr>
                <w:rFonts w:ascii="Calibri" w:eastAsia="Times New Roman" w:hAnsi="Calibri" w:cs="Calibri"/>
                <w:b/>
                <w:bCs/>
                <w:color w:val="000000"/>
                <w:sz w:val="18"/>
                <w:szCs w:val="18"/>
                <w:lang w:val="en-AU" w:eastAsia="en-AU" w:bidi="ar-SA"/>
              </w:rPr>
            </w:pPr>
          </w:p>
        </w:tc>
        <w:tc>
          <w:tcPr>
            <w:tcW w:w="1535" w:type="dxa"/>
            <w:vMerge/>
            <w:tcBorders>
              <w:top w:val="single" w:sz="8" w:space="0" w:color="auto"/>
              <w:left w:val="nil"/>
              <w:bottom w:val="single" w:sz="4" w:space="0" w:color="auto"/>
              <w:right w:val="nil"/>
            </w:tcBorders>
            <w:vAlign w:val="center"/>
            <w:hideMark/>
          </w:tcPr>
          <w:p w14:paraId="1A2E95A7" w14:textId="77777777" w:rsidR="00E866FF" w:rsidRPr="003B32F7" w:rsidRDefault="00E866FF" w:rsidP="003B32F7">
            <w:pPr>
              <w:contextualSpacing/>
              <w:jc w:val="left"/>
              <w:rPr>
                <w:rFonts w:ascii="Calibri" w:eastAsia="Times New Roman" w:hAnsi="Calibri" w:cs="Calibri"/>
                <w:b/>
                <w:bCs/>
                <w:color w:val="000000"/>
                <w:sz w:val="18"/>
                <w:szCs w:val="18"/>
                <w:lang w:val="en-AU" w:eastAsia="en-AU" w:bidi="ar-SA"/>
              </w:rPr>
            </w:pPr>
          </w:p>
        </w:tc>
        <w:tc>
          <w:tcPr>
            <w:tcW w:w="957" w:type="dxa"/>
            <w:tcBorders>
              <w:top w:val="nil"/>
              <w:left w:val="nil"/>
              <w:bottom w:val="single" w:sz="4" w:space="0" w:color="auto"/>
              <w:right w:val="nil"/>
            </w:tcBorders>
            <w:shd w:val="clear" w:color="000000" w:fill="F2F2F2"/>
            <w:vAlign w:val="center"/>
            <w:hideMark/>
          </w:tcPr>
          <w:p w14:paraId="082FED35" w14:textId="77777777" w:rsidR="00E866FF" w:rsidRPr="003B32F7" w:rsidRDefault="00E866FF" w:rsidP="003B32F7">
            <w:pPr>
              <w:contextualSpacing/>
              <w:jc w:val="left"/>
              <w:rPr>
                <w:rFonts w:ascii="Calibri" w:eastAsia="Times New Roman" w:hAnsi="Calibri" w:cs="Calibri"/>
                <w:b/>
                <w:bCs/>
                <w:color w:val="000000"/>
                <w:sz w:val="18"/>
                <w:szCs w:val="18"/>
                <w:lang w:val="en-AU" w:eastAsia="en-AU" w:bidi="ar-SA"/>
              </w:rPr>
            </w:pPr>
            <w:r w:rsidRPr="003B32F7">
              <w:rPr>
                <w:rFonts w:ascii="Calibri" w:eastAsia="Times New Roman" w:hAnsi="Calibri" w:cs="Calibri"/>
                <w:b/>
                <w:bCs/>
                <w:color w:val="000000"/>
                <w:sz w:val="18"/>
                <w:szCs w:val="18"/>
                <w:lang w:val="en-AU" w:eastAsia="en-AU" w:bidi="ar-SA"/>
              </w:rPr>
              <w:t>% CV</w:t>
            </w:r>
          </w:p>
        </w:tc>
        <w:tc>
          <w:tcPr>
            <w:tcW w:w="956" w:type="dxa"/>
            <w:tcBorders>
              <w:top w:val="nil"/>
              <w:left w:val="nil"/>
              <w:bottom w:val="single" w:sz="4" w:space="0" w:color="auto"/>
              <w:right w:val="nil"/>
            </w:tcBorders>
            <w:shd w:val="clear" w:color="000000" w:fill="F2F2F2"/>
            <w:vAlign w:val="center"/>
            <w:hideMark/>
          </w:tcPr>
          <w:p w14:paraId="31ABACF2" w14:textId="77777777" w:rsidR="00E866FF" w:rsidRPr="003B32F7" w:rsidRDefault="00E866FF" w:rsidP="003B32F7">
            <w:pPr>
              <w:contextualSpacing/>
              <w:jc w:val="left"/>
              <w:rPr>
                <w:rFonts w:ascii="Calibri" w:eastAsia="Times New Roman" w:hAnsi="Calibri" w:cs="Calibri"/>
                <w:b/>
                <w:bCs/>
                <w:color w:val="000000"/>
                <w:sz w:val="18"/>
                <w:szCs w:val="18"/>
                <w:lang w:val="en-AU" w:eastAsia="en-AU" w:bidi="ar-SA"/>
              </w:rPr>
            </w:pPr>
            <w:r w:rsidRPr="003B32F7">
              <w:rPr>
                <w:rFonts w:ascii="Calibri" w:eastAsia="Times New Roman" w:hAnsi="Calibri" w:cs="Calibri"/>
                <w:b/>
                <w:bCs/>
                <w:color w:val="000000"/>
                <w:sz w:val="18"/>
                <w:szCs w:val="18"/>
                <w:lang w:val="en-AU" w:eastAsia="en-AU" w:bidi="ar-SA"/>
              </w:rPr>
              <w:t>% CV</w:t>
            </w:r>
          </w:p>
        </w:tc>
        <w:tc>
          <w:tcPr>
            <w:tcW w:w="956" w:type="dxa"/>
            <w:tcBorders>
              <w:top w:val="nil"/>
              <w:left w:val="nil"/>
              <w:bottom w:val="single" w:sz="4" w:space="0" w:color="auto"/>
              <w:right w:val="nil"/>
            </w:tcBorders>
            <w:shd w:val="clear" w:color="000000" w:fill="F2F2F2"/>
            <w:vAlign w:val="center"/>
            <w:hideMark/>
          </w:tcPr>
          <w:p w14:paraId="22169D94" w14:textId="77777777" w:rsidR="00E866FF" w:rsidRPr="003B32F7" w:rsidRDefault="00E866FF" w:rsidP="003B32F7">
            <w:pPr>
              <w:contextualSpacing/>
              <w:jc w:val="left"/>
              <w:rPr>
                <w:rFonts w:ascii="Calibri" w:eastAsia="Times New Roman" w:hAnsi="Calibri" w:cs="Calibri"/>
                <w:b/>
                <w:bCs/>
                <w:color w:val="000000"/>
                <w:sz w:val="18"/>
                <w:szCs w:val="18"/>
                <w:lang w:val="en-AU" w:eastAsia="en-AU" w:bidi="ar-SA"/>
              </w:rPr>
            </w:pPr>
            <w:r w:rsidRPr="003B32F7">
              <w:rPr>
                <w:rFonts w:ascii="Calibri" w:eastAsia="Times New Roman" w:hAnsi="Calibri" w:cs="Calibri"/>
                <w:b/>
                <w:bCs/>
                <w:color w:val="000000"/>
                <w:sz w:val="18"/>
                <w:szCs w:val="18"/>
                <w:lang w:val="en-AU" w:eastAsia="en-AU" w:bidi="ar-SA"/>
              </w:rPr>
              <w:t>% CV</w:t>
            </w:r>
          </w:p>
        </w:tc>
      </w:tr>
      <w:tr w:rsidR="00E866FF" w:rsidRPr="003B32F7" w14:paraId="5CDCCC51" w14:textId="77777777" w:rsidTr="00503D38">
        <w:trPr>
          <w:trHeight w:val="300"/>
          <w:jc w:val="center"/>
        </w:trPr>
        <w:tc>
          <w:tcPr>
            <w:tcW w:w="2436" w:type="dxa"/>
            <w:tcBorders>
              <w:top w:val="single" w:sz="4" w:space="0" w:color="auto"/>
              <w:left w:val="nil"/>
              <w:bottom w:val="nil"/>
              <w:right w:val="nil"/>
            </w:tcBorders>
            <w:shd w:val="clear" w:color="auto" w:fill="auto"/>
            <w:noWrap/>
            <w:vAlign w:val="bottom"/>
            <w:hideMark/>
          </w:tcPr>
          <w:p w14:paraId="3D1CDAD5"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 xml:space="preserve">Ametryn </w:t>
            </w:r>
          </w:p>
        </w:tc>
        <w:tc>
          <w:tcPr>
            <w:tcW w:w="1535" w:type="dxa"/>
            <w:tcBorders>
              <w:top w:val="single" w:sz="4" w:space="0" w:color="auto"/>
              <w:left w:val="nil"/>
              <w:bottom w:val="nil"/>
              <w:right w:val="nil"/>
            </w:tcBorders>
            <w:shd w:val="clear" w:color="auto" w:fill="auto"/>
            <w:noWrap/>
            <w:vAlign w:val="bottom"/>
            <w:hideMark/>
          </w:tcPr>
          <w:p w14:paraId="1703FEB7"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8</w:t>
            </w:r>
          </w:p>
        </w:tc>
        <w:tc>
          <w:tcPr>
            <w:tcW w:w="957" w:type="dxa"/>
            <w:tcBorders>
              <w:top w:val="single" w:sz="4" w:space="0" w:color="auto"/>
              <w:left w:val="nil"/>
              <w:bottom w:val="nil"/>
              <w:right w:val="nil"/>
            </w:tcBorders>
            <w:shd w:val="clear" w:color="auto" w:fill="auto"/>
            <w:noWrap/>
            <w:vAlign w:val="bottom"/>
            <w:hideMark/>
          </w:tcPr>
          <w:p w14:paraId="0F4F6416"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25</w:t>
            </w:r>
          </w:p>
        </w:tc>
        <w:tc>
          <w:tcPr>
            <w:tcW w:w="956" w:type="dxa"/>
            <w:tcBorders>
              <w:top w:val="single" w:sz="4" w:space="0" w:color="auto"/>
              <w:left w:val="nil"/>
              <w:bottom w:val="nil"/>
              <w:right w:val="nil"/>
            </w:tcBorders>
            <w:shd w:val="clear" w:color="auto" w:fill="auto"/>
            <w:noWrap/>
            <w:vAlign w:val="bottom"/>
            <w:hideMark/>
          </w:tcPr>
          <w:p w14:paraId="73BF5CE8"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10</w:t>
            </w:r>
          </w:p>
        </w:tc>
        <w:tc>
          <w:tcPr>
            <w:tcW w:w="956" w:type="dxa"/>
            <w:tcBorders>
              <w:top w:val="single" w:sz="4" w:space="0" w:color="auto"/>
              <w:left w:val="nil"/>
              <w:bottom w:val="nil"/>
              <w:right w:val="nil"/>
            </w:tcBorders>
            <w:shd w:val="clear" w:color="auto" w:fill="auto"/>
            <w:noWrap/>
            <w:vAlign w:val="bottom"/>
            <w:hideMark/>
          </w:tcPr>
          <w:p w14:paraId="0F5C23F9"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85</w:t>
            </w:r>
          </w:p>
        </w:tc>
      </w:tr>
      <w:tr w:rsidR="00E866FF" w:rsidRPr="003B32F7" w14:paraId="323C9D92"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1D97167F"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 xml:space="preserve">Atrazine </w:t>
            </w:r>
          </w:p>
        </w:tc>
        <w:tc>
          <w:tcPr>
            <w:tcW w:w="1535" w:type="dxa"/>
            <w:tcBorders>
              <w:top w:val="nil"/>
              <w:left w:val="nil"/>
              <w:bottom w:val="nil"/>
              <w:right w:val="nil"/>
            </w:tcBorders>
            <w:shd w:val="clear" w:color="auto" w:fill="auto"/>
            <w:noWrap/>
            <w:vAlign w:val="bottom"/>
            <w:hideMark/>
          </w:tcPr>
          <w:p w14:paraId="4846BC29"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28</w:t>
            </w:r>
          </w:p>
        </w:tc>
        <w:tc>
          <w:tcPr>
            <w:tcW w:w="957" w:type="dxa"/>
            <w:tcBorders>
              <w:top w:val="nil"/>
              <w:left w:val="nil"/>
              <w:bottom w:val="nil"/>
              <w:right w:val="nil"/>
            </w:tcBorders>
            <w:shd w:val="clear" w:color="auto" w:fill="auto"/>
            <w:noWrap/>
            <w:vAlign w:val="bottom"/>
            <w:hideMark/>
          </w:tcPr>
          <w:p w14:paraId="5CAD494F"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22</w:t>
            </w:r>
          </w:p>
        </w:tc>
        <w:tc>
          <w:tcPr>
            <w:tcW w:w="956" w:type="dxa"/>
            <w:tcBorders>
              <w:top w:val="nil"/>
              <w:left w:val="nil"/>
              <w:bottom w:val="nil"/>
              <w:right w:val="nil"/>
            </w:tcBorders>
            <w:shd w:val="clear" w:color="auto" w:fill="auto"/>
            <w:noWrap/>
            <w:vAlign w:val="bottom"/>
            <w:hideMark/>
          </w:tcPr>
          <w:p w14:paraId="7EE2426C"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0.41</w:t>
            </w:r>
          </w:p>
        </w:tc>
        <w:tc>
          <w:tcPr>
            <w:tcW w:w="956" w:type="dxa"/>
            <w:tcBorders>
              <w:top w:val="nil"/>
              <w:left w:val="nil"/>
              <w:bottom w:val="nil"/>
              <w:right w:val="nil"/>
            </w:tcBorders>
            <w:shd w:val="clear" w:color="auto" w:fill="auto"/>
            <w:noWrap/>
            <w:vAlign w:val="bottom"/>
            <w:hideMark/>
          </w:tcPr>
          <w:p w14:paraId="491B2A8F"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111</w:t>
            </w:r>
          </w:p>
        </w:tc>
      </w:tr>
      <w:tr w:rsidR="00E866FF" w:rsidRPr="003B32F7" w14:paraId="3F08C5C0"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5A75B9E9"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DE Atrazine</w:t>
            </w:r>
          </w:p>
        </w:tc>
        <w:tc>
          <w:tcPr>
            <w:tcW w:w="1535" w:type="dxa"/>
            <w:tcBorders>
              <w:top w:val="nil"/>
              <w:left w:val="nil"/>
              <w:bottom w:val="nil"/>
              <w:right w:val="nil"/>
            </w:tcBorders>
            <w:shd w:val="clear" w:color="auto" w:fill="auto"/>
            <w:noWrap/>
            <w:vAlign w:val="bottom"/>
            <w:hideMark/>
          </w:tcPr>
          <w:p w14:paraId="716A119C"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20</w:t>
            </w:r>
          </w:p>
        </w:tc>
        <w:tc>
          <w:tcPr>
            <w:tcW w:w="957" w:type="dxa"/>
            <w:tcBorders>
              <w:top w:val="nil"/>
              <w:left w:val="nil"/>
              <w:bottom w:val="nil"/>
              <w:right w:val="nil"/>
            </w:tcBorders>
            <w:shd w:val="clear" w:color="auto" w:fill="auto"/>
            <w:noWrap/>
            <w:vAlign w:val="bottom"/>
            <w:hideMark/>
          </w:tcPr>
          <w:p w14:paraId="0D327214"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25</w:t>
            </w:r>
          </w:p>
        </w:tc>
        <w:tc>
          <w:tcPr>
            <w:tcW w:w="956" w:type="dxa"/>
            <w:tcBorders>
              <w:top w:val="nil"/>
              <w:left w:val="nil"/>
              <w:bottom w:val="nil"/>
              <w:right w:val="nil"/>
            </w:tcBorders>
            <w:shd w:val="clear" w:color="auto" w:fill="auto"/>
            <w:noWrap/>
            <w:vAlign w:val="bottom"/>
            <w:hideMark/>
          </w:tcPr>
          <w:p w14:paraId="634F2C06"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0.53</w:t>
            </w:r>
          </w:p>
        </w:tc>
        <w:tc>
          <w:tcPr>
            <w:tcW w:w="956" w:type="dxa"/>
            <w:tcBorders>
              <w:top w:val="nil"/>
              <w:left w:val="nil"/>
              <w:bottom w:val="nil"/>
              <w:right w:val="nil"/>
            </w:tcBorders>
            <w:shd w:val="clear" w:color="auto" w:fill="auto"/>
            <w:noWrap/>
            <w:vAlign w:val="bottom"/>
            <w:hideMark/>
          </w:tcPr>
          <w:p w14:paraId="6F58DC4F"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83</w:t>
            </w:r>
          </w:p>
        </w:tc>
      </w:tr>
      <w:tr w:rsidR="00E866FF" w:rsidRPr="003B32F7" w14:paraId="55878994"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4E9724C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 xml:space="preserve">Diuron </w:t>
            </w:r>
          </w:p>
        </w:tc>
        <w:tc>
          <w:tcPr>
            <w:tcW w:w="1535" w:type="dxa"/>
            <w:tcBorders>
              <w:top w:val="nil"/>
              <w:left w:val="nil"/>
              <w:bottom w:val="nil"/>
              <w:right w:val="nil"/>
            </w:tcBorders>
            <w:shd w:val="clear" w:color="auto" w:fill="auto"/>
            <w:noWrap/>
            <w:vAlign w:val="bottom"/>
            <w:hideMark/>
          </w:tcPr>
          <w:p w14:paraId="1769B6F7"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28</w:t>
            </w:r>
          </w:p>
        </w:tc>
        <w:tc>
          <w:tcPr>
            <w:tcW w:w="957" w:type="dxa"/>
            <w:tcBorders>
              <w:top w:val="nil"/>
              <w:left w:val="nil"/>
              <w:bottom w:val="nil"/>
              <w:right w:val="nil"/>
            </w:tcBorders>
            <w:shd w:val="clear" w:color="auto" w:fill="auto"/>
            <w:noWrap/>
            <w:vAlign w:val="bottom"/>
            <w:hideMark/>
          </w:tcPr>
          <w:p w14:paraId="4D9CD3B5"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26</w:t>
            </w:r>
          </w:p>
        </w:tc>
        <w:tc>
          <w:tcPr>
            <w:tcW w:w="956" w:type="dxa"/>
            <w:tcBorders>
              <w:top w:val="nil"/>
              <w:left w:val="nil"/>
              <w:bottom w:val="nil"/>
              <w:right w:val="nil"/>
            </w:tcBorders>
            <w:shd w:val="clear" w:color="auto" w:fill="auto"/>
            <w:noWrap/>
            <w:vAlign w:val="bottom"/>
            <w:hideMark/>
          </w:tcPr>
          <w:p w14:paraId="1472A684"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0.67</w:t>
            </w:r>
          </w:p>
        </w:tc>
        <w:tc>
          <w:tcPr>
            <w:tcW w:w="956" w:type="dxa"/>
            <w:tcBorders>
              <w:top w:val="nil"/>
              <w:left w:val="nil"/>
              <w:bottom w:val="nil"/>
              <w:right w:val="nil"/>
            </w:tcBorders>
            <w:shd w:val="clear" w:color="auto" w:fill="auto"/>
            <w:noWrap/>
            <w:vAlign w:val="bottom"/>
            <w:hideMark/>
          </w:tcPr>
          <w:p w14:paraId="0D6ACEAD"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108</w:t>
            </w:r>
          </w:p>
        </w:tc>
      </w:tr>
      <w:tr w:rsidR="00E866FF" w:rsidRPr="003B32F7" w14:paraId="4324EE0C"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4BB5DE96"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 xml:space="preserve">Hexazinone </w:t>
            </w:r>
          </w:p>
        </w:tc>
        <w:tc>
          <w:tcPr>
            <w:tcW w:w="1535" w:type="dxa"/>
            <w:tcBorders>
              <w:top w:val="nil"/>
              <w:left w:val="nil"/>
              <w:bottom w:val="nil"/>
              <w:right w:val="nil"/>
            </w:tcBorders>
            <w:shd w:val="clear" w:color="auto" w:fill="auto"/>
            <w:noWrap/>
            <w:vAlign w:val="bottom"/>
            <w:hideMark/>
          </w:tcPr>
          <w:p w14:paraId="1B2908F2"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28</w:t>
            </w:r>
          </w:p>
        </w:tc>
        <w:tc>
          <w:tcPr>
            <w:tcW w:w="957" w:type="dxa"/>
            <w:tcBorders>
              <w:top w:val="nil"/>
              <w:left w:val="nil"/>
              <w:bottom w:val="nil"/>
              <w:right w:val="nil"/>
            </w:tcBorders>
            <w:shd w:val="clear" w:color="auto" w:fill="auto"/>
            <w:noWrap/>
            <w:vAlign w:val="bottom"/>
            <w:hideMark/>
          </w:tcPr>
          <w:p w14:paraId="1048E756"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24</w:t>
            </w:r>
          </w:p>
        </w:tc>
        <w:tc>
          <w:tcPr>
            <w:tcW w:w="956" w:type="dxa"/>
            <w:tcBorders>
              <w:top w:val="nil"/>
              <w:left w:val="nil"/>
              <w:bottom w:val="nil"/>
              <w:right w:val="nil"/>
            </w:tcBorders>
            <w:shd w:val="clear" w:color="auto" w:fill="auto"/>
            <w:noWrap/>
            <w:vAlign w:val="bottom"/>
            <w:hideMark/>
          </w:tcPr>
          <w:p w14:paraId="57DF834A"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0.28</w:t>
            </w:r>
          </w:p>
        </w:tc>
        <w:tc>
          <w:tcPr>
            <w:tcW w:w="956" w:type="dxa"/>
            <w:tcBorders>
              <w:top w:val="nil"/>
              <w:left w:val="nil"/>
              <w:bottom w:val="nil"/>
              <w:right w:val="nil"/>
            </w:tcBorders>
            <w:shd w:val="clear" w:color="auto" w:fill="auto"/>
            <w:noWrap/>
            <w:vAlign w:val="bottom"/>
            <w:hideMark/>
          </w:tcPr>
          <w:p w14:paraId="34BC9ECD"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100</w:t>
            </w:r>
          </w:p>
        </w:tc>
      </w:tr>
      <w:tr w:rsidR="00E866FF" w:rsidRPr="003B32F7" w14:paraId="27A572F9"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7ACD1873"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 xml:space="preserve">Metolachlor </w:t>
            </w:r>
          </w:p>
        </w:tc>
        <w:tc>
          <w:tcPr>
            <w:tcW w:w="1535" w:type="dxa"/>
            <w:tcBorders>
              <w:top w:val="nil"/>
              <w:left w:val="nil"/>
              <w:bottom w:val="nil"/>
              <w:right w:val="nil"/>
            </w:tcBorders>
            <w:shd w:val="clear" w:color="auto" w:fill="auto"/>
            <w:noWrap/>
            <w:vAlign w:val="bottom"/>
            <w:hideMark/>
          </w:tcPr>
          <w:p w14:paraId="292FE8AB"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26</w:t>
            </w:r>
          </w:p>
        </w:tc>
        <w:tc>
          <w:tcPr>
            <w:tcW w:w="957" w:type="dxa"/>
            <w:tcBorders>
              <w:top w:val="nil"/>
              <w:left w:val="nil"/>
              <w:bottom w:val="nil"/>
              <w:right w:val="nil"/>
            </w:tcBorders>
            <w:shd w:val="clear" w:color="auto" w:fill="auto"/>
            <w:noWrap/>
            <w:vAlign w:val="bottom"/>
            <w:hideMark/>
          </w:tcPr>
          <w:p w14:paraId="2DFDA963"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23</w:t>
            </w:r>
          </w:p>
        </w:tc>
        <w:tc>
          <w:tcPr>
            <w:tcW w:w="956" w:type="dxa"/>
            <w:tcBorders>
              <w:top w:val="nil"/>
              <w:left w:val="nil"/>
              <w:bottom w:val="nil"/>
              <w:right w:val="nil"/>
            </w:tcBorders>
            <w:shd w:val="clear" w:color="auto" w:fill="auto"/>
            <w:noWrap/>
            <w:vAlign w:val="bottom"/>
            <w:hideMark/>
          </w:tcPr>
          <w:p w14:paraId="7757F674"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0.15</w:t>
            </w:r>
          </w:p>
        </w:tc>
        <w:tc>
          <w:tcPr>
            <w:tcW w:w="956" w:type="dxa"/>
            <w:tcBorders>
              <w:top w:val="nil"/>
              <w:left w:val="nil"/>
              <w:bottom w:val="nil"/>
              <w:right w:val="nil"/>
            </w:tcBorders>
            <w:shd w:val="clear" w:color="auto" w:fill="auto"/>
            <w:noWrap/>
            <w:vAlign w:val="bottom"/>
            <w:hideMark/>
          </w:tcPr>
          <w:p w14:paraId="0496C8E4"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93</w:t>
            </w:r>
          </w:p>
        </w:tc>
      </w:tr>
      <w:tr w:rsidR="00E866FF" w:rsidRPr="003B32F7" w14:paraId="6BBBBDE2"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11389161"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Prometryn</w:t>
            </w:r>
          </w:p>
        </w:tc>
        <w:tc>
          <w:tcPr>
            <w:tcW w:w="1535" w:type="dxa"/>
            <w:tcBorders>
              <w:top w:val="nil"/>
              <w:left w:val="nil"/>
              <w:bottom w:val="nil"/>
              <w:right w:val="nil"/>
            </w:tcBorders>
            <w:shd w:val="clear" w:color="auto" w:fill="auto"/>
            <w:noWrap/>
            <w:vAlign w:val="bottom"/>
            <w:hideMark/>
          </w:tcPr>
          <w:p w14:paraId="422DDE53"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0</w:t>
            </w:r>
          </w:p>
        </w:tc>
        <w:tc>
          <w:tcPr>
            <w:tcW w:w="957" w:type="dxa"/>
            <w:tcBorders>
              <w:top w:val="nil"/>
              <w:left w:val="nil"/>
              <w:bottom w:val="nil"/>
              <w:right w:val="nil"/>
            </w:tcBorders>
            <w:shd w:val="clear" w:color="auto" w:fill="auto"/>
            <w:noWrap/>
            <w:vAlign w:val="bottom"/>
            <w:hideMark/>
          </w:tcPr>
          <w:p w14:paraId="74B6F6CF"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p>
        </w:tc>
        <w:tc>
          <w:tcPr>
            <w:tcW w:w="956" w:type="dxa"/>
            <w:tcBorders>
              <w:top w:val="nil"/>
              <w:left w:val="nil"/>
              <w:bottom w:val="nil"/>
              <w:right w:val="nil"/>
            </w:tcBorders>
            <w:shd w:val="clear" w:color="auto" w:fill="auto"/>
            <w:noWrap/>
            <w:vAlign w:val="bottom"/>
            <w:hideMark/>
          </w:tcPr>
          <w:p w14:paraId="2A27492E" w14:textId="77777777" w:rsidR="00E866FF" w:rsidRPr="003B32F7" w:rsidRDefault="00E866FF" w:rsidP="003B32F7">
            <w:pPr>
              <w:contextualSpacing/>
              <w:jc w:val="left"/>
              <w:rPr>
                <w:rFonts w:ascii="Times New Roman" w:eastAsia="Times New Roman" w:hAnsi="Times New Roman" w:cs="Times New Roman"/>
                <w:sz w:val="18"/>
                <w:szCs w:val="18"/>
                <w:lang w:val="en-AU" w:eastAsia="en-AU" w:bidi="ar-SA"/>
              </w:rPr>
            </w:pPr>
          </w:p>
        </w:tc>
        <w:tc>
          <w:tcPr>
            <w:tcW w:w="956" w:type="dxa"/>
            <w:tcBorders>
              <w:top w:val="nil"/>
              <w:left w:val="nil"/>
              <w:bottom w:val="nil"/>
              <w:right w:val="nil"/>
            </w:tcBorders>
            <w:shd w:val="clear" w:color="auto" w:fill="auto"/>
            <w:noWrap/>
            <w:vAlign w:val="bottom"/>
            <w:hideMark/>
          </w:tcPr>
          <w:p w14:paraId="402F256E" w14:textId="77777777" w:rsidR="00E866FF" w:rsidRPr="003B32F7" w:rsidRDefault="00E866FF" w:rsidP="003B32F7">
            <w:pPr>
              <w:contextualSpacing/>
              <w:jc w:val="left"/>
              <w:rPr>
                <w:rFonts w:ascii="Times New Roman" w:eastAsia="Times New Roman" w:hAnsi="Times New Roman" w:cs="Times New Roman"/>
                <w:sz w:val="18"/>
                <w:szCs w:val="18"/>
                <w:lang w:val="en-AU" w:eastAsia="en-AU" w:bidi="ar-SA"/>
              </w:rPr>
            </w:pPr>
          </w:p>
        </w:tc>
      </w:tr>
      <w:tr w:rsidR="00E866FF" w:rsidRPr="003B32F7" w14:paraId="372C8741"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1C706789"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 xml:space="preserve">Simazine </w:t>
            </w:r>
          </w:p>
        </w:tc>
        <w:tc>
          <w:tcPr>
            <w:tcW w:w="1535" w:type="dxa"/>
            <w:tcBorders>
              <w:top w:val="nil"/>
              <w:left w:val="nil"/>
              <w:bottom w:val="nil"/>
              <w:right w:val="nil"/>
            </w:tcBorders>
            <w:shd w:val="clear" w:color="auto" w:fill="auto"/>
            <w:noWrap/>
            <w:vAlign w:val="bottom"/>
            <w:hideMark/>
          </w:tcPr>
          <w:p w14:paraId="1F40C3EB"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19</w:t>
            </w:r>
          </w:p>
        </w:tc>
        <w:tc>
          <w:tcPr>
            <w:tcW w:w="957" w:type="dxa"/>
            <w:tcBorders>
              <w:top w:val="nil"/>
              <w:left w:val="nil"/>
              <w:bottom w:val="nil"/>
              <w:right w:val="nil"/>
            </w:tcBorders>
            <w:shd w:val="clear" w:color="auto" w:fill="auto"/>
            <w:noWrap/>
            <w:vAlign w:val="bottom"/>
            <w:hideMark/>
          </w:tcPr>
          <w:p w14:paraId="12A8DD59"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31</w:t>
            </w:r>
          </w:p>
        </w:tc>
        <w:tc>
          <w:tcPr>
            <w:tcW w:w="956" w:type="dxa"/>
            <w:tcBorders>
              <w:top w:val="nil"/>
              <w:left w:val="nil"/>
              <w:bottom w:val="nil"/>
              <w:right w:val="nil"/>
            </w:tcBorders>
            <w:shd w:val="clear" w:color="auto" w:fill="auto"/>
            <w:noWrap/>
            <w:vAlign w:val="bottom"/>
            <w:hideMark/>
          </w:tcPr>
          <w:p w14:paraId="7340640A"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4.8</w:t>
            </w:r>
          </w:p>
        </w:tc>
        <w:tc>
          <w:tcPr>
            <w:tcW w:w="956" w:type="dxa"/>
            <w:tcBorders>
              <w:top w:val="nil"/>
              <w:left w:val="nil"/>
              <w:bottom w:val="nil"/>
              <w:right w:val="nil"/>
            </w:tcBorders>
            <w:shd w:val="clear" w:color="auto" w:fill="auto"/>
            <w:noWrap/>
            <w:vAlign w:val="bottom"/>
            <w:hideMark/>
          </w:tcPr>
          <w:p w14:paraId="084AC321"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111</w:t>
            </w:r>
          </w:p>
        </w:tc>
      </w:tr>
      <w:tr w:rsidR="00E866FF" w:rsidRPr="003B32F7" w14:paraId="6DCAF61B"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424DA048"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Tebuthiuron</w:t>
            </w:r>
          </w:p>
        </w:tc>
        <w:tc>
          <w:tcPr>
            <w:tcW w:w="1535" w:type="dxa"/>
            <w:tcBorders>
              <w:top w:val="nil"/>
              <w:left w:val="nil"/>
              <w:bottom w:val="nil"/>
              <w:right w:val="nil"/>
            </w:tcBorders>
            <w:shd w:val="clear" w:color="auto" w:fill="auto"/>
            <w:noWrap/>
            <w:vAlign w:val="bottom"/>
            <w:hideMark/>
          </w:tcPr>
          <w:p w14:paraId="370AB19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24</w:t>
            </w:r>
          </w:p>
        </w:tc>
        <w:tc>
          <w:tcPr>
            <w:tcW w:w="957" w:type="dxa"/>
            <w:tcBorders>
              <w:top w:val="nil"/>
              <w:left w:val="nil"/>
              <w:bottom w:val="nil"/>
              <w:right w:val="nil"/>
            </w:tcBorders>
            <w:shd w:val="clear" w:color="auto" w:fill="auto"/>
            <w:noWrap/>
            <w:vAlign w:val="bottom"/>
            <w:hideMark/>
          </w:tcPr>
          <w:p w14:paraId="304ABF2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19</w:t>
            </w:r>
          </w:p>
        </w:tc>
        <w:tc>
          <w:tcPr>
            <w:tcW w:w="956" w:type="dxa"/>
            <w:tcBorders>
              <w:top w:val="nil"/>
              <w:left w:val="nil"/>
              <w:bottom w:val="nil"/>
              <w:right w:val="nil"/>
            </w:tcBorders>
            <w:shd w:val="clear" w:color="auto" w:fill="auto"/>
            <w:noWrap/>
            <w:vAlign w:val="bottom"/>
            <w:hideMark/>
          </w:tcPr>
          <w:p w14:paraId="3E92F1FC"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2.9</w:t>
            </w:r>
          </w:p>
        </w:tc>
        <w:tc>
          <w:tcPr>
            <w:tcW w:w="956" w:type="dxa"/>
            <w:tcBorders>
              <w:top w:val="nil"/>
              <w:left w:val="nil"/>
              <w:bottom w:val="nil"/>
              <w:right w:val="nil"/>
            </w:tcBorders>
            <w:shd w:val="clear" w:color="auto" w:fill="auto"/>
            <w:noWrap/>
            <w:vAlign w:val="bottom"/>
            <w:hideMark/>
          </w:tcPr>
          <w:p w14:paraId="265A35B4"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52</w:t>
            </w:r>
          </w:p>
        </w:tc>
      </w:tr>
      <w:tr w:rsidR="00E866FF" w:rsidRPr="003B32F7" w14:paraId="252933EB"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1E506119"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Terbutryn</w:t>
            </w:r>
          </w:p>
        </w:tc>
        <w:tc>
          <w:tcPr>
            <w:tcW w:w="1535" w:type="dxa"/>
            <w:tcBorders>
              <w:top w:val="nil"/>
              <w:left w:val="nil"/>
              <w:bottom w:val="nil"/>
              <w:right w:val="nil"/>
            </w:tcBorders>
            <w:shd w:val="clear" w:color="auto" w:fill="auto"/>
            <w:noWrap/>
            <w:vAlign w:val="bottom"/>
            <w:hideMark/>
          </w:tcPr>
          <w:p w14:paraId="0CA9B628"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w:t>
            </w:r>
          </w:p>
        </w:tc>
        <w:tc>
          <w:tcPr>
            <w:tcW w:w="957" w:type="dxa"/>
            <w:tcBorders>
              <w:top w:val="nil"/>
              <w:left w:val="nil"/>
              <w:bottom w:val="nil"/>
              <w:right w:val="nil"/>
            </w:tcBorders>
            <w:shd w:val="clear" w:color="auto" w:fill="auto"/>
            <w:noWrap/>
            <w:vAlign w:val="bottom"/>
            <w:hideMark/>
          </w:tcPr>
          <w:p w14:paraId="65BDC73D"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3.3</w:t>
            </w:r>
          </w:p>
        </w:tc>
        <w:tc>
          <w:tcPr>
            <w:tcW w:w="956" w:type="dxa"/>
            <w:tcBorders>
              <w:top w:val="nil"/>
              <w:left w:val="nil"/>
              <w:bottom w:val="nil"/>
              <w:right w:val="nil"/>
            </w:tcBorders>
            <w:shd w:val="clear" w:color="auto" w:fill="auto"/>
            <w:noWrap/>
            <w:vAlign w:val="bottom"/>
            <w:hideMark/>
          </w:tcPr>
          <w:p w14:paraId="3C915D88"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3.3</w:t>
            </w:r>
          </w:p>
        </w:tc>
        <w:tc>
          <w:tcPr>
            <w:tcW w:w="956" w:type="dxa"/>
            <w:tcBorders>
              <w:top w:val="nil"/>
              <w:left w:val="nil"/>
              <w:bottom w:val="nil"/>
              <w:right w:val="nil"/>
            </w:tcBorders>
            <w:shd w:val="clear" w:color="auto" w:fill="auto"/>
            <w:noWrap/>
            <w:vAlign w:val="bottom"/>
            <w:hideMark/>
          </w:tcPr>
          <w:p w14:paraId="2FBDF33D"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3.3</w:t>
            </w:r>
          </w:p>
        </w:tc>
      </w:tr>
      <w:tr w:rsidR="00E866FF" w:rsidRPr="003B32F7" w14:paraId="0F6FA208"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38B98029"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Terbutylazine</w:t>
            </w:r>
          </w:p>
        </w:tc>
        <w:tc>
          <w:tcPr>
            <w:tcW w:w="1535" w:type="dxa"/>
            <w:tcBorders>
              <w:top w:val="nil"/>
              <w:left w:val="nil"/>
              <w:bottom w:val="nil"/>
              <w:right w:val="nil"/>
            </w:tcBorders>
            <w:shd w:val="clear" w:color="auto" w:fill="auto"/>
            <w:noWrap/>
            <w:vAlign w:val="bottom"/>
            <w:hideMark/>
          </w:tcPr>
          <w:p w14:paraId="3F766ACE"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3</w:t>
            </w:r>
          </w:p>
        </w:tc>
        <w:tc>
          <w:tcPr>
            <w:tcW w:w="957" w:type="dxa"/>
            <w:tcBorders>
              <w:top w:val="nil"/>
              <w:left w:val="nil"/>
              <w:bottom w:val="nil"/>
              <w:right w:val="nil"/>
            </w:tcBorders>
            <w:shd w:val="clear" w:color="auto" w:fill="auto"/>
            <w:noWrap/>
            <w:vAlign w:val="bottom"/>
            <w:hideMark/>
          </w:tcPr>
          <w:p w14:paraId="3CEC265F"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40</w:t>
            </w:r>
          </w:p>
        </w:tc>
        <w:tc>
          <w:tcPr>
            <w:tcW w:w="956" w:type="dxa"/>
            <w:tcBorders>
              <w:top w:val="nil"/>
              <w:left w:val="nil"/>
              <w:bottom w:val="nil"/>
              <w:right w:val="nil"/>
            </w:tcBorders>
            <w:shd w:val="clear" w:color="auto" w:fill="auto"/>
            <w:noWrap/>
            <w:vAlign w:val="bottom"/>
            <w:hideMark/>
          </w:tcPr>
          <w:p w14:paraId="4A88D391"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0.74</w:t>
            </w:r>
          </w:p>
        </w:tc>
        <w:tc>
          <w:tcPr>
            <w:tcW w:w="956" w:type="dxa"/>
            <w:tcBorders>
              <w:top w:val="nil"/>
              <w:left w:val="nil"/>
              <w:bottom w:val="nil"/>
              <w:right w:val="nil"/>
            </w:tcBorders>
            <w:shd w:val="clear" w:color="auto" w:fill="auto"/>
            <w:noWrap/>
            <w:vAlign w:val="bottom"/>
            <w:hideMark/>
          </w:tcPr>
          <w:p w14:paraId="7E293F55"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76</w:t>
            </w:r>
          </w:p>
        </w:tc>
      </w:tr>
      <w:tr w:rsidR="00E866FF" w:rsidRPr="003B32F7" w14:paraId="0F358139"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48A7D403"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Imazapic</w:t>
            </w:r>
          </w:p>
        </w:tc>
        <w:tc>
          <w:tcPr>
            <w:tcW w:w="1535" w:type="dxa"/>
            <w:tcBorders>
              <w:top w:val="nil"/>
              <w:left w:val="nil"/>
              <w:bottom w:val="nil"/>
              <w:right w:val="nil"/>
            </w:tcBorders>
            <w:shd w:val="clear" w:color="auto" w:fill="auto"/>
            <w:noWrap/>
            <w:vAlign w:val="bottom"/>
            <w:hideMark/>
          </w:tcPr>
          <w:p w14:paraId="697D5F63"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w:t>
            </w:r>
          </w:p>
        </w:tc>
        <w:tc>
          <w:tcPr>
            <w:tcW w:w="957" w:type="dxa"/>
            <w:tcBorders>
              <w:top w:val="nil"/>
              <w:left w:val="nil"/>
              <w:bottom w:val="nil"/>
              <w:right w:val="nil"/>
            </w:tcBorders>
            <w:shd w:val="clear" w:color="auto" w:fill="auto"/>
            <w:noWrap/>
            <w:vAlign w:val="bottom"/>
            <w:hideMark/>
          </w:tcPr>
          <w:p w14:paraId="09C1532D"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26</w:t>
            </w:r>
          </w:p>
        </w:tc>
        <w:tc>
          <w:tcPr>
            <w:tcW w:w="956" w:type="dxa"/>
            <w:tcBorders>
              <w:top w:val="nil"/>
              <w:left w:val="nil"/>
              <w:bottom w:val="nil"/>
              <w:right w:val="nil"/>
            </w:tcBorders>
            <w:shd w:val="clear" w:color="auto" w:fill="auto"/>
            <w:noWrap/>
            <w:vAlign w:val="bottom"/>
            <w:hideMark/>
          </w:tcPr>
          <w:p w14:paraId="58A0A2A3"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12</w:t>
            </w:r>
          </w:p>
        </w:tc>
        <w:tc>
          <w:tcPr>
            <w:tcW w:w="956" w:type="dxa"/>
            <w:tcBorders>
              <w:top w:val="nil"/>
              <w:left w:val="nil"/>
              <w:bottom w:val="nil"/>
              <w:right w:val="nil"/>
            </w:tcBorders>
            <w:shd w:val="clear" w:color="auto" w:fill="auto"/>
            <w:noWrap/>
            <w:vAlign w:val="bottom"/>
            <w:hideMark/>
          </w:tcPr>
          <w:p w14:paraId="258C3762"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39</w:t>
            </w:r>
          </w:p>
        </w:tc>
      </w:tr>
      <w:tr w:rsidR="00E866FF" w:rsidRPr="003B32F7" w14:paraId="51E180A3"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12AB1A49"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Imidacloprid</w:t>
            </w:r>
          </w:p>
        </w:tc>
        <w:tc>
          <w:tcPr>
            <w:tcW w:w="1535" w:type="dxa"/>
            <w:tcBorders>
              <w:top w:val="nil"/>
              <w:left w:val="nil"/>
              <w:bottom w:val="nil"/>
              <w:right w:val="nil"/>
            </w:tcBorders>
            <w:shd w:val="clear" w:color="auto" w:fill="auto"/>
            <w:noWrap/>
            <w:vAlign w:val="bottom"/>
            <w:hideMark/>
          </w:tcPr>
          <w:p w14:paraId="491C2D4C"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16</w:t>
            </w:r>
          </w:p>
        </w:tc>
        <w:tc>
          <w:tcPr>
            <w:tcW w:w="957" w:type="dxa"/>
            <w:tcBorders>
              <w:top w:val="nil"/>
              <w:left w:val="nil"/>
              <w:bottom w:val="nil"/>
              <w:right w:val="nil"/>
            </w:tcBorders>
            <w:shd w:val="clear" w:color="auto" w:fill="auto"/>
            <w:noWrap/>
            <w:vAlign w:val="bottom"/>
            <w:hideMark/>
          </w:tcPr>
          <w:p w14:paraId="5902A116"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30</w:t>
            </w:r>
          </w:p>
        </w:tc>
        <w:tc>
          <w:tcPr>
            <w:tcW w:w="956" w:type="dxa"/>
            <w:tcBorders>
              <w:top w:val="nil"/>
              <w:left w:val="nil"/>
              <w:bottom w:val="nil"/>
              <w:right w:val="nil"/>
            </w:tcBorders>
            <w:shd w:val="clear" w:color="auto" w:fill="auto"/>
            <w:noWrap/>
            <w:vAlign w:val="bottom"/>
            <w:hideMark/>
          </w:tcPr>
          <w:p w14:paraId="54EAB915"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2.9</w:t>
            </w:r>
          </w:p>
        </w:tc>
        <w:tc>
          <w:tcPr>
            <w:tcW w:w="956" w:type="dxa"/>
            <w:tcBorders>
              <w:top w:val="nil"/>
              <w:left w:val="nil"/>
              <w:bottom w:val="nil"/>
              <w:right w:val="nil"/>
            </w:tcBorders>
            <w:shd w:val="clear" w:color="auto" w:fill="auto"/>
            <w:noWrap/>
            <w:vAlign w:val="bottom"/>
            <w:hideMark/>
          </w:tcPr>
          <w:p w14:paraId="4BCB50A4"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91</w:t>
            </w:r>
          </w:p>
        </w:tc>
      </w:tr>
      <w:tr w:rsidR="00E866FF" w:rsidRPr="003B32F7" w14:paraId="79D27E55"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5310DDFB"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DI Atrazine</w:t>
            </w:r>
          </w:p>
        </w:tc>
        <w:tc>
          <w:tcPr>
            <w:tcW w:w="1535" w:type="dxa"/>
            <w:tcBorders>
              <w:top w:val="nil"/>
              <w:left w:val="nil"/>
              <w:bottom w:val="nil"/>
              <w:right w:val="nil"/>
            </w:tcBorders>
            <w:shd w:val="clear" w:color="auto" w:fill="auto"/>
            <w:noWrap/>
            <w:vAlign w:val="bottom"/>
            <w:hideMark/>
          </w:tcPr>
          <w:p w14:paraId="4920CE2F"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8</w:t>
            </w:r>
          </w:p>
        </w:tc>
        <w:tc>
          <w:tcPr>
            <w:tcW w:w="957" w:type="dxa"/>
            <w:tcBorders>
              <w:top w:val="nil"/>
              <w:left w:val="nil"/>
              <w:bottom w:val="nil"/>
              <w:right w:val="nil"/>
            </w:tcBorders>
            <w:shd w:val="clear" w:color="auto" w:fill="auto"/>
            <w:noWrap/>
            <w:vAlign w:val="bottom"/>
            <w:hideMark/>
          </w:tcPr>
          <w:p w14:paraId="0A92BF6A"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20</w:t>
            </w:r>
          </w:p>
        </w:tc>
        <w:tc>
          <w:tcPr>
            <w:tcW w:w="956" w:type="dxa"/>
            <w:tcBorders>
              <w:top w:val="nil"/>
              <w:left w:val="nil"/>
              <w:bottom w:val="nil"/>
              <w:right w:val="nil"/>
            </w:tcBorders>
            <w:shd w:val="clear" w:color="auto" w:fill="auto"/>
            <w:noWrap/>
            <w:vAlign w:val="bottom"/>
            <w:hideMark/>
          </w:tcPr>
          <w:p w14:paraId="3AC5ECEC"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1.3</w:t>
            </w:r>
          </w:p>
        </w:tc>
        <w:tc>
          <w:tcPr>
            <w:tcW w:w="956" w:type="dxa"/>
            <w:tcBorders>
              <w:top w:val="nil"/>
              <w:left w:val="nil"/>
              <w:bottom w:val="nil"/>
              <w:right w:val="nil"/>
            </w:tcBorders>
            <w:shd w:val="clear" w:color="auto" w:fill="auto"/>
            <w:noWrap/>
            <w:vAlign w:val="bottom"/>
            <w:hideMark/>
          </w:tcPr>
          <w:p w14:paraId="561EE20A"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35</w:t>
            </w:r>
          </w:p>
        </w:tc>
      </w:tr>
      <w:tr w:rsidR="00E866FF" w:rsidRPr="003B32F7" w14:paraId="36714CD4"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1B4587E1"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 xml:space="preserve">Metsulfuron methyl </w:t>
            </w:r>
          </w:p>
        </w:tc>
        <w:tc>
          <w:tcPr>
            <w:tcW w:w="1535" w:type="dxa"/>
            <w:tcBorders>
              <w:top w:val="nil"/>
              <w:left w:val="nil"/>
              <w:bottom w:val="nil"/>
              <w:right w:val="nil"/>
            </w:tcBorders>
            <w:shd w:val="clear" w:color="auto" w:fill="auto"/>
            <w:noWrap/>
            <w:vAlign w:val="bottom"/>
            <w:hideMark/>
          </w:tcPr>
          <w:p w14:paraId="557A8619"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4</w:t>
            </w:r>
          </w:p>
        </w:tc>
        <w:tc>
          <w:tcPr>
            <w:tcW w:w="957" w:type="dxa"/>
            <w:tcBorders>
              <w:top w:val="nil"/>
              <w:left w:val="nil"/>
              <w:bottom w:val="nil"/>
              <w:right w:val="nil"/>
            </w:tcBorders>
            <w:shd w:val="clear" w:color="auto" w:fill="auto"/>
            <w:noWrap/>
            <w:vAlign w:val="bottom"/>
            <w:hideMark/>
          </w:tcPr>
          <w:p w14:paraId="5877523C"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13</w:t>
            </w:r>
          </w:p>
        </w:tc>
        <w:tc>
          <w:tcPr>
            <w:tcW w:w="956" w:type="dxa"/>
            <w:tcBorders>
              <w:top w:val="nil"/>
              <w:left w:val="nil"/>
              <w:bottom w:val="nil"/>
              <w:right w:val="nil"/>
            </w:tcBorders>
            <w:shd w:val="clear" w:color="auto" w:fill="auto"/>
            <w:noWrap/>
            <w:vAlign w:val="bottom"/>
            <w:hideMark/>
          </w:tcPr>
          <w:p w14:paraId="749AA9E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3.7</w:t>
            </w:r>
          </w:p>
        </w:tc>
        <w:tc>
          <w:tcPr>
            <w:tcW w:w="956" w:type="dxa"/>
            <w:tcBorders>
              <w:top w:val="nil"/>
              <w:left w:val="nil"/>
              <w:bottom w:val="nil"/>
              <w:right w:val="nil"/>
            </w:tcBorders>
            <w:shd w:val="clear" w:color="auto" w:fill="auto"/>
            <w:noWrap/>
            <w:vAlign w:val="bottom"/>
            <w:hideMark/>
          </w:tcPr>
          <w:p w14:paraId="6C73EDA9"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27</w:t>
            </w:r>
          </w:p>
        </w:tc>
      </w:tr>
      <w:tr w:rsidR="00E866FF" w:rsidRPr="003B32F7" w14:paraId="6AA7F4AD"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339D322A"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24-D</w:t>
            </w:r>
          </w:p>
        </w:tc>
        <w:tc>
          <w:tcPr>
            <w:tcW w:w="1535" w:type="dxa"/>
            <w:tcBorders>
              <w:top w:val="nil"/>
              <w:left w:val="nil"/>
              <w:bottom w:val="nil"/>
              <w:right w:val="nil"/>
            </w:tcBorders>
            <w:shd w:val="clear" w:color="auto" w:fill="auto"/>
            <w:noWrap/>
            <w:vAlign w:val="bottom"/>
            <w:hideMark/>
          </w:tcPr>
          <w:p w14:paraId="309A443C"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19</w:t>
            </w:r>
          </w:p>
        </w:tc>
        <w:tc>
          <w:tcPr>
            <w:tcW w:w="957" w:type="dxa"/>
            <w:tcBorders>
              <w:top w:val="nil"/>
              <w:left w:val="nil"/>
              <w:bottom w:val="nil"/>
              <w:right w:val="nil"/>
            </w:tcBorders>
            <w:shd w:val="clear" w:color="auto" w:fill="auto"/>
            <w:noWrap/>
            <w:vAlign w:val="bottom"/>
            <w:hideMark/>
          </w:tcPr>
          <w:p w14:paraId="29387682"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17</w:t>
            </w:r>
          </w:p>
        </w:tc>
        <w:tc>
          <w:tcPr>
            <w:tcW w:w="956" w:type="dxa"/>
            <w:tcBorders>
              <w:top w:val="nil"/>
              <w:left w:val="nil"/>
              <w:bottom w:val="nil"/>
              <w:right w:val="nil"/>
            </w:tcBorders>
            <w:shd w:val="clear" w:color="auto" w:fill="auto"/>
            <w:noWrap/>
            <w:vAlign w:val="bottom"/>
            <w:hideMark/>
          </w:tcPr>
          <w:p w14:paraId="7627225B"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2.6</w:t>
            </w:r>
          </w:p>
        </w:tc>
        <w:tc>
          <w:tcPr>
            <w:tcW w:w="956" w:type="dxa"/>
            <w:tcBorders>
              <w:top w:val="nil"/>
              <w:left w:val="nil"/>
              <w:bottom w:val="nil"/>
              <w:right w:val="nil"/>
            </w:tcBorders>
            <w:shd w:val="clear" w:color="auto" w:fill="auto"/>
            <w:noWrap/>
            <w:vAlign w:val="bottom"/>
            <w:hideMark/>
          </w:tcPr>
          <w:p w14:paraId="565DE1B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62</w:t>
            </w:r>
          </w:p>
        </w:tc>
      </w:tr>
      <w:tr w:rsidR="00E866FF" w:rsidRPr="003B32F7" w14:paraId="61D9E46E"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48628596"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24-DB</w:t>
            </w:r>
          </w:p>
        </w:tc>
        <w:tc>
          <w:tcPr>
            <w:tcW w:w="1535" w:type="dxa"/>
            <w:tcBorders>
              <w:top w:val="nil"/>
              <w:left w:val="nil"/>
              <w:bottom w:val="nil"/>
              <w:right w:val="nil"/>
            </w:tcBorders>
            <w:shd w:val="clear" w:color="auto" w:fill="auto"/>
            <w:noWrap/>
            <w:vAlign w:val="bottom"/>
            <w:hideMark/>
          </w:tcPr>
          <w:p w14:paraId="06ABA52F"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w:t>
            </w:r>
          </w:p>
        </w:tc>
        <w:tc>
          <w:tcPr>
            <w:tcW w:w="957" w:type="dxa"/>
            <w:tcBorders>
              <w:top w:val="nil"/>
              <w:left w:val="nil"/>
              <w:bottom w:val="nil"/>
              <w:right w:val="nil"/>
            </w:tcBorders>
            <w:shd w:val="clear" w:color="auto" w:fill="auto"/>
            <w:noWrap/>
            <w:vAlign w:val="bottom"/>
            <w:hideMark/>
          </w:tcPr>
          <w:p w14:paraId="01ECBFD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22</w:t>
            </w:r>
          </w:p>
        </w:tc>
        <w:tc>
          <w:tcPr>
            <w:tcW w:w="956" w:type="dxa"/>
            <w:tcBorders>
              <w:top w:val="nil"/>
              <w:left w:val="nil"/>
              <w:bottom w:val="nil"/>
              <w:right w:val="nil"/>
            </w:tcBorders>
            <w:shd w:val="clear" w:color="auto" w:fill="auto"/>
            <w:noWrap/>
            <w:vAlign w:val="bottom"/>
            <w:hideMark/>
          </w:tcPr>
          <w:p w14:paraId="728749D4"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22</w:t>
            </w:r>
          </w:p>
        </w:tc>
        <w:tc>
          <w:tcPr>
            <w:tcW w:w="956" w:type="dxa"/>
            <w:tcBorders>
              <w:top w:val="nil"/>
              <w:left w:val="nil"/>
              <w:bottom w:val="nil"/>
              <w:right w:val="nil"/>
            </w:tcBorders>
            <w:shd w:val="clear" w:color="auto" w:fill="auto"/>
            <w:noWrap/>
            <w:vAlign w:val="bottom"/>
            <w:hideMark/>
          </w:tcPr>
          <w:p w14:paraId="4B283DDB"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22</w:t>
            </w:r>
          </w:p>
        </w:tc>
      </w:tr>
      <w:tr w:rsidR="00E866FF" w:rsidRPr="003B32F7" w14:paraId="3E4E9777"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7F1D430C"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Bromacil</w:t>
            </w:r>
          </w:p>
        </w:tc>
        <w:tc>
          <w:tcPr>
            <w:tcW w:w="1535" w:type="dxa"/>
            <w:tcBorders>
              <w:top w:val="nil"/>
              <w:left w:val="nil"/>
              <w:bottom w:val="nil"/>
              <w:right w:val="nil"/>
            </w:tcBorders>
            <w:shd w:val="clear" w:color="auto" w:fill="auto"/>
            <w:noWrap/>
            <w:vAlign w:val="bottom"/>
            <w:hideMark/>
          </w:tcPr>
          <w:p w14:paraId="20A2239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4</w:t>
            </w:r>
          </w:p>
        </w:tc>
        <w:tc>
          <w:tcPr>
            <w:tcW w:w="957" w:type="dxa"/>
            <w:tcBorders>
              <w:top w:val="nil"/>
              <w:left w:val="nil"/>
              <w:bottom w:val="nil"/>
              <w:right w:val="nil"/>
            </w:tcBorders>
            <w:shd w:val="clear" w:color="auto" w:fill="auto"/>
            <w:noWrap/>
            <w:vAlign w:val="bottom"/>
            <w:hideMark/>
          </w:tcPr>
          <w:p w14:paraId="073B1D1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12</w:t>
            </w:r>
          </w:p>
        </w:tc>
        <w:tc>
          <w:tcPr>
            <w:tcW w:w="956" w:type="dxa"/>
            <w:tcBorders>
              <w:top w:val="nil"/>
              <w:left w:val="nil"/>
              <w:bottom w:val="nil"/>
              <w:right w:val="nil"/>
            </w:tcBorders>
            <w:shd w:val="clear" w:color="auto" w:fill="auto"/>
            <w:noWrap/>
            <w:vAlign w:val="bottom"/>
            <w:hideMark/>
          </w:tcPr>
          <w:p w14:paraId="01D6A8D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2.6</w:t>
            </w:r>
          </w:p>
        </w:tc>
        <w:tc>
          <w:tcPr>
            <w:tcW w:w="956" w:type="dxa"/>
            <w:tcBorders>
              <w:top w:val="nil"/>
              <w:left w:val="nil"/>
              <w:bottom w:val="nil"/>
              <w:right w:val="nil"/>
            </w:tcBorders>
            <w:shd w:val="clear" w:color="auto" w:fill="auto"/>
            <w:noWrap/>
            <w:vAlign w:val="bottom"/>
            <w:hideMark/>
          </w:tcPr>
          <w:p w14:paraId="2316D74E"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21</w:t>
            </w:r>
          </w:p>
        </w:tc>
      </w:tr>
      <w:tr w:rsidR="00E866FF" w:rsidRPr="003B32F7" w14:paraId="2AE399A7"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68158FB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Fluazifop</w:t>
            </w:r>
          </w:p>
        </w:tc>
        <w:tc>
          <w:tcPr>
            <w:tcW w:w="1535" w:type="dxa"/>
            <w:tcBorders>
              <w:top w:val="nil"/>
              <w:left w:val="nil"/>
              <w:bottom w:val="nil"/>
              <w:right w:val="nil"/>
            </w:tcBorders>
            <w:shd w:val="clear" w:color="auto" w:fill="auto"/>
            <w:noWrap/>
            <w:vAlign w:val="bottom"/>
            <w:hideMark/>
          </w:tcPr>
          <w:p w14:paraId="1E363C84"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w:t>
            </w:r>
          </w:p>
        </w:tc>
        <w:tc>
          <w:tcPr>
            <w:tcW w:w="957" w:type="dxa"/>
            <w:tcBorders>
              <w:top w:val="nil"/>
              <w:left w:val="nil"/>
              <w:bottom w:val="nil"/>
              <w:right w:val="nil"/>
            </w:tcBorders>
            <w:shd w:val="clear" w:color="auto" w:fill="auto"/>
            <w:noWrap/>
            <w:vAlign w:val="bottom"/>
            <w:hideMark/>
          </w:tcPr>
          <w:p w14:paraId="21BC44CF"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55</w:t>
            </w:r>
          </w:p>
        </w:tc>
        <w:tc>
          <w:tcPr>
            <w:tcW w:w="956" w:type="dxa"/>
            <w:tcBorders>
              <w:top w:val="nil"/>
              <w:left w:val="nil"/>
              <w:bottom w:val="nil"/>
              <w:right w:val="nil"/>
            </w:tcBorders>
            <w:shd w:val="clear" w:color="auto" w:fill="auto"/>
            <w:noWrap/>
            <w:vAlign w:val="bottom"/>
            <w:hideMark/>
          </w:tcPr>
          <w:p w14:paraId="4EA87D29"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55</w:t>
            </w:r>
          </w:p>
        </w:tc>
        <w:tc>
          <w:tcPr>
            <w:tcW w:w="956" w:type="dxa"/>
            <w:tcBorders>
              <w:top w:val="nil"/>
              <w:left w:val="nil"/>
              <w:bottom w:val="nil"/>
              <w:right w:val="nil"/>
            </w:tcBorders>
            <w:shd w:val="clear" w:color="auto" w:fill="auto"/>
            <w:noWrap/>
            <w:vAlign w:val="bottom"/>
            <w:hideMark/>
          </w:tcPr>
          <w:p w14:paraId="30D65E12"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55</w:t>
            </w:r>
          </w:p>
        </w:tc>
      </w:tr>
      <w:tr w:rsidR="00E866FF" w:rsidRPr="003B32F7" w14:paraId="1E364AD8"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788A6F96"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Fluometuron</w:t>
            </w:r>
          </w:p>
        </w:tc>
        <w:tc>
          <w:tcPr>
            <w:tcW w:w="1535" w:type="dxa"/>
            <w:tcBorders>
              <w:top w:val="nil"/>
              <w:left w:val="nil"/>
              <w:bottom w:val="nil"/>
              <w:right w:val="nil"/>
            </w:tcBorders>
            <w:shd w:val="clear" w:color="auto" w:fill="auto"/>
            <w:noWrap/>
            <w:vAlign w:val="bottom"/>
            <w:hideMark/>
          </w:tcPr>
          <w:p w14:paraId="71E7B81D"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0</w:t>
            </w:r>
          </w:p>
        </w:tc>
        <w:tc>
          <w:tcPr>
            <w:tcW w:w="957" w:type="dxa"/>
            <w:tcBorders>
              <w:top w:val="nil"/>
              <w:left w:val="nil"/>
              <w:bottom w:val="nil"/>
              <w:right w:val="nil"/>
            </w:tcBorders>
            <w:shd w:val="clear" w:color="auto" w:fill="auto"/>
            <w:noWrap/>
            <w:vAlign w:val="bottom"/>
            <w:hideMark/>
          </w:tcPr>
          <w:p w14:paraId="618F1CA8"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p>
        </w:tc>
        <w:tc>
          <w:tcPr>
            <w:tcW w:w="956" w:type="dxa"/>
            <w:tcBorders>
              <w:top w:val="nil"/>
              <w:left w:val="nil"/>
              <w:bottom w:val="nil"/>
              <w:right w:val="nil"/>
            </w:tcBorders>
            <w:shd w:val="clear" w:color="auto" w:fill="auto"/>
            <w:noWrap/>
            <w:vAlign w:val="bottom"/>
            <w:hideMark/>
          </w:tcPr>
          <w:p w14:paraId="4A4B3711" w14:textId="77777777" w:rsidR="00E866FF" w:rsidRPr="003B32F7" w:rsidRDefault="00E866FF" w:rsidP="003B32F7">
            <w:pPr>
              <w:contextualSpacing/>
              <w:jc w:val="left"/>
              <w:rPr>
                <w:rFonts w:ascii="Times New Roman" w:eastAsia="Times New Roman" w:hAnsi="Times New Roman" w:cs="Times New Roman"/>
                <w:sz w:val="18"/>
                <w:szCs w:val="18"/>
                <w:lang w:val="en-AU" w:eastAsia="en-AU" w:bidi="ar-SA"/>
              </w:rPr>
            </w:pPr>
          </w:p>
        </w:tc>
        <w:tc>
          <w:tcPr>
            <w:tcW w:w="956" w:type="dxa"/>
            <w:tcBorders>
              <w:top w:val="nil"/>
              <w:left w:val="nil"/>
              <w:bottom w:val="nil"/>
              <w:right w:val="nil"/>
            </w:tcBorders>
            <w:shd w:val="clear" w:color="auto" w:fill="auto"/>
            <w:noWrap/>
            <w:vAlign w:val="bottom"/>
            <w:hideMark/>
          </w:tcPr>
          <w:p w14:paraId="428C5F71" w14:textId="77777777" w:rsidR="00E866FF" w:rsidRPr="003B32F7" w:rsidRDefault="00E866FF" w:rsidP="003B32F7">
            <w:pPr>
              <w:contextualSpacing/>
              <w:jc w:val="left"/>
              <w:rPr>
                <w:rFonts w:ascii="Times New Roman" w:eastAsia="Times New Roman" w:hAnsi="Times New Roman" w:cs="Times New Roman"/>
                <w:sz w:val="18"/>
                <w:szCs w:val="18"/>
                <w:lang w:val="en-AU" w:eastAsia="en-AU" w:bidi="ar-SA"/>
              </w:rPr>
            </w:pPr>
          </w:p>
        </w:tc>
      </w:tr>
      <w:tr w:rsidR="00E866FF" w:rsidRPr="003B32F7" w14:paraId="1F1B2F5A"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23E1FD5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Fluroxypyr</w:t>
            </w:r>
          </w:p>
        </w:tc>
        <w:tc>
          <w:tcPr>
            <w:tcW w:w="1535" w:type="dxa"/>
            <w:tcBorders>
              <w:top w:val="nil"/>
              <w:left w:val="nil"/>
              <w:bottom w:val="nil"/>
              <w:right w:val="nil"/>
            </w:tcBorders>
            <w:shd w:val="clear" w:color="auto" w:fill="auto"/>
            <w:noWrap/>
            <w:vAlign w:val="bottom"/>
            <w:hideMark/>
          </w:tcPr>
          <w:p w14:paraId="2FBFAC6C"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6</w:t>
            </w:r>
          </w:p>
        </w:tc>
        <w:tc>
          <w:tcPr>
            <w:tcW w:w="957" w:type="dxa"/>
            <w:tcBorders>
              <w:top w:val="nil"/>
              <w:left w:val="nil"/>
              <w:bottom w:val="nil"/>
              <w:right w:val="nil"/>
            </w:tcBorders>
            <w:shd w:val="clear" w:color="auto" w:fill="auto"/>
            <w:noWrap/>
            <w:vAlign w:val="bottom"/>
            <w:hideMark/>
          </w:tcPr>
          <w:p w14:paraId="67467436"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24</w:t>
            </w:r>
          </w:p>
        </w:tc>
        <w:tc>
          <w:tcPr>
            <w:tcW w:w="956" w:type="dxa"/>
            <w:tcBorders>
              <w:top w:val="nil"/>
              <w:left w:val="nil"/>
              <w:bottom w:val="nil"/>
              <w:right w:val="nil"/>
            </w:tcBorders>
            <w:shd w:val="clear" w:color="auto" w:fill="auto"/>
            <w:noWrap/>
            <w:vAlign w:val="bottom"/>
            <w:hideMark/>
          </w:tcPr>
          <w:p w14:paraId="14E538AD"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1.6</w:t>
            </w:r>
          </w:p>
        </w:tc>
        <w:tc>
          <w:tcPr>
            <w:tcW w:w="956" w:type="dxa"/>
            <w:tcBorders>
              <w:top w:val="nil"/>
              <w:left w:val="nil"/>
              <w:bottom w:val="nil"/>
              <w:right w:val="nil"/>
            </w:tcBorders>
            <w:shd w:val="clear" w:color="auto" w:fill="auto"/>
            <w:noWrap/>
            <w:vAlign w:val="bottom"/>
            <w:hideMark/>
          </w:tcPr>
          <w:p w14:paraId="38BBFE65"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66</w:t>
            </w:r>
          </w:p>
        </w:tc>
      </w:tr>
      <w:tr w:rsidR="00E866FF" w:rsidRPr="003B32F7" w14:paraId="3ABF3030"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70F44E2F"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Haloxyfop</w:t>
            </w:r>
          </w:p>
        </w:tc>
        <w:tc>
          <w:tcPr>
            <w:tcW w:w="1535" w:type="dxa"/>
            <w:tcBorders>
              <w:top w:val="nil"/>
              <w:left w:val="nil"/>
              <w:bottom w:val="nil"/>
              <w:right w:val="nil"/>
            </w:tcBorders>
            <w:shd w:val="clear" w:color="auto" w:fill="auto"/>
            <w:noWrap/>
            <w:vAlign w:val="bottom"/>
            <w:hideMark/>
          </w:tcPr>
          <w:p w14:paraId="67684DA5"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10</w:t>
            </w:r>
          </w:p>
        </w:tc>
        <w:tc>
          <w:tcPr>
            <w:tcW w:w="957" w:type="dxa"/>
            <w:tcBorders>
              <w:top w:val="nil"/>
              <w:left w:val="nil"/>
              <w:bottom w:val="nil"/>
              <w:right w:val="nil"/>
            </w:tcBorders>
            <w:shd w:val="clear" w:color="auto" w:fill="auto"/>
            <w:noWrap/>
            <w:vAlign w:val="bottom"/>
            <w:hideMark/>
          </w:tcPr>
          <w:p w14:paraId="2777946D"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26</w:t>
            </w:r>
          </w:p>
        </w:tc>
        <w:tc>
          <w:tcPr>
            <w:tcW w:w="956" w:type="dxa"/>
            <w:tcBorders>
              <w:top w:val="nil"/>
              <w:left w:val="nil"/>
              <w:bottom w:val="nil"/>
              <w:right w:val="nil"/>
            </w:tcBorders>
            <w:shd w:val="clear" w:color="auto" w:fill="auto"/>
            <w:noWrap/>
            <w:vAlign w:val="bottom"/>
            <w:hideMark/>
          </w:tcPr>
          <w:p w14:paraId="3185D923"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1.4</w:t>
            </w:r>
          </w:p>
        </w:tc>
        <w:tc>
          <w:tcPr>
            <w:tcW w:w="956" w:type="dxa"/>
            <w:tcBorders>
              <w:top w:val="nil"/>
              <w:left w:val="nil"/>
              <w:bottom w:val="nil"/>
              <w:right w:val="nil"/>
            </w:tcBorders>
            <w:shd w:val="clear" w:color="auto" w:fill="auto"/>
            <w:noWrap/>
            <w:vAlign w:val="bottom"/>
            <w:hideMark/>
          </w:tcPr>
          <w:p w14:paraId="76E7EEC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101</w:t>
            </w:r>
          </w:p>
        </w:tc>
      </w:tr>
      <w:tr w:rsidR="00E866FF" w:rsidRPr="003B32F7" w14:paraId="777F48EE"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53A885C4"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MCPA</w:t>
            </w:r>
          </w:p>
        </w:tc>
        <w:tc>
          <w:tcPr>
            <w:tcW w:w="1535" w:type="dxa"/>
            <w:tcBorders>
              <w:top w:val="nil"/>
              <w:left w:val="nil"/>
              <w:bottom w:val="nil"/>
              <w:right w:val="nil"/>
            </w:tcBorders>
            <w:shd w:val="clear" w:color="auto" w:fill="auto"/>
            <w:noWrap/>
            <w:vAlign w:val="bottom"/>
            <w:hideMark/>
          </w:tcPr>
          <w:p w14:paraId="0320925D"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9</w:t>
            </w:r>
          </w:p>
        </w:tc>
        <w:tc>
          <w:tcPr>
            <w:tcW w:w="957" w:type="dxa"/>
            <w:tcBorders>
              <w:top w:val="nil"/>
              <w:left w:val="nil"/>
              <w:bottom w:val="nil"/>
              <w:right w:val="nil"/>
            </w:tcBorders>
            <w:shd w:val="clear" w:color="auto" w:fill="auto"/>
            <w:noWrap/>
            <w:vAlign w:val="bottom"/>
            <w:hideMark/>
          </w:tcPr>
          <w:p w14:paraId="139BAB51"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15</w:t>
            </w:r>
          </w:p>
        </w:tc>
        <w:tc>
          <w:tcPr>
            <w:tcW w:w="956" w:type="dxa"/>
            <w:tcBorders>
              <w:top w:val="nil"/>
              <w:left w:val="nil"/>
              <w:bottom w:val="nil"/>
              <w:right w:val="nil"/>
            </w:tcBorders>
            <w:shd w:val="clear" w:color="auto" w:fill="auto"/>
            <w:noWrap/>
            <w:vAlign w:val="bottom"/>
            <w:hideMark/>
          </w:tcPr>
          <w:p w14:paraId="5607F86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1.1</w:t>
            </w:r>
          </w:p>
        </w:tc>
        <w:tc>
          <w:tcPr>
            <w:tcW w:w="956" w:type="dxa"/>
            <w:tcBorders>
              <w:top w:val="nil"/>
              <w:left w:val="nil"/>
              <w:bottom w:val="nil"/>
              <w:right w:val="nil"/>
            </w:tcBorders>
            <w:shd w:val="clear" w:color="auto" w:fill="auto"/>
            <w:noWrap/>
            <w:vAlign w:val="bottom"/>
            <w:hideMark/>
          </w:tcPr>
          <w:p w14:paraId="0AD06354"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27</w:t>
            </w:r>
          </w:p>
        </w:tc>
      </w:tr>
      <w:tr w:rsidR="00E866FF" w:rsidRPr="003B32F7" w14:paraId="5E9F314B"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691DD43C"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Metribuzin</w:t>
            </w:r>
          </w:p>
        </w:tc>
        <w:tc>
          <w:tcPr>
            <w:tcW w:w="1535" w:type="dxa"/>
            <w:tcBorders>
              <w:top w:val="nil"/>
              <w:left w:val="nil"/>
              <w:bottom w:val="nil"/>
              <w:right w:val="nil"/>
            </w:tcBorders>
            <w:shd w:val="clear" w:color="auto" w:fill="auto"/>
            <w:noWrap/>
            <w:vAlign w:val="bottom"/>
            <w:hideMark/>
          </w:tcPr>
          <w:p w14:paraId="3863F2B7"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8</w:t>
            </w:r>
          </w:p>
        </w:tc>
        <w:tc>
          <w:tcPr>
            <w:tcW w:w="957" w:type="dxa"/>
            <w:tcBorders>
              <w:top w:val="nil"/>
              <w:left w:val="nil"/>
              <w:bottom w:val="nil"/>
              <w:right w:val="nil"/>
            </w:tcBorders>
            <w:shd w:val="clear" w:color="auto" w:fill="auto"/>
            <w:noWrap/>
            <w:vAlign w:val="bottom"/>
            <w:hideMark/>
          </w:tcPr>
          <w:p w14:paraId="6D63260D"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32</w:t>
            </w:r>
          </w:p>
        </w:tc>
        <w:tc>
          <w:tcPr>
            <w:tcW w:w="956" w:type="dxa"/>
            <w:tcBorders>
              <w:top w:val="nil"/>
              <w:left w:val="nil"/>
              <w:bottom w:val="nil"/>
              <w:right w:val="nil"/>
            </w:tcBorders>
            <w:shd w:val="clear" w:color="auto" w:fill="auto"/>
            <w:noWrap/>
            <w:vAlign w:val="bottom"/>
            <w:hideMark/>
          </w:tcPr>
          <w:p w14:paraId="0FB7BD2F"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0.91</w:t>
            </w:r>
          </w:p>
        </w:tc>
        <w:tc>
          <w:tcPr>
            <w:tcW w:w="956" w:type="dxa"/>
            <w:tcBorders>
              <w:top w:val="nil"/>
              <w:left w:val="nil"/>
              <w:bottom w:val="nil"/>
              <w:right w:val="nil"/>
            </w:tcBorders>
            <w:shd w:val="clear" w:color="auto" w:fill="auto"/>
            <w:noWrap/>
            <w:vAlign w:val="bottom"/>
            <w:hideMark/>
          </w:tcPr>
          <w:p w14:paraId="16E15C5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95</w:t>
            </w:r>
          </w:p>
        </w:tc>
      </w:tr>
      <w:tr w:rsidR="00E866FF" w:rsidRPr="003B32F7" w14:paraId="29B2DC82"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1C32E7FC"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Propazine</w:t>
            </w:r>
          </w:p>
        </w:tc>
        <w:tc>
          <w:tcPr>
            <w:tcW w:w="1535" w:type="dxa"/>
            <w:tcBorders>
              <w:top w:val="nil"/>
              <w:left w:val="nil"/>
              <w:bottom w:val="nil"/>
              <w:right w:val="nil"/>
            </w:tcBorders>
            <w:shd w:val="clear" w:color="auto" w:fill="auto"/>
            <w:noWrap/>
            <w:vAlign w:val="bottom"/>
            <w:hideMark/>
          </w:tcPr>
          <w:p w14:paraId="67FA6AF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10</w:t>
            </w:r>
          </w:p>
        </w:tc>
        <w:tc>
          <w:tcPr>
            <w:tcW w:w="957" w:type="dxa"/>
            <w:tcBorders>
              <w:top w:val="nil"/>
              <w:left w:val="nil"/>
              <w:bottom w:val="nil"/>
              <w:right w:val="nil"/>
            </w:tcBorders>
            <w:shd w:val="clear" w:color="auto" w:fill="auto"/>
            <w:noWrap/>
            <w:vAlign w:val="bottom"/>
            <w:hideMark/>
          </w:tcPr>
          <w:p w14:paraId="0CE56277"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23</w:t>
            </w:r>
          </w:p>
        </w:tc>
        <w:tc>
          <w:tcPr>
            <w:tcW w:w="956" w:type="dxa"/>
            <w:tcBorders>
              <w:top w:val="nil"/>
              <w:left w:val="nil"/>
              <w:bottom w:val="nil"/>
              <w:right w:val="nil"/>
            </w:tcBorders>
            <w:shd w:val="clear" w:color="auto" w:fill="auto"/>
            <w:noWrap/>
            <w:vAlign w:val="bottom"/>
            <w:hideMark/>
          </w:tcPr>
          <w:p w14:paraId="56FF2A93"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2.5</w:t>
            </w:r>
          </w:p>
        </w:tc>
        <w:tc>
          <w:tcPr>
            <w:tcW w:w="956" w:type="dxa"/>
            <w:tcBorders>
              <w:top w:val="nil"/>
              <w:left w:val="nil"/>
              <w:bottom w:val="nil"/>
              <w:right w:val="nil"/>
            </w:tcBorders>
            <w:shd w:val="clear" w:color="auto" w:fill="auto"/>
            <w:noWrap/>
            <w:vAlign w:val="bottom"/>
            <w:hideMark/>
          </w:tcPr>
          <w:p w14:paraId="16111DD9"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65</w:t>
            </w:r>
          </w:p>
        </w:tc>
      </w:tr>
      <w:tr w:rsidR="00E866FF" w:rsidRPr="003B32F7" w14:paraId="63CFA808" w14:textId="77777777" w:rsidTr="00503D38">
        <w:trPr>
          <w:trHeight w:val="300"/>
          <w:jc w:val="center"/>
        </w:trPr>
        <w:tc>
          <w:tcPr>
            <w:tcW w:w="2436" w:type="dxa"/>
            <w:tcBorders>
              <w:top w:val="nil"/>
              <w:left w:val="nil"/>
              <w:bottom w:val="nil"/>
              <w:right w:val="nil"/>
            </w:tcBorders>
            <w:shd w:val="clear" w:color="auto" w:fill="auto"/>
            <w:noWrap/>
            <w:vAlign w:val="bottom"/>
            <w:hideMark/>
          </w:tcPr>
          <w:p w14:paraId="4DC2366D"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Tebuconazole</w:t>
            </w:r>
          </w:p>
        </w:tc>
        <w:tc>
          <w:tcPr>
            <w:tcW w:w="1535" w:type="dxa"/>
            <w:tcBorders>
              <w:top w:val="nil"/>
              <w:left w:val="nil"/>
              <w:bottom w:val="nil"/>
              <w:right w:val="nil"/>
            </w:tcBorders>
            <w:shd w:val="clear" w:color="auto" w:fill="auto"/>
            <w:noWrap/>
            <w:vAlign w:val="bottom"/>
            <w:hideMark/>
          </w:tcPr>
          <w:p w14:paraId="2EAECD37"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w:t>
            </w:r>
          </w:p>
        </w:tc>
        <w:tc>
          <w:tcPr>
            <w:tcW w:w="957" w:type="dxa"/>
            <w:tcBorders>
              <w:top w:val="nil"/>
              <w:left w:val="nil"/>
              <w:bottom w:val="nil"/>
              <w:right w:val="nil"/>
            </w:tcBorders>
            <w:shd w:val="clear" w:color="auto" w:fill="auto"/>
            <w:noWrap/>
            <w:vAlign w:val="bottom"/>
            <w:hideMark/>
          </w:tcPr>
          <w:p w14:paraId="030373C0"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19</w:t>
            </w:r>
          </w:p>
        </w:tc>
        <w:tc>
          <w:tcPr>
            <w:tcW w:w="956" w:type="dxa"/>
            <w:tcBorders>
              <w:top w:val="nil"/>
              <w:left w:val="nil"/>
              <w:bottom w:val="nil"/>
              <w:right w:val="nil"/>
            </w:tcBorders>
            <w:shd w:val="clear" w:color="auto" w:fill="auto"/>
            <w:noWrap/>
            <w:vAlign w:val="bottom"/>
            <w:hideMark/>
          </w:tcPr>
          <w:p w14:paraId="367C4C24"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19</w:t>
            </w:r>
          </w:p>
        </w:tc>
        <w:tc>
          <w:tcPr>
            <w:tcW w:w="956" w:type="dxa"/>
            <w:tcBorders>
              <w:top w:val="nil"/>
              <w:left w:val="nil"/>
              <w:bottom w:val="nil"/>
              <w:right w:val="nil"/>
            </w:tcBorders>
            <w:shd w:val="clear" w:color="auto" w:fill="auto"/>
            <w:noWrap/>
            <w:vAlign w:val="bottom"/>
            <w:hideMark/>
          </w:tcPr>
          <w:p w14:paraId="5981CE2E" w14:textId="77777777" w:rsidR="00E866FF" w:rsidRPr="003B32F7" w:rsidRDefault="00E866FF" w:rsidP="003B32F7">
            <w:pPr>
              <w:contextualSpacing/>
              <w:jc w:val="left"/>
              <w:rPr>
                <w:rFonts w:ascii="Calibri" w:eastAsia="Times New Roman" w:hAnsi="Calibri" w:cs="Calibri"/>
                <w:color w:val="000000"/>
                <w:sz w:val="18"/>
                <w:szCs w:val="18"/>
                <w:lang w:val="en-AU" w:eastAsia="en-AU" w:bidi="ar-SA"/>
              </w:rPr>
            </w:pPr>
            <w:r w:rsidRPr="003B32F7">
              <w:rPr>
                <w:rFonts w:ascii="Calibri" w:eastAsia="Times New Roman" w:hAnsi="Calibri" w:cs="Calibri"/>
                <w:color w:val="000000"/>
                <w:sz w:val="18"/>
                <w:szCs w:val="18"/>
                <w:lang w:val="en-AU" w:eastAsia="en-AU" w:bidi="ar-SA"/>
              </w:rPr>
              <w:t>19</w:t>
            </w:r>
          </w:p>
        </w:tc>
      </w:tr>
    </w:tbl>
    <w:p w14:paraId="306E1545" w14:textId="77777777" w:rsidR="00E31255" w:rsidRPr="00DF7B1D" w:rsidRDefault="005B06AA" w:rsidP="002439C8">
      <w:pPr>
        <w:spacing w:line="276" w:lineRule="auto"/>
        <w:ind w:firstLine="709"/>
        <w:jc w:val="left"/>
        <w:rPr>
          <w:sz w:val="18"/>
        </w:rPr>
      </w:pPr>
      <w:r>
        <w:rPr>
          <w:sz w:val="18"/>
        </w:rPr>
        <w:t xml:space="preserve">Note: </w:t>
      </w:r>
      <w:r w:rsidR="00E31255">
        <w:rPr>
          <w:sz w:val="18"/>
        </w:rPr>
        <w:t>Only instances where a chemical was detected in both replicates have been included</w:t>
      </w:r>
    </w:p>
    <w:p w14:paraId="0A32D428" w14:textId="77777777" w:rsidR="00E31255" w:rsidRDefault="00E31255" w:rsidP="002439C8">
      <w:pPr>
        <w:spacing w:line="276" w:lineRule="auto"/>
        <w:jc w:val="left"/>
        <w:rPr>
          <w:lang w:val="en-AU"/>
        </w:rPr>
      </w:pPr>
    </w:p>
    <w:p w14:paraId="5B01BF12" w14:textId="77777777" w:rsidR="0059608E" w:rsidRPr="008232E9" w:rsidRDefault="008232E9" w:rsidP="002439C8">
      <w:pPr>
        <w:jc w:val="left"/>
        <w:rPr>
          <w:b/>
          <w:sz w:val="24"/>
        </w:rPr>
      </w:pPr>
      <w:bookmarkStart w:id="645" w:name="_Toc455069493"/>
      <w:bookmarkStart w:id="646" w:name="_Toc461457784"/>
      <w:bookmarkStart w:id="647" w:name="_Ref474330035"/>
      <w:bookmarkEnd w:id="645"/>
      <w:r>
        <w:rPr>
          <w:b/>
          <w:sz w:val="24"/>
        </w:rPr>
        <w:t>A-2.</w:t>
      </w:r>
      <w:r>
        <w:rPr>
          <w:b/>
          <w:sz w:val="24"/>
        </w:rPr>
        <w:tab/>
      </w:r>
      <w:r w:rsidR="00695EC7" w:rsidRPr="008232E9">
        <w:rPr>
          <w:b/>
          <w:sz w:val="24"/>
        </w:rPr>
        <w:t>T</w:t>
      </w:r>
      <w:r w:rsidR="006C60D9" w:rsidRPr="008232E9">
        <w:rPr>
          <w:b/>
          <w:sz w:val="24"/>
        </w:rPr>
        <w:t>arget chemicals</w:t>
      </w:r>
      <w:bookmarkStart w:id="648" w:name="_Toc455151803"/>
      <w:bookmarkEnd w:id="646"/>
      <w:bookmarkEnd w:id="647"/>
      <w:bookmarkEnd w:id="648"/>
    </w:p>
    <w:p w14:paraId="6D0C0CBF" w14:textId="77777777" w:rsidR="001C45D0" w:rsidRPr="00357E3F" w:rsidRDefault="001C45D0" w:rsidP="002439C8">
      <w:pPr>
        <w:spacing w:line="276" w:lineRule="auto"/>
        <w:jc w:val="left"/>
      </w:pPr>
    </w:p>
    <w:p w14:paraId="0251FB38" w14:textId="3736550D" w:rsidR="006213FA" w:rsidRDefault="006213FA" w:rsidP="002439C8">
      <w:pPr>
        <w:spacing w:line="276" w:lineRule="auto"/>
        <w:jc w:val="left"/>
        <w:rPr>
          <w:lang w:val="en-AU"/>
        </w:rPr>
      </w:pPr>
      <w:bookmarkStart w:id="649" w:name="_Ref480725485"/>
      <w:r w:rsidRPr="00C11BBA">
        <w:rPr>
          <w:lang w:val="en-AU"/>
        </w:rPr>
        <w:t>Th</w:t>
      </w:r>
      <w:r>
        <w:rPr>
          <w:lang w:val="en-AU"/>
        </w:rPr>
        <w:t>e</w:t>
      </w:r>
      <w:r w:rsidRPr="00C11BBA">
        <w:rPr>
          <w:lang w:val="en-AU"/>
        </w:rPr>
        <w:t xml:space="preserve"> list of target chemicals </w:t>
      </w:r>
      <w:r>
        <w:rPr>
          <w:lang w:val="en-AU"/>
        </w:rPr>
        <w:t xml:space="preserve">originally </w:t>
      </w:r>
      <w:r w:rsidRPr="00C11BBA">
        <w:rPr>
          <w:lang w:val="en-AU"/>
        </w:rPr>
        <w:t>derived</w:t>
      </w:r>
      <w:r>
        <w:rPr>
          <w:lang w:val="en-AU"/>
        </w:rPr>
        <w:t xml:space="preserve"> at the commencement of the MMP</w:t>
      </w:r>
      <w:r w:rsidRPr="00C11BBA">
        <w:rPr>
          <w:lang w:val="en-AU"/>
        </w:rPr>
        <w:t xml:space="preserve"> through consultation with </w:t>
      </w:r>
      <w:r w:rsidR="003354BF">
        <w:rPr>
          <w:lang w:val="en-AU"/>
        </w:rPr>
        <w:t>the Authority</w:t>
      </w:r>
      <w:r w:rsidRPr="00C11BBA">
        <w:rPr>
          <w:lang w:val="en-AU"/>
        </w:rPr>
        <w:t xml:space="preserve"> </w:t>
      </w:r>
      <w:r>
        <w:rPr>
          <w:lang w:val="en-AU"/>
        </w:rPr>
        <w:t>was based on the following</w:t>
      </w:r>
      <w:r w:rsidRPr="00C11BBA">
        <w:rPr>
          <w:lang w:val="en-AU"/>
        </w:rPr>
        <w:t xml:space="preserve"> criteria:</w:t>
      </w:r>
      <w:r>
        <w:rPr>
          <w:lang w:val="en-AU"/>
        </w:rPr>
        <w:t xml:space="preserve"> </w:t>
      </w:r>
    </w:p>
    <w:p w14:paraId="1E1F4254" w14:textId="77777777" w:rsidR="006213FA" w:rsidRPr="00CB6C92" w:rsidRDefault="006213FA" w:rsidP="002439C8">
      <w:pPr>
        <w:pStyle w:val="ListParagraph"/>
        <w:numPr>
          <w:ilvl w:val="0"/>
          <w:numId w:val="6"/>
        </w:numPr>
        <w:spacing w:line="276" w:lineRule="auto"/>
        <w:jc w:val="left"/>
        <w:rPr>
          <w:lang w:val="en-AU"/>
        </w:rPr>
      </w:pPr>
      <w:r w:rsidRPr="00CB6C92">
        <w:rPr>
          <w:lang w:val="en-AU"/>
        </w:rPr>
        <w:t>pesticid</w:t>
      </w:r>
      <w:r>
        <w:rPr>
          <w:lang w:val="en-AU"/>
        </w:rPr>
        <w:t>es detected in recent studies;</w:t>
      </w:r>
    </w:p>
    <w:p w14:paraId="30403FB9" w14:textId="77777777" w:rsidR="006213FA" w:rsidRDefault="006213FA" w:rsidP="002439C8">
      <w:pPr>
        <w:pStyle w:val="ListParagraph"/>
        <w:numPr>
          <w:ilvl w:val="0"/>
          <w:numId w:val="6"/>
        </w:numPr>
        <w:spacing w:line="276" w:lineRule="auto"/>
        <w:jc w:val="left"/>
        <w:rPr>
          <w:lang w:val="en-AU"/>
        </w:rPr>
      </w:pPr>
      <w:r>
        <w:rPr>
          <w:lang w:val="en-AU"/>
        </w:rPr>
        <w:t>t</w:t>
      </w:r>
      <w:r w:rsidRPr="00CB6C92">
        <w:rPr>
          <w:lang w:val="en-AU"/>
        </w:rPr>
        <w:t xml:space="preserve">hose </w:t>
      </w:r>
      <w:r>
        <w:rPr>
          <w:lang w:val="en-AU"/>
        </w:rPr>
        <w:t>recognised as a potential risk;</w:t>
      </w:r>
    </w:p>
    <w:p w14:paraId="2BD97752" w14:textId="77777777" w:rsidR="006213FA" w:rsidRPr="00CB6C92" w:rsidRDefault="006213FA" w:rsidP="002439C8">
      <w:pPr>
        <w:pStyle w:val="ListParagraph"/>
        <w:numPr>
          <w:ilvl w:val="0"/>
          <w:numId w:val="6"/>
        </w:numPr>
        <w:spacing w:line="276" w:lineRule="auto"/>
        <w:jc w:val="left"/>
        <w:rPr>
          <w:lang w:val="en-AU"/>
        </w:rPr>
      </w:pPr>
      <w:r>
        <w:rPr>
          <w:lang w:val="en-AU"/>
        </w:rPr>
        <w:t>analytical affordability;</w:t>
      </w:r>
    </w:p>
    <w:p w14:paraId="50C359D5" w14:textId="77777777" w:rsidR="006213FA" w:rsidRPr="00CB6C92" w:rsidRDefault="006213FA" w:rsidP="002439C8">
      <w:pPr>
        <w:pStyle w:val="ListParagraph"/>
        <w:numPr>
          <w:ilvl w:val="0"/>
          <w:numId w:val="6"/>
        </w:numPr>
        <w:spacing w:line="276" w:lineRule="auto"/>
        <w:jc w:val="left"/>
        <w:rPr>
          <w:lang w:val="en-AU"/>
        </w:rPr>
      </w:pPr>
      <w:r w:rsidRPr="00CB6C92">
        <w:rPr>
          <w:lang w:val="en-AU"/>
        </w:rPr>
        <w:t>pesticides within the analytical capabilities of Queensland Health and Forensic Scientific Services (QHFSS, who formerly conducted all analysis)</w:t>
      </w:r>
      <w:r>
        <w:rPr>
          <w:lang w:val="en-AU"/>
        </w:rPr>
        <w:t>;</w:t>
      </w:r>
      <w:r w:rsidRPr="00CB6C92">
        <w:rPr>
          <w:lang w:val="en-AU"/>
        </w:rPr>
        <w:t xml:space="preserve"> and</w:t>
      </w:r>
    </w:p>
    <w:p w14:paraId="715A206F" w14:textId="77777777" w:rsidR="006213FA" w:rsidRDefault="006213FA" w:rsidP="002439C8">
      <w:pPr>
        <w:pStyle w:val="ListParagraph"/>
        <w:numPr>
          <w:ilvl w:val="0"/>
          <w:numId w:val="6"/>
        </w:numPr>
        <w:spacing w:line="276" w:lineRule="auto"/>
        <w:jc w:val="left"/>
        <w:rPr>
          <w:lang w:val="en-AU"/>
        </w:rPr>
      </w:pPr>
      <w:r w:rsidRPr="00CB6C92">
        <w:rPr>
          <w:lang w:val="en-AU"/>
        </w:rPr>
        <w:t xml:space="preserve">those likely to be accumulated </w:t>
      </w:r>
      <w:r>
        <w:rPr>
          <w:lang w:val="en-AU"/>
        </w:rPr>
        <w:t>using</w:t>
      </w:r>
      <w:r w:rsidRPr="00CB6C92">
        <w:rPr>
          <w:lang w:val="en-AU"/>
        </w:rPr>
        <w:t xml:space="preserve"> one of the passive sampling techniques (i.e. that exist as neutral species and are not too polar). </w:t>
      </w:r>
    </w:p>
    <w:p w14:paraId="299B3D49" w14:textId="77777777" w:rsidR="006213FA" w:rsidRDefault="006213FA" w:rsidP="002439C8">
      <w:pPr>
        <w:spacing w:line="276" w:lineRule="auto"/>
        <w:jc w:val="left"/>
        <w:rPr>
          <w:lang w:val="en-AU"/>
        </w:rPr>
      </w:pPr>
    </w:p>
    <w:p w14:paraId="438ACFD8" w14:textId="2940CA7D" w:rsidR="006213FA" w:rsidRDefault="006213FA" w:rsidP="002439C8">
      <w:pPr>
        <w:spacing w:line="276" w:lineRule="auto"/>
        <w:jc w:val="left"/>
        <w:rPr>
          <w:lang w:val="en-AU"/>
        </w:rPr>
      </w:pPr>
      <w:r>
        <w:rPr>
          <w:lang w:val="en-AU"/>
        </w:rPr>
        <w:t xml:space="preserve">In 2015 in consultation with the Pesticide Working Group and </w:t>
      </w:r>
      <w:r w:rsidR="00D10602">
        <w:rPr>
          <w:lang w:val="en-AU"/>
        </w:rPr>
        <w:t>the Authority</w:t>
      </w:r>
      <w:r>
        <w:rPr>
          <w:lang w:val="en-AU"/>
        </w:rPr>
        <w:t xml:space="preserve">, the list of target chemicals was further expanded to include several other </w:t>
      </w:r>
      <w:r>
        <w:rPr>
          <w:rFonts w:cs="Arial"/>
          <w:lang w:val="en-AU"/>
        </w:rPr>
        <w:t>pre- and post-emergent herbicides (</w:t>
      </w:r>
      <w:r>
        <w:rPr>
          <w:rFonts w:cs="Arial"/>
          <w:highlight w:val="yellow"/>
          <w:lang w:val="en-AU"/>
        </w:rPr>
        <w:fldChar w:fldCharType="begin"/>
      </w:r>
      <w:r>
        <w:rPr>
          <w:rFonts w:cs="Arial"/>
          <w:highlight w:val="yellow"/>
          <w:lang w:val="en-AU"/>
        </w:rPr>
        <w:instrText xml:space="preserve"> REF _Ref480726503 \h </w:instrText>
      </w:r>
      <w:r w:rsidR="002439C8">
        <w:rPr>
          <w:rFonts w:cs="Arial"/>
          <w:highlight w:val="yellow"/>
          <w:lang w:val="en-AU"/>
        </w:rPr>
        <w:instrText xml:space="preserve"> \* MERGEFORMAT </w:instrText>
      </w:r>
      <w:r>
        <w:rPr>
          <w:rFonts w:cs="Arial"/>
          <w:highlight w:val="yellow"/>
          <w:lang w:val="en-AU"/>
        </w:rPr>
      </w:r>
      <w:r>
        <w:rPr>
          <w:rFonts w:cs="Arial"/>
          <w:highlight w:val="yellow"/>
          <w:lang w:val="en-AU"/>
        </w:rPr>
        <w:fldChar w:fldCharType="separate"/>
      </w:r>
      <w:r w:rsidR="00251B46" w:rsidRPr="00D706B9">
        <w:t xml:space="preserve">Table </w:t>
      </w:r>
      <w:r w:rsidR="00251B46">
        <w:rPr>
          <w:noProof/>
        </w:rPr>
        <w:t>A</w:t>
      </w:r>
      <w:r w:rsidR="00251B46" w:rsidRPr="00D706B9">
        <w:rPr>
          <w:noProof/>
        </w:rPr>
        <w:noBreakHyphen/>
      </w:r>
      <w:r w:rsidR="00251B46">
        <w:rPr>
          <w:noProof/>
        </w:rPr>
        <w:t>4</w:t>
      </w:r>
      <w:r>
        <w:rPr>
          <w:rFonts w:cs="Arial"/>
          <w:highlight w:val="yellow"/>
          <w:lang w:val="en-AU"/>
        </w:rPr>
        <w:fldChar w:fldCharType="end"/>
      </w:r>
      <w:r>
        <w:rPr>
          <w:rFonts w:cs="Arial"/>
          <w:lang w:val="en-AU"/>
        </w:rPr>
        <w:t>)</w:t>
      </w:r>
      <w:r>
        <w:rPr>
          <w:lang w:val="en-AU"/>
        </w:rPr>
        <w:t xml:space="preserve">. The criteria by which these new target chemicals have been included are: </w:t>
      </w:r>
    </w:p>
    <w:p w14:paraId="3F545F65" w14:textId="77777777" w:rsidR="006213FA" w:rsidRDefault="006213FA" w:rsidP="002439C8">
      <w:pPr>
        <w:pStyle w:val="ListParagraph"/>
        <w:numPr>
          <w:ilvl w:val="0"/>
          <w:numId w:val="6"/>
        </w:numPr>
        <w:spacing w:line="276" w:lineRule="auto"/>
        <w:jc w:val="left"/>
        <w:rPr>
          <w:lang w:val="en-AU"/>
        </w:rPr>
      </w:pPr>
      <w:r w:rsidRPr="00CB6C92">
        <w:rPr>
          <w:lang w:val="en-AU"/>
        </w:rPr>
        <w:t xml:space="preserve">registered for use in Reef </w:t>
      </w:r>
      <w:r w:rsidR="00BF37D6">
        <w:rPr>
          <w:lang w:val="en-AU"/>
        </w:rPr>
        <w:t>basin</w:t>
      </w:r>
      <w:r w:rsidRPr="00CB6C92">
        <w:rPr>
          <w:lang w:val="en-AU"/>
        </w:rPr>
        <w:t>s to supplement or replace the</w:t>
      </w:r>
      <w:r>
        <w:rPr>
          <w:lang w:val="en-AU"/>
        </w:rPr>
        <w:t xml:space="preserve"> use of some traditional </w:t>
      </w:r>
      <w:r w:rsidRPr="0083578F">
        <w:rPr>
          <w:lang w:val="en-AU"/>
        </w:rPr>
        <w:t xml:space="preserve">Photosystem II </w:t>
      </w:r>
      <w:r>
        <w:rPr>
          <w:lang w:val="en-AU"/>
        </w:rPr>
        <w:t>(PSII) herbicides;</w:t>
      </w:r>
    </w:p>
    <w:p w14:paraId="22DC7BF0" w14:textId="77777777" w:rsidR="006213FA" w:rsidRDefault="006213FA" w:rsidP="002439C8">
      <w:pPr>
        <w:pStyle w:val="ListParagraph"/>
        <w:numPr>
          <w:ilvl w:val="0"/>
          <w:numId w:val="6"/>
        </w:numPr>
        <w:spacing w:line="276" w:lineRule="auto"/>
        <w:jc w:val="left"/>
        <w:rPr>
          <w:lang w:val="en-AU"/>
        </w:rPr>
      </w:pPr>
      <w:r w:rsidRPr="00CB6C92">
        <w:rPr>
          <w:lang w:val="en-AU"/>
        </w:rPr>
        <w:t>included in the suite for PSII end-of-</w:t>
      </w:r>
      <w:r w:rsidR="00BF37D6">
        <w:rPr>
          <w:lang w:val="en-AU"/>
        </w:rPr>
        <w:t>basin</w:t>
      </w:r>
      <w:r w:rsidRPr="00CB6C92">
        <w:rPr>
          <w:lang w:val="en-AU"/>
        </w:rPr>
        <w:t xml:space="preserve"> loads monitoring and </w:t>
      </w:r>
      <w:r w:rsidR="00BF37D6">
        <w:rPr>
          <w:lang w:val="en-AU"/>
        </w:rPr>
        <w:t>basin</w:t>
      </w:r>
      <w:r w:rsidRPr="00CB6C92">
        <w:rPr>
          <w:lang w:val="en-AU"/>
        </w:rPr>
        <w:t xml:space="preserve"> pesticide modelling programs conducted by other agencies (and thus better harmonisation across complimentary monitoring programs)</w:t>
      </w:r>
      <w:r>
        <w:rPr>
          <w:lang w:val="en-AU"/>
        </w:rPr>
        <w:t>;</w:t>
      </w:r>
      <w:r w:rsidRPr="00CB6C92">
        <w:rPr>
          <w:lang w:val="en-AU"/>
        </w:rPr>
        <w:t xml:space="preserve"> and </w:t>
      </w:r>
    </w:p>
    <w:p w14:paraId="7F8B5C48" w14:textId="77777777" w:rsidR="006213FA" w:rsidRDefault="006213FA" w:rsidP="002439C8">
      <w:pPr>
        <w:pStyle w:val="ListParagraph"/>
        <w:numPr>
          <w:ilvl w:val="0"/>
          <w:numId w:val="6"/>
        </w:numPr>
        <w:spacing w:line="276" w:lineRule="auto"/>
        <w:jc w:val="left"/>
        <w:rPr>
          <w:lang w:val="en-AU"/>
        </w:rPr>
      </w:pPr>
      <w:r w:rsidRPr="00CB6C92">
        <w:rPr>
          <w:lang w:val="en-AU"/>
        </w:rPr>
        <w:t xml:space="preserve">detected in recent studies and monitoring programs. </w:t>
      </w:r>
    </w:p>
    <w:p w14:paraId="20603BE8" w14:textId="77777777" w:rsidR="000344A3" w:rsidRPr="006213FA" w:rsidRDefault="000344A3" w:rsidP="002439C8">
      <w:pPr>
        <w:pStyle w:val="ListParagraph"/>
        <w:spacing w:line="276" w:lineRule="auto"/>
        <w:jc w:val="left"/>
        <w:rPr>
          <w:lang w:val="en-AU"/>
        </w:rPr>
      </w:pPr>
    </w:p>
    <w:p w14:paraId="26E6EF9A" w14:textId="77777777" w:rsidR="00E97A1B" w:rsidRPr="00BF6243" w:rsidRDefault="00695EC7" w:rsidP="002439C8">
      <w:pPr>
        <w:pStyle w:val="Caption"/>
        <w:keepNext/>
        <w:spacing w:after="120"/>
      </w:pPr>
      <w:bookmarkStart w:id="650" w:name="_Toc527468628"/>
      <w:bookmarkStart w:id="651" w:name="_Toc15283225"/>
      <w:r>
        <w:t xml:space="preserve">Table </w:t>
      </w:r>
      <w:r w:rsidR="00C91BF5">
        <w:fldChar w:fldCharType="begin"/>
      </w:r>
      <w:r w:rsidR="008C60F9">
        <w:instrText xml:space="preserve"> STYLEREF 7 \s </w:instrText>
      </w:r>
      <w:r w:rsidR="00C91BF5">
        <w:fldChar w:fldCharType="separate"/>
      </w:r>
      <w:r w:rsidR="00251B46">
        <w:rPr>
          <w:noProof/>
        </w:rPr>
        <w:t>A</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251B46">
        <w:rPr>
          <w:noProof/>
        </w:rPr>
        <w:t>2</w:t>
      </w:r>
      <w:r w:rsidR="00C91BF5">
        <w:fldChar w:fldCharType="end"/>
      </w:r>
      <w:bookmarkEnd w:id="649"/>
      <w:r w:rsidR="00747824">
        <w:rPr>
          <w:b w:val="0"/>
        </w:rPr>
        <w:t xml:space="preserve">: </w:t>
      </w:r>
      <w:r w:rsidR="001C45D0" w:rsidRPr="00747824">
        <w:rPr>
          <w:b w:val="0"/>
        </w:rPr>
        <w:t>QAEHS</w:t>
      </w:r>
      <w:r w:rsidR="00E97A1B" w:rsidRPr="00747824">
        <w:rPr>
          <w:b w:val="0"/>
        </w:rPr>
        <w:t xml:space="preserve"> LC</w:t>
      </w:r>
      <w:r w:rsidR="00330611">
        <w:rPr>
          <w:b w:val="0"/>
        </w:rPr>
        <w:t>-</w:t>
      </w:r>
      <w:r w:rsidR="00E97A1B" w:rsidRPr="00747824">
        <w:rPr>
          <w:b w:val="0"/>
        </w:rPr>
        <w:t>MS</w:t>
      </w:r>
      <w:r w:rsidR="00CA6794">
        <w:rPr>
          <w:b w:val="0"/>
        </w:rPr>
        <w:t>/MS</w:t>
      </w:r>
      <w:r w:rsidR="00E97A1B" w:rsidRPr="00747824">
        <w:rPr>
          <w:b w:val="0"/>
        </w:rPr>
        <w:t xml:space="preserve"> analyte list for positive and negative mode analysis</w:t>
      </w:r>
      <w:bookmarkEnd w:id="650"/>
      <w:bookmarkEnd w:id="651"/>
    </w:p>
    <w:tbl>
      <w:tblPr>
        <w:tblW w:w="5954" w:type="dxa"/>
        <w:tblInd w:w="675" w:type="dxa"/>
        <w:tblLayout w:type="fixed"/>
        <w:tblLook w:val="04A0" w:firstRow="1" w:lastRow="0" w:firstColumn="1" w:lastColumn="0" w:noHBand="0" w:noVBand="1"/>
      </w:tblPr>
      <w:tblGrid>
        <w:gridCol w:w="2977"/>
        <w:gridCol w:w="2977"/>
      </w:tblGrid>
      <w:tr w:rsidR="00846C54" w:rsidRPr="00AC0CC1" w14:paraId="4C0A4551" w14:textId="77777777" w:rsidTr="00955C32">
        <w:trPr>
          <w:trHeight w:val="300"/>
          <w:tblHeader/>
        </w:trPr>
        <w:tc>
          <w:tcPr>
            <w:tcW w:w="2977" w:type="dxa"/>
            <w:tcBorders>
              <w:top w:val="single" w:sz="4" w:space="0" w:color="auto"/>
              <w:bottom w:val="single" w:sz="4" w:space="0" w:color="auto"/>
            </w:tcBorders>
            <w:shd w:val="clear" w:color="auto" w:fill="F2F2F2" w:themeFill="background1" w:themeFillShade="F2"/>
            <w:noWrap/>
            <w:vAlign w:val="bottom"/>
            <w:hideMark/>
          </w:tcPr>
          <w:p w14:paraId="0482A2E4" w14:textId="77777777" w:rsidR="00CA6794" w:rsidRPr="00AC0CC1" w:rsidRDefault="00CA6794" w:rsidP="002439C8">
            <w:pPr>
              <w:ind w:left="39" w:hanging="39"/>
              <w:jc w:val="left"/>
              <w:rPr>
                <w:rFonts w:asciiTheme="minorHAnsi" w:eastAsia="Times New Roman" w:hAnsiTheme="minorHAnsi" w:cstheme="minorHAnsi"/>
                <w:b/>
                <w:bCs/>
                <w:color w:val="000000"/>
                <w:lang w:val="en-AU" w:eastAsia="en-AU" w:bidi="ar-SA"/>
              </w:rPr>
            </w:pPr>
            <w:r w:rsidRPr="00AC0CC1">
              <w:rPr>
                <w:rFonts w:asciiTheme="minorHAnsi" w:eastAsia="Times New Roman" w:hAnsiTheme="minorHAnsi" w:cstheme="minorHAnsi"/>
                <w:b/>
                <w:bCs/>
                <w:color w:val="000000"/>
                <w:lang w:val="en-AU" w:eastAsia="en-AU" w:bidi="ar-SA"/>
              </w:rPr>
              <w:t>Positive Ion Mode</w:t>
            </w:r>
          </w:p>
        </w:tc>
        <w:tc>
          <w:tcPr>
            <w:tcW w:w="2977" w:type="dxa"/>
            <w:tcBorders>
              <w:top w:val="single" w:sz="4" w:space="0" w:color="auto"/>
              <w:bottom w:val="single" w:sz="4" w:space="0" w:color="auto"/>
            </w:tcBorders>
            <w:shd w:val="clear" w:color="auto" w:fill="F2F2F2" w:themeFill="background1" w:themeFillShade="F2"/>
            <w:noWrap/>
            <w:vAlign w:val="bottom"/>
            <w:hideMark/>
          </w:tcPr>
          <w:p w14:paraId="22AFC44B" w14:textId="77777777" w:rsidR="00CA6794" w:rsidRPr="00AC0CC1" w:rsidRDefault="00CA6794" w:rsidP="002439C8">
            <w:pPr>
              <w:jc w:val="left"/>
              <w:rPr>
                <w:rFonts w:asciiTheme="minorHAnsi" w:eastAsia="Times New Roman" w:hAnsiTheme="minorHAnsi" w:cstheme="minorHAnsi"/>
                <w:b/>
                <w:bCs/>
                <w:color w:val="000000"/>
                <w:lang w:val="en-AU" w:eastAsia="en-AU" w:bidi="ar-SA"/>
              </w:rPr>
            </w:pPr>
            <w:r w:rsidRPr="00AC0CC1">
              <w:rPr>
                <w:rFonts w:asciiTheme="minorHAnsi" w:eastAsia="Times New Roman" w:hAnsiTheme="minorHAnsi" w:cstheme="minorHAnsi"/>
                <w:b/>
                <w:bCs/>
                <w:color w:val="000000"/>
                <w:lang w:val="en-AU" w:eastAsia="en-AU" w:bidi="ar-SA"/>
              </w:rPr>
              <w:t>Negative Ion Mode</w:t>
            </w:r>
          </w:p>
        </w:tc>
      </w:tr>
      <w:tr w:rsidR="00846C54" w:rsidRPr="00AC0CC1" w14:paraId="4A37C36B" w14:textId="77777777" w:rsidTr="00955C32">
        <w:trPr>
          <w:trHeight w:val="300"/>
        </w:trPr>
        <w:tc>
          <w:tcPr>
            <w:tcW w:w="2977" w:type="dxa"/>
            <w:tcBorders>
              <w:top w:val="single" w:sz="4" w:space="0" w:color="auto"/>
            </w:tcBorders>
            <w:shd w:val="clear" w:color="000000" w:fill="FFFFFF"/>
            <w:noWrap/>
            <w:vAlign w:val="bottom"/>
            <w:hideMark/>
          </w:tcPr>
          <w:p w14:paraId="4112069F"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Ametryn</w:t>
            </w:r>
          </w:p>
        </w:tc>
        <w:tc>
          <w:tcPr>
            <w:tcW w:w="2977" w:type="dxa"/>
            <w:tcBorders>
              <w:top w:val="single" w:sz="4" w:space="0" w:color="auto"/>
            </w:tcBorders>
            <w:shd w:val="clear" w:color="000000" w:fill="FFFFFF"/>
            <w:noWrap/>
            <w:vAlign w:val="bottom"/>
            <w:hideMark/>
          </w:tcPr>
          <w:p w14:paraId="6B94E590" w14:textId="69C936ED" w:rsidR="00CA6794" w:rsidRPr="00F0737C" w:rsidRDefault="00FE6E97" w:rsidP="002439C8">
            <w:pPr>
              <w:jc w:val="left"/>
              <w:rPr>
                <w:rFonts w:asciiTheme="minorHAnsi" w:eastAsia="Times New Roman" w:hAnsiTheme="minorHAnsi" w:cstheme="minorHAnsi"/>
                <w:lang w:val="en-AU" w:eastAsia="en-AU" w:bidi="ar-SA"/>
              </w:rPr>
            </w:pPr>
            <w:r>
              <w:rPr>
                <w:rFonts w:asciiTheme="minorHAnsi" w:eastAsia="Times New Roman" w:hAnsiTheme="minorHAnsi" w:cstheme="minorHAnsi"/>
                <w:lang w:val="en-AU" w:eastAsia="en-AU" w:bidi="ar-SA"/>
              </w:rPr>
              <w:t>2,4</w:t>
            </w:r>
            <w:r>
              <w:rPr>
                <w:rFonts w:asciiTheme="minorHAnsi" w:eastAsia="Times New Roman" w:hAnsiTheme="minorHAnsi" w:cstheme="minorHAnsi"/>
                <w:lang w:val="en-AU" w:eastAsia="en-AU" w:bidi="ar-SA"/>
              </w:rPr>
              <w:noBreakHyphen/>
              <w:t>D</w:t>
            </w:r>
          </w:p>
        </w:tc>
      </w:tr>
      <w:tr w:rsidR="00846C54" w:rsidRPr="00AC0CC1" w14:paraId="694CDB64" w14:textId="77777777" w:rsidTr="00955C32">
        <w:trPr>
          <w:trHeight w:val="300"/>
        </w:trPr>
        <w:tc>
          <w:tcPr>
            <w:tcW w:w="2977" w:type="dxa"/>
            <w:tcBorders>
              <w:top w:val="nil"/>
            </w:tcBorders>
            <w:shd w:val="clear" w:color="000000" w:fill="FFFFFF"/>
            <w:noWrap/>
            <w:vAlign w:val="bottom"/>
            <w:hideMark/>
          </w:tcPr>
          <w:p w14:paraId="5850AE52"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Asulam</w:t>
            </w:r>
          </w:p>
        </w:tc>
        <w:tc>
          <w:tcPr>
            <w:tcW w:w="2977" w:type="dxa"/>
            <w:tcBorders>
              <w:top w:val="nil"/>
            </w:tcBorders>
            <w:shd w:val="clear" w:color="000000" w:fill="FFFFFF"/>
            <w:noWrap/>
            <w:vAlign w:val="bottom"/>
            <w:hideMark/>
          </w:tcPr>
          <w:p w14:paraId="2A3C6073" w14:textId="144F3F7A" w:rsidR="00CA6794" w:rsidRPr="00F0737C" w:rsidRDefault="00FE6E97" w:rsidP="002439C8">
            <w:pPr>
              <w:jc w:val="left"/>
              <w:rPr>
                <w:rFonts w:asciiTheme="minorHAnsi" w:eastAsia="Times New Roman" w:hAnsiTheme="minorHAnsi" w:cstheme="minorHAnsi"/>
                <w:lang w:val="en-AU" w:eastAsia="en-AU" w:bidi="ar-SA"/>
              </w:rPr>
            </w:pPr>
            <w:r>
              <w:rPr>
                <w:rFonts w:asciiTheme="minorHAnsi" w:eastAsia="Times New Roman" w:hAnsiTheme="minorHAnsi" w:cstheme="minorHAnsi"/>
                <w:lang w:val="en-AU" w:eastAsia="en-AU" w:bidi="ar-SA"/>
              </w:rPr>
              <w:t>2,4</w:t>
            </w:r>
            <w:r>
              <w:rPr>
                <w:rFonts w:asciiTheme="minorHAnsi" w:eastAsia="Times New Roman" w:hAnsiTheme="minorHAnsi" w:cstheme="minorHAnsi"/>
                <w:lang w:val="en-AU" w:eastAsia="en-AU" w:bidi="ar-SA"/>
              </w:rPr>
              <w:noBreakHyphen/>
              <w:t>D</w:t>
            </w:r>
            <w:r w:rsidR="00CA6794" w:rsidRPr="00F0737C">
              <w:rPr>
                <w:rFonts w:asciiTheme="minorHAnsi" w:eastAsia="Times New Roman" w:hAnsiTheme="minorHAnsi" w:cstheme="minorHAnsi"/>
                <w:lang w:val="en-AU" w:eastAsia="en-AU" w:bidi="ar-SA"/>
              </w:rPr>
              <w:t>B</w:t>
            </w:r>
          </w:p>
        </w:tc>
      </w:tr>
      <w:tr w:rsidR="00846C54" w:rsidRPr="00AC0CC1" w14:paraId="5B75D0B7" w14:textId="77777777" w:rsidTr="00955C32">
        <w:trPr>
          <w:trHeight w:val="300"/>
        </w:trPr>
        <w:tc>
          <w:tcPr>
            <w:tcW w:w="2977" w:type="dxa"/>
            <w:tcBorders>
              <w:top w:val="nil"/>
            </w:tcBorders>
            <w:shd w:val="clear" w:color="000000" w:fill="FFFFFF"/>
            <w:noWrap/>
            <w:vAlign w:val="bottom"/>
            <w:hideMark/>
          </w:tcPr>
          <w:p w14:paraId="44896D56"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Atrazine</w:t>
            </w:r>
          </w:p>
        </w:tc>
        <w:tc>
          <w:tcPr>
            <w:tcW w:w="2977" w:type="dxa"/>
            <w:tcBorders>
              <w:top w:val="nil"/>
            </w:tcBorders>
            <w:shd w:val="clear" w:color="000000" w:fill="FFFFFF"/>
            <w:noWrap/>
            <w:vAlign w:val="bottom"/>
            <w:hideMark/>
          </w:tcPr>
          <w:p w14:paraId="67344632" w14:textId="77777777" w:rsidR="00CA6794" w:rsidRPr="00F0737C" w:rsidRDefault="00CA6794" w:rsidP="002439C8">
            <w:pPr>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Fluroxypyr</w:t>
            </w:r>
          </w:p>
        </w:tc>
      </w:tr>
      <w:tr w:rsidR="00846C54" w:rsidRPr="00AC0CC1" w14:paraId="389EAE9E" w14:textId="77777777" w:rsidTr="00955C32">
        <w:trPr>
          <w:trHeight w:val="300"/>
        </w:trPr>
        <w:tc>
          <w:tcPr>
            <w:tcW w:w="2977" w:type="dxa"/>
            <w:tcBorders>
              <w:top w:val="nil"/>
            </w:tcBorders>
            <w:shd w:val="clear" w:color="000000" w:fill="FFFFFF"/>
            <w:noWrap/>
            <w:vAlign w:val="bottom"/>
            <w:hideMark/>
          </w:tcPr>
          <w:p w14:paraId="51D4F38A"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Bromacil</w:t>
            </w:r>
          </w:p>
        </w:tc>
        <w:tc>
          <w:tcPr>
            <w:tcW w:w="2977" w:type="dxa"/>
            <w:tcBorders>
              <w:top w:val="nil"/>
            </w:tcBorders>
            <w:shd w:val="clear" w:color="000000" w:fill="FFFFFF"/>
            <w:noWrap/>
            <w:vAlign w:val="bottom"/>
            <w:hideMark/>
          </w:tcPr>
          <w:p w14:paraId="718FE705" w14:textId="77777777" w:rsidR="00CA6794" w:rsidRPr="00F0737C" w:rsidRDefault="00CA6794" w:rsidP="002439C8">
            <w:pPr>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Haloxyfop</w:t>
            </w:r>
          </w:p>
        </w:tc>
      </w:tr>
      <w:tr w:rsidR="00846C54" w:rsidRPr="00AC0CC1" w14:paraId="2496EE53" w14:textId="77777777" w:rsidTr="00955C32">
        <w:trPr>
          <w:trHeight w:val="300"/>
        </w:trPr>
        <w:tc>
          <w:tcPr>
            <w:tcW w:w="2977" w:type="dxa"/>
            <w:tcBorders>
              <w:top w:val="nil"/>
            </w:tcBorders>
            <w:shd w:val="clear" w:color="000000" w:fill="FFFFFF"/>
            <w:noWrap/>
            <w:vAlign w:val="bottom"/>
            <w:hideMark/>
          </w:tcPr>
          <w:p w14:paraId="3A9DAA5B"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Desethyl Atrazine</w:t>
            </w:r>
          </w:p>
        </w:tc>
        <w:tc>
          <w:tcPr>
            <w:tcW w:w="2977" w:type="dxa"/>
            <w:tcBorders>
              <w:top w:val="nil"/>
            </w:tcBorders>
            <w:shd w:val="clear" w:color="000000" w:fill="FFFFFF"/>
            <w:noWrap/>
            <w:vAlign w:val="bottom"/>
            <w:hideMark/>
          </w:tcPr>
          <w:p w14:paraId="4D9D3F6C" w14:textId="77777777" w:rsidR="00CA6794" w:rsidRPr="00F0737C" w:rsidRDefault="00CA6794" w:rsidP="002439C8">
            <w:pPr>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 </w:t>
            </w:r>
            <w:r w:rsidR="000B10BF" w:rsidRPr="00F0737C">
              <w:rPr>
                <w:rFonts w:asciiTheme="minorHAnsi" w:eastAsia="Times New Roman" w:hAnsiTheme="minorHAnsi" w:cstheme="minorHAnsi"/>
                <w:lang w:val="en-AU" w:eastAsia="en-AU" w:bidi="ar-SA"/>
              </w:rPr>
              <w:t>MCPA</w:t>
            </w:r>
          </w:p>
        </w:tc>
      </w:tr>
      <w:tr w:rsidR="00846C54" w:rsidRPr="00AC0CC1" w14:paraId="5029160E" w14:textId="77777777" w:rsidTr="00955C32">
        <w:trPr>
          <w:trHeight w:val="300"/>
        </w:trPr>
        <w:tc>
          <w:tcPr>
            <w:tcW w:w="2977" w:type="dxa"/>
            <w:tcBorders>
              <w:top w:val="nil"/>
            </w:tcBorders>
            <w:shd w:val="clear" w:color="000000" w:fill="FFFFFF"/>
            <w:noWrap/>
            <w:vAlign w:val="bottom"/>
            <w:hideMark/>
          </w:tcPr>
          <w:p w14:paraId="4D41A2B2"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Desisopropyl Atrazine</w:t>
            </w:r>
          </w:p>
        </w:tc>
        <w:tc>
          <w:tcPr>
            <w:tcW w:w="2977" w:type="dxa"/>
            <w:tcBorders>
              <w:top w:val="nil"/>
            </w:tcBorders>
            <w:shd w:val="clear" w:color="000000" w:fill="FFFFFF"/>
            <w:noWrap/>
            <w:vAlign w:val="bottom"/>
            <w:hideMark/>
          </w:tcPr>
          <w:p w14:paraId="6A0B5782"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4AD0ABD" w14:textId="77777777" w:rsidTr="00955C32">
        <w:trPr>
          <w:trHeight w:val="300"/>
        </w:trPr>
        <w:tc>
          <w:tcPr>
            <w:tcW w:w="2977" w:type="dxa"/>
            <w:tcBorders>
              <w:top w:val="nil"/>
            </w:tcBorders>
            <w:shd w:val="clear" w:color="000000" w:fill="FFFFFF"/>
            <w:noWrap/>
            <w:vAlign w:val="bottom"/>
            <w:hideMark/>
          </w:tcPr>
          <w:p w14:paraId="533FEC47" w14:textId="77777777" w:rsidR="00CA6794" w:rsidRPr="00F0737C" w:rsidRDefault="00CA6794" w:rsidP="002439C8">
            <w:pPr>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Diuron</w:t>
            </w:r>
          </w:p>
        </w:tc>
        <w:tc>
          <w:tcPr>
            <w:tcW w:w="2977" w:type="dxa"/>
            <w:tcBorders>
              <w:top w:val="nil"/>
            </w:tcBorders>
            <w:shd w:val="clear" w:color="000000" w:fill="FFFFFF"/>
            <w:noWrap/>
            <w:vAlign w:val="bottom"/>
            <w:hideMark/>
          </w:tcPr>
          <w:p w14:paraId="56584DC9"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49CDD837" w14:textId="77777777" w:rsidTr="00955C32">
        <w:trPr>
          <w:trHeight w:val="300"/>
        </w:trPr>
        <w:tc>
          <w:tcPr>
            <w:tcW w:w="2977" w:type="dxa"/>
            <w:tcBorders>
              <w:top w:val="nil"/>
            </w:tcBorders>
            <w:shd w:val="clear" w:color="000000" w:fill="FFFFFF"/>
            <w:noWrap/>
            <w:vAlign w:val="bottom"/>
            <w:hideMark/>
          </w:tcPr>
          <w:p w14:paraId="4D81ABA8"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Fluazifop</w:t>
            </w:r>
          </w:p>
        </w:tc>
        <w:tc>
          <w:tcPr>
            <w:tcW w:w="2977" w:type="dxa"/>
            <w:tcBorders>
              <w:top w:val="nil"/>
            </w:tcBorders>
            <w:shd w:val="clear" w:color="000000" w:fill="FFFFFF"/>
            <w:noWrap/>
            <w:vAlign w:val="bottom"/>
            <w:hideMark/>
          </w:tcPr>
          <w:p w14:paraId="02A33250"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4EE11262" w14:textId="77777777" w:rsidTr="00955C32">
        <w:trPr>
          <w:trHeight w:val="300"/>
        </w:trPr>
        <w:tc>
          <w:tcPr>
            <w:tcW w:w="2977" w:type="dxa"/>
            <w:tcBorders>
              <w:top w:val="nil"/>
            </w:tcBorders>
            <w:shd w:val="clear" w:color="000000" w:fill="FFFFFF"/>
            <w:noWrap/>
            <w:vAlign w:val="bottom"/>
            <w:hideMark/>
          </w:tcPr>
          <w:p w14:paraId="78EC95D0"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Flu</w:t>
            </w:r>
            <w:r w:rsidR="00A04F09" w:rsidRPr="00F0737C">
              <w:rPr>
                <w:rFonts w:asciiTheme="minorHAnsi" w:eastAsia="Times New Roman" w:hAnsiTheme="minorHAnsi" w:cstheme="minorHAnsi"/>
                <w:lang w:val="en-AU" w:eastAsia="en-AU" w:bidi="ar-SA"/>
              </w:rPr>
              <w:t>o</w:t>
            </w:r>
            <w:r w:rsidRPr="00F0737C">
              <w:rPr>
                <w:rFonts w:asciiTheme="minorHAnsi" w:eastAsia="Times New Roman" w:hAnsiTheme="minorHAnsi" w:cstheme="minorHAnsi"/>
                <w:lang w:val="en-AU" w:eastAsia="en-AU" w:bidi="ar-SA"/>
              </w:rPr>
              <w:t>meturon</w:t>
            </w:r>
          </w:p>
        </w:tc>
        <w:tc>
          <w:tcPr>
            <w:tcW w:w="2977" w:type="dxa"/>
            <w:tcBorders>
              <w:top w:val="nil"/>
            </w:tcBorders>
            <w:shd w:val="clear" w:color="000000" w:fill="FFFFFF"/>
            <w:noWrap/>
            <w:vAlign w:val="bottom"/>
            <w:hideMark/>
          </w:tcPr>
          <w:p w14:paraId="273C499F"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32DAD16B" w14:textId="77777777" w:rsidTr="00955C32">
        <w:trPr>
          <w:trHeight w:val="300"/>
        </w:trPr>
        <w:tc>
          <w:tcPr>
            <w:tcW w:w="2977" w:type="dxa"/>
            <w:tcBorders>
              <w:top w:val="nil"/>
            </w:tcBorders>
            <w:shd w:val="clear" w:color="000000" w:fill="FFFFFF"/>
            <w:noWrap/>
            <w:vAlign w:val="bottom"/>
            <w:hideMark/>
          </w:tcPr>
          <w:p w14:paraId="2B8B073B"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Hexazinone</w:t>
            </w:r>
          </w:p>
        </w:tc>
        <w:tc>
          <w:tcPr>
            <w:tcW w:w="2977" w:type="dxa"/>
            <w:tcBorders>
              <w:top w:val="nil"/>
            </w:tcBorders>
            <w:shd w:val="clear" w:color="000000" w:fill="FFFFFF"/>
            <w:noWrap/>
            <w:vAlign w:val="bottom"/>
            <w:hideMark/>
          </w:tcPr>
          <w:p w14:paraId="0FA11CCE"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E1556DF" w14:textId="77777777" w:rsidTr="00955C32">
        <w:trPr>
          <w:trHeight w:val="300"/>
        </w:trPr>
        <w:tc>
          <w:tcPr>
            <w:tcW w:w="2977" w:type="dxa"/>
            <w:tcBorders>
              <w:top w:val="nil"/>
            </w:tcBorders>
            <w:shd w:val="clear" w:color="000000" w:fill="FFFFFF"/>
            <w:noWrap/>
            <w:vAlign w:val="bottom"/>
            <w:hideMark/>
          </w:tcPr>
          <w:p w14:paraId="0FA0D3C2"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Imazapic</w:t>
            </w:r>
          </w:p>
        </w:tc>
        <w:tc>
          <w:tcPr>
            <w:tcW w:w="2977" w:type="dxa"/>
            <w:tcBorders>
              <w:top w:val="nil"/>
            </w:tcBorders>
            <w:shd w:val="clear" w:color="000000" w:fill="FFFFFF"/>
            <w:noWrap/>
            <w:vAlign w:val="bottom"/>
            <w:hideMark/>
          </w:tcPr>
          <w:p w14:paraId="27E883CF"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70C0573" w14:textId="77777777" w:rsidTr="00955C32">
        <w:trPr>
          <w:trHeight w:val="300"/>
        </w:trPr>
        <w:tc>
          <w:tcPr>
            <w:tcW w:w="2977" w:type="dxa"/>
            <w:tcBorders>
              <w:top w:val="nil"/>
            </w:tcBorders>
            <w:shd w:val="clear" w:color="000000" w:fill="FFFFFF"/>
            <w:noWrap/>
            <w:vAlign w:val="bottom"/>
            <w:hideMark/>
          </w:tcPr>
          <w:p w14:paraId="33B2651B"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Imidacloprid</w:t>
            </w:r>
          </w:p>
        </w:tc>
        <w:tc>
          <w:tcPr>
            <w:tcW w:w="2977" w:type="dxa"/>
            <w:tcBorders>
              <w:top w:val="nil"/>
            </w:tcBorders>
            <w:shd w:val="clear" w:color="000000" w:fill="FFFFFF"/>
            <w:noWrap/>
            <w:vAlign w:val="bottom"/>
            <w:hideMark/>
          </w:tcPr>
          <w:p w14:paraId="5DDD8A35"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554D6EF8" w14:textId="77777777" w:rsidTr="00955C32">
        <w:trPr>
          <w:trHeight w:val="300"/>
        </w:trPr>
        <w:tc>
          <w:tcPr>
            <w:tcW w:w="2977" w:type="dxa"/>
            <w:tcBorders>
              <w:top w:val="nil"/>
            </w:tcBorders>
            <w:shd w:val="clear" w:color="000000" w:fill="FFFFFF"/>
            <w:noWrap/>
            <w:vAlign w:val="bottom"/>
            <w:hideMark/>
          </w:tcPr>
          <w:p w14:paraId="4339B95C"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Metolachlor</w:t>
            </w:r>
          </w:p>
        </w:tc>
        <w:tc>
          <w:tcPr>
            <w:tcW w:w="2977" w:type="dxa"/>
            <w:tcBorders>
              <w:top w:val="nil"/>
            </w:tcBorders>
            <w:shd w:val="clear" w:color="000000" w:fill="FFFFFF"/>
            <w:noWrap/>
            <w:vAlign w:val="bottom"/>
            <w:hideMark/>
          </w:tcPr>
          <w:p w14:paraId="1888DB30"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2B70A1CA" w14:textId="77777777" w:rsidTr="00955C32">
        <w:trPr>
          <w:trHeight w:val="300"/>
        </w:trPr>
        <w:tc>
          <w:tcPr>
            <w:tcW w:w="2977" w:type="dxa"/>
            <w:tcBorders>
              <w:top w:val="nil"/>
            </w:tcBorders>
            <w:shd w:val="clear" w:color="000000" w:fill="FFFFFF"/>
            <w:noWrap/>
            <w:vAlign w:val="bottom"/>
            <w:hideMark/>
          </w:tcPr>
          <w:p w14:paraId="16A6F238"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Metribuzin</w:t>
            </w:r>
          </w:p>
        </w:tc>
        <w:tc>
          <w:tcPr>
            <w:tcW w:w="2977" w:type="dxa"/>
            <w:tcBorders>
              <w:top w:val="nil"/>
            </w:tcBorders>
            <w:shd w:val="clear" w:color="000000" w:fill="FFFFFF"/>
            <w:noWrap/>
            <w:vAlign w:val="bottom"/>
            <w:hideMark/>
          </w:tcPr>
          <w:p w14:paraId="1DA704D2"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63C9EFE7" w14:textId="77777777" w:rsidTr="00955C32">
        <w:trPr>
          <w:trHeight w:val="300"/>
        </w:trPr>
        <w:tc>
          <w:tcPr>
            <w:tcW w:w="2977" w:type="dxa"/>
            <w:tcBorders>
              <w:top w:val="nil"/>
            </w:tcBorders>
            <w:shd w:val="clear" w:color="000000" w:fill="FFFFFF"/>
            <w:noWrap/>
            <w:vAlign w:val="bottom"/>
            <w:hideMark/>
          </w:tcPr>
          <w:p w14:paraId="1AFB9063"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Metsulfuron-methyl</w:t>
            </w:r>
          </w:p>
        </w:tc>
        <w:tc>
          <w:tcPr>
            <w:tcW w:w="2977" w:type="dxa"/>
            <w:tcBorders>
              <w:top w:val="nil"/>
            </w:tcBorders>
            <w:shd w:val="clear" w:color="000000" w:fill="FFFFFF"/>
            <w:noWrap/>
            <w:vAlign w:val="bottom"/>
            <w:hideMark/>
          </w:tcPr>
          <w:p w14:paraId="3FDEDCD0"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7A6268F" w14:textId="77777777" w:rsidTr="00955C32">
        <w:trPr>
          <w:trHeight w:val="300"/>
        </w:trPr>
        <w:tc>
          <w:tcPr>
            <w:tcW w:w="2977" w:type="dxa"/>
            <w:tcBorders>
              <w:top w:val="nil"/>
            </w:tcBorders>
            <w:shd w:val="clear" w:color="000000" w:fill="FFFFFF"/>
            <w:noWrap/>
            <w:vAlign w:val="bottom"/>
            <w:hideMark/>
          </w:tcPr>
          <w:p w14:paraId="550550AD"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Prometryn</w:t>
            </w:r>
          </w:p>
        </w:tc>
        <w:tc>
          <w:tcPr>
            <w:tcW w:w="2977" w:type="dxa"/>
            <w:tcBorders>
              <w:top w:val="nil"/>
            </w:tcBorders>
            <w:shd w:val="clear" w:color="000000" w:fill="FFFFFF"/>
            <w:noWrap/>
            <w:vAlign w:val="bottom"/>
            <w:hideMark/>
          </w:tcPr>
          <w:p w14:paraId="47F4DBEE"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5F934837" w14:textId="77777777" w:rsidTr="00955C32">
        <w:trPr>
          <w:trHeight w:val="300"/>
        </w:trPr>
        <w:tc>
          <w:tcPr>
            <w:tcW w:w="2977" w:type="dxa"/>
            <w:tcBorders>
              <w:top w:val="nil"/>
            </w:tcBorders>
            <w:shd w:val="clear" w:color="000000" w:fill="FFFFFF"/>
            <w:noWrap/>
            <w:vAlign w:val="bottom"/>
            <w:hideMark/>
          </w:tcPr>
          <w:p w14:paraId="5C220168"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Propazine</w:t>
            </w:r>
          </w:p>
        </w:tc>
        <w:tc>
          <w:tcPr>
            <w:tcW w:w="2977" w:type="dxa"/>
            <w:tcBorders>
              <w:top w:val="nil"/>
            </w:tcBorders>
            <w:shd w:val="clear" w:color="000000" w:fill="FFFFFF"/>
            <w:noWrap/>
            <w:vAlign w:val="bottom"/>
            <w:hideMark/>
          </w:tcPr>
          <w:p w14:paraId="1F9CDB3C"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5D8F6276" w14:textId="77777777" w:rsidTr="00955C32">
        <w:trPr>
          <w:trHeight w:val="300"/>
        </w:trPr>
        <w:tc>
          <w:tcPr>
            <w:tcW w:w="2977" w:type="dxa"/>
            <w:tcBorders>
              <w:top w:val="nil"/>
            </w:tcBorders>
            <w:shd w:val="clear" w:color="000000" w:fill="FFFFFF"/>
            <w:noWrap/>
            <w:vAlign w:val="bottom"/>
            <w:hideMark/>
          </w:tcPr>
          <w:p w14:paraId="30464165"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Simazine</w:t>
            </w:r>
          </w:p>
        </w:tc>
        <w:tc>
          <w:tcPr>
            <w:tcW w:w="2977" w:type="dxa"/>
            <w:tcBorders>
              <w:top w:val="nil"/>
            </w:tcBorders>
            <w:shd w:val="clear" w:color="000000" w:fill="FFFFFF"/>
            <w:noWrap/>
            <w:vAlign w:val="bottom"/>
            <w:hideMark/>
          </w:tcPr>
          <w:p w14:paraId="12478A40"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4862BF74" w14:textId="77777777" w:rsidTr="00955C32">
        <w:trPr>
          <w:trHeight w:val="300"/>
        </w:trPr>
        <w:tc>
          <w:tcPr>
            <w:tcW w:w="2977" w:type="dxa"/>
            <w:tcBorders>
              <w:top w:val="nil"/>
            </w:tcBorders>
            <w:shd w:val="clear" w:color="000000" w:fill="FFFFFF"/>
            <w:noWrap/>
            <w:vAlign w:val="bottom"/>
            <w:hideMark/>
          </w:tcPr>
          <w:p w14:paraId="60C11EF5"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Tebuconazole</w:t>
            </w:r>
          </w:p>
        </w:tc>
        <w:tc>
          <w:tcPr>
            <w:tcW w:w="2977" w:type="dxa"/>
            <w:tcBorders>
              <w:top w:val="nil"/>
            </w:tcBorders>
            <w:shd w:val="clear" w:color="000000" w:fill="FFFFFF"/>
            <w:noWrap/>
            <w:vAlign w:val="bottom"/>
            <w:hideMark/>
          </w:tcPr>
          <w:p w14:paraId="6BCD91E4"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1BF95B24" w14:textId="77777777" w:rsidTr="00DE44E2">
        <w:trPr>
          <w:trHeight w:val="300"/>
        </w:trPr>
        <w:tc>
          <w:tcPr>
            <w:tcW w:w="2977" w:type="dxa"/>
            <w:tcBorders>
              <w:top w:val="nil"/>
            </w:tcBorders>
            <w:shd w:val="clear" w:color="000000" w:fill="FFFFFF"/>
            <w:noWrap/>
            <w:vAlign w:val="bottom"/>
            <w:hideMark/>
          </w:tcPr>
          <w:p w14:paraId="0F57A713"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Tebuthiuron</w:t>
            </w:r>
          </w:p>
        </w:tc>
        <w:tc>
          <w:tcPr>
            <w:tcW w:w="2977" w:type="dxa"/>
            <w:tcBorders>
              <w:top w:val="nil"/>
            </w:tcBorders>
            <w:shd w:val="clear" w:color="000000" w:fill="FFFFFF"/>
            <w:noWrap/>
            <w:vAlign w:val="bottom"/>
            <w:hideMark/>
          </w:tcPr>
          <w:p w14:paraId="30B146E4"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tr w:rsidR="00846C54" w:rsidRPr="00AC0CC1" w14:paraId="3EF8B146" w14:textId="77777777" w:rsidTr="00DE44E2">
        <w:trPr>
          <w:trHeight w:val="300"/>
        </w:trPr>
        <w:tc>
          <w:tcPr>
            <w:tcW w:w="2977" w:type="dxa"/>
            <w:tcBorders>
              <w:top w:val="nil"/>
              <w:bottom w:val="single" w:sz="4" w:space="0" w:color="auto"/>
            </w:tcBorders>
            <w:shd w:val="clear" w:color="000000" w:fill="FFFFFF"/>
            <w:noWrap/>
            <w:vAlign w:val="bottom"/>
            <w:hideMark/>
          </w:tcPr>
          <w:p w14:paraId="482A4467" w14:textId="77777777" w:rsidR="00CA6794" w:rsidRPr="00F0737C" w:rsidRDefault="00CA6794" w:rsidP="002439C8">
            <w:pPr>
              <w:ind w:left="39" w:hanging="39"/>
              <w:jc w:val="left"/>
              <w:rPr>
                <w:rFonts w:asciiTheme="minorHAnsi" w:eastAsia="Times New Roman" w:hAnsiTheme="minorHAnsi" w:cstheme="minorHAnsi"/>
                <w:lang w:val="en-AU" w:eastAsia="en-AU" w:bidi="ar-SA"/>
              </w:rPr>
            </w:pPr>
            <w:r w:rsidRPr="00F0737C">
              <w:rPr>
                <w:rFonts w:asciiTheme="minorHAnsi" w:eastAsia="Times New Roman" w:hAnsiTheme="minorHAnsi" w:cstheme="minorHAnsi"/>
                <w:lang w:val="en-AU" w:eastAsia="en-AU" w:bidi="ar-SA"/>
              </w:rPr>
              <w:t>Terbutryn</w:t>
            </w:r>
          </w:p>
        </w:tc>
        <w:tc>
          <w:tcPr>
            <w:tcW w:w="2977" w:type="dxa"/>
            <w:tcBorders>
              <w:top w:val="nil"/>
              <w:bottom w:val="single" w:sz="4" w:space="0" w:color="auto"/>
            </w:tcBorders>
            <w:shd w:val="clear" w:color="000000" w:fill="FFFFFF"/>
            <w:noWrap/>
            <w:vAlign w:val="bottom"/>
            <w:hideMark/>
          </w:tcPr>
          <w:p w14:paraId="188EF278" w14:textId="77777777" w:rsidR="00CA6794" w:rsidRPr="00AC0CC1" w:rsidRDefault="00CA6794"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 </w:t>
            </w:r>
          </w:p>
        </w:tc>
      </w:tr>
      <w:bookmarkEnd w:id="449"/>
    </w:tbl>
    <w:p w14:paraId="65B58F70" w14:textId="77777777" w:rsidR="0059608E" w:rsidRPr="00747824" w:rsidRDefault="0059608E" w:rsidP="002439C8">
      <w:pPr>
        <w:pStyle w:val="Caption"/>
        <w:keepNext/>
        <w:spacing w:line="276" w:lineRule="auto"/>
        <w:rPr>
          <w:b w:val="0"/>
        </w:rPr>
      </w:pPr>
    </w:p>
    <w:p w14:paraId="014CA0B2" w14:textId="77777777" w:rsidR="00F5153B" w:rsidRPr="00747824" w:rsidRDefault="00695EC7" w:rsidP="002439C8">
      <w:pPr>
        <w:pStyle w:val="Caption"/>
        <w:spacing w:after="120"/>
        <w:rPr>
          <w:b w:val="0"/>
        </w:rPr>
      </w:pPr>
      <w:bookmarkStart w:id="652" w:name="_Ref480725509"/>
      <w:bookmarkStart w:id="653" w:name="_Toc527468629"/>
      <w:bookmarkStart w:id="654" w:name="_Toc15283226"/>
      <w:r>
        <w:t xml:space="preserve">Table </w:t>
      </w:r>
      <w:r w:rsidR="00C91BF5">
        <w:fldChar w:fldCharType="begin"/>
      </w:r>
      <w:r w:rsidR="008C60F9">
        <w:instrText xml:space="preserve"> STYLEREF 7 \s </w:instrText>
      </w:r>
      <w:r w:rsidR="00C91BF5">
        <w:fldChar w:fldCharType="separate"/>
      </w:r>
      <w:r w:rsidR="00251B46">
        <w:rPr>
          <w:noProof/>
        </w:rPr>
        <w:t>A</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251B46">
        <w:rPr>
          <w:noProof/>
        </w:rPr>
        <w:t>3</w:t>
      </w:r>
      <w:r w:rsidR="00C91BF5">
        <w:fldChar w:fldCharType="end"/>
      </w:r>
      <w:bookmarkEnd w:id="652"/>
      <w:r>
        <w:t xml:space="preserve">: </w:t>
      </w:r>
      <w:r w:rsidR="001C45D0" w:rsidRPr="00747824">
        <w:rPr>
          <w:b w:val="0"/>
        </w:rPr>
        <w:t>QAEHS</w:t>
      </w:r>
      <w:r w:rsidR="00F5153B" w:rsidRPr="00747824">
        <w:rPr>
          <w:b w:val="0"/>
        </w:rPr>
        <w:t xml:space="preserve"> GC</w:t>
      </w:r>
      <w:r w:rsidR="00330611">
        <w:rPr>
          <w:b w:val="0"/>
        </w:rPr>
        <w:t>-</w:t>
      </w:r>
      <w:r w:rsidR="00F5153B" w:rsidRPr="00747824">
        <w:rPr>
          <w:b w:val="0"/>
        </w:rPr>
        <w:t>MS analyte list for PDMS extracts</w:t>
      </w:r>
      <w:bookmarkEnd w:id="653"/>
      <w:bookmarkEnd w:id="654"/>
    </w:p>
    <w:tbl>
      <w:tblPr>
        <w:tblW w:w="5954" w:type="dxa"/>
        <w:tblInd w:w="675" w:type="dxa"/>
        <w:tblBorders>
          <w:top w:val="single" w:sz="4" w:space="0" w:color="auto"/>
          <w:bottom w:val="single" w:sz="4" w:space="0" w:color="auto"/>
          <w:insideV w:val="single" w:sz="4" w:space="0" w:color="auto"/>
        </w:tblBorders>
        <w:tblLook w:val="04A0" w:firstRow="1" w:lastRow="0" w:firstColumn="1" w:lastColumn="0" w:noHBand="0" w:noVBand="1"/>
      </w:tblPr>
      <w:tblGrid>
        <w:gridCol w:w="5954"/>
      </w:tblGrid>
      <w:tr w:rsidR="00955C32" w:rsidRPr="00955C32" w14:paraId="470F4094" w14:textId="77777777" w:rsidTr="008324EB">
        <w:trPr>
          <w:trHeight w:val="300"/>
        </w:trPr>
        <w:tc>
          <w:tcPr>
            <w:tcW w:w="5954" w:type="dxa"/>
            <w:tcBorders>
              <w:top w:val="single" w:sz="4" w:space="0" w:color="auto"/>
              <w:bottom w:val="single" w:sz="4" w:space="0" w:color="auto"/>
            </w:tcBorders>
            <w:shd w:val="clear" w:color="auto" w:fill="F2F2F2" w:themeFill="background1" w:themeFillShade="F2"/>
            <w:noWrap/>
            <w:vAlign w:val="bottom"/>
          </w:tcPr>
          <w:p w14:paraId="73BD7A71" w14:textId="77777777" w:rsidR="00955C32" w:rsidRPr="00955C32" w:rsidRDefault="00955C32" w:rsidP="002439C8">
            <w:pPr>
              <w:jc w:val="left"/>
              <w:rPr>
                <w:rFonts w:asciiTheme="minorHAnsi" w:eastAsia="Times New Roman" w:hAnsiTheme="minorHAnsi" w:cstheme="minorHAnsi"/>
                <w:b/>
                <w:color w:val="000000"/>
                <w:lang w:val="en-AU" w:eastAsia="en-AU" w:bidi="ar-SA"/>
              </w:rPr>
            </w:pPr>
            <w:r w:rsidRPr="00955C32">
              <w:rPr>
                <w:rFonts w:asciiTheme="minorHAnsi" w:eastAsia="Times New Roman" w:hAnsiTheme="minorHAnsi" w:cstheme="minorHAnsi"/>
                <w:b/>
                <w:color w:val="000000"/>
                <w:lang w:val="en-AU" w:eastAsia="en-AU" w:bidi="ar-SA"/>
              </w:rPr>
              <w:t>Pesticide</w:t>
            </w:r>
          </w:p>
        </w:tc>
      </w:tr>
      <w:tr w:rsidR="003A1210" w:rsidRPr="00AC0CC1" w14:paraId="79BBB8F9" w14:textId="77777777" w:rsidTr="008324EB">
        <w:trPr>
          <w:trHeight w:val="300"/>
        </w:trPr>
        <w:tc>
          <w:tcPr>
            <w:tcW w:w="5954" w:type="dxa"/>
            <w:tcBorders>
              <w:top w:val="single" w:sz="4" w:space="0" w:color="auto"/>
            </w:tcBorders>
            <w:shd w:val="clear" w:color="000000" w:fill="FFFFFF"/>
            <w:noWrap/>
            <w:vAlign w:val="bottom"/>
            <w:hideMark/>
          </w:tcPr>
          <w:p w14:paraId="2F2D58FD" w14:textId="77777777" w:rsidR="003A1210" w:rsidRPr="00AC0CC1" w:rsidRDefault="003A1210"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Chlorpyifos</w:t>
            </w:r>
          </w:p>
        </w:tc>
      </w:tr>
      <w:tr w:rsidR="003A1210" w:rsidRPr="00AC0CC1" w14:paraId="67EA68BE" w14:textId="77777777" w:rsidTr="008324EB">
        <w:trPr>
          <w:trHeight w:val="300"/>
        </w:trPr>
        <w:tc>
          <w:tcPr>
            <w:tcW w:w="5954" w:type="dxa"/>
            <w:shd w:val="clear" w:color="000000" w:fill="FFFFFF"/>
            <w:noWrap/>
            <w:vAlign w:val="bottom"/>
            <w:hideMark/>
          </w:tcPr>
          <w:p w14:paraId="31B42B35" w14:textId="77777777" w:rsidR="003A1210" w:rsidRPr="00AC0CC1" w:rsidRDefault="003A1210"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Pendimethalin</w:t>
            </w:r>
          </w:p>
        </w:tc>
      </w:tr>
      <w:tr w:rsidR="003A1210" w:rsidRPr="00AC0CC1" w14:paraId="5C2A1FAF" w14:textId="77777777" w:rsidTr="008324EB">
        <w:trPr>
          <w:trHeight w:val="300"/>
        </w:trPr>
        <w:tc>
          <w:tcPr>
            <w:tcW w:w="5954" w:type="dxa"/>
            <w:shd w:val="clear" w:color="000000" w:fill="FFFFFF"/>
            <w:noWrap/>
            <w:vAlign w:val="bottom"/>
            <w:hideMark/>
          </w:tcPr>
          <w:p w14:paraId="26C12EB8" w14:textId="77777777" w:rsidR="003A1210" w:rsidRPr="00AC0CC1" w:rsidRDefault="003A1210"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Propazine</w:t>
            </w:r>
          </w:p>
        </w:tc>
      </w:tr>
      <w:tr w:rsidR="003A1210" w:rsidRPr="00AC0CC1" w14:paraId="5F156FA6" w14:textId="77777777" w:rsidTr="008324EB">
        <w:trPr>
          <w:trHeight w:val="300"/>
        </w:trPr>
        <w:tc>
          <w:tcPr>
            <w:tcW w:w="5954" w:type="dxa"/>
            <w:shd w:val="clear" w:color="000000" w:fill="FFFFFF"/>
            <w:noWrap/>
            <w:vAlign w:val="bottom"/>
            <w:hideMark/>
          </w:tcPr>
          <w:p w14:paraId="570E6A6B" w14:textId="77777777" w:rsidR="003A1210" w:rsidRPr="00AC0CC1" w:rsidRDefault="003A1210"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Propiconazole</w:t>
            </w:r>
          </w:p>
        </w:tc>
      </w:tr>
      <w:tr w:rsidR="003A1210" w:rsidRPr="00AC0CC1" w14:paraId="5EED61CF" w14:textId="77777777" w:rsidTr="008324EB">
        <w:trPr>
          <w:trHeight w:val="300"/>
        </w:trPr>
        <w:tc>
          <w:tcPr>
            <w:tcW w:w="5954" w:type="dxa"/>
            <w:shd w:val="clear" w:color="000000" w:fill="FFFFFF"/>
            <w:noWrap/>
            <w:vAlign w:val="bottom"/>
            <w:hideMark/>
          </w:tcPr>
          <w:p w14:paraId="546918E8" w14:textId="77777777" w:rsidR="003A1210" w:rsidRPr="00AC0CC1" w:rsidRDefault="003A1210" w:rsidP="002439C8">
            <w:pPr>
              <w:jc w:val="left"/>
              <w:rPr>
                <w:rFonts w:asciiTheme="minorHAnsi" w:eastAsia="Times New Roman" w:hAnsiTheme="minorHAnsi" w:cstheme="minorHAnsi"/>
                <w:color w:val="000000"/>
                <w:lang w:val="en-AU" w:eastAsia="en-AU" w:bidi="ar-SA"/>
              </w:rPr>
            </w:pPr>
            <w:r w:rsidRPr="00AC0CC1">
              <w:rPr>
                <w:rFonts w:asciiTheme="minorHAnsi" w:eastAsia="Times New Roman" w:hAnsiTheme="minorHAnsi" w:cstheme="minorHAnsi"/>
                <w:color w:val="000000"/>
                <w:lang w:val="en-AU" w:eastAsia="en-AU" w:bidi="ar-SA"/>
              </w:rPr>
              <w:t>Trifluralin</w:t>
            </w:r>
          </w:p>
        </w:tc>
      </w:tr>
    </w:tbl>
    <w:p w14:paraId="53CE20C2" w14:textId="77777777" w:rsidR="0059608E" w:rsidRPr="005B0F3D" w:rsidRDefault="0059608E" w:rsidP="002439C8">
      <w:pPr>
        <w:spacing w:line="276" w:lineRule="auto"/>
        <w:ind w:left="709" w:right="3663" w:hanging="142"/>
        <w:jc w:val="left"/>
        <w:rPr>
          <w:sz w:val="14"/>
        </w:rPr>
      </w:pPr>
    </w:p>
    <w:p w14:paraId="25CB9529" w14:textId="77777777" w:rsidR="0086437B" w:rsidRDefault="0086437B" w:rsidP="002439C8">
      <w:pPr>
        <w:pStyle w:val="Caption"/>
        <w:keepNext/>
        <w:spacing w:line="276" w:lineRule="auto"/>
      </w:pPr>
    </w:p>
    <w:p w14:paraId="7397B6A2" w14:textId="77777777" w:rsidR="00954FCA" w:rsidRPr="00CB093C" w:rsidRDefault="00695EC7" w:rsidP="00954FCA">
      <w:pPr>
        <w:pStyle w:val="Caption"/>
        <w:rPr>
          <w:rFonts w:cs="Arial"/>
          <w:i/>
          <w:vanish/>
          <w:color w:val="000000"/>
          <w:specVanish/>
        </w:rPr>
      </w:pPr>
      <w:bookmarkStart w:id="655" w:name="_Ref480726503"/>
      <w:bookmarkStart w:id="656" w:name="_Toc15283227"/>
      <w:bookmarkStart w:id="657" w:name="_Toc527468630"/>
      <w:r w:rsidRPr="00D706B9">
        <w:t xml:space="preserve">Table </w:t>
      </w:r>
      <w:r w:rsidR="00C91BF5" w:rsidRPr="00D706B9">
        <w:fldChar w:fldCharType="begin"/>
      </w:r>
      <w:r w:rsidR="008C60F9" w:rsidRPr="00D706B9">
        <w:instrText xml:space="preserve"> STYLEREF 7 \s </w:instrText>
      </w:r>
      <w:r w:rsidR="00C91BF5" w:rsidRPr="00D706B9">
        <w:fldChar w:fldCharType="separate"/>
      </w:r>
      <w:r w:rsidR="00251B46">
        <w:rPr>
          <w:noProof/>
        </w:rPr>
        <w:t>A</w:t>
      </w:r>
      <w:r w:rsidR="00C91BF5" w:rsidRPr="00D706B9">
        <w:fldChar w:fldCharType="end"/>
      </w:r>
      <w:r w:rsidR="008C60F9" w:rsidRPr="00D706B9">
        <w:noBreakHyphen/>
      </w:r>
      <w:r w:rsidR="00C91BF5" w:rsidRPr="00D706B9">
        <w:fldChar w:fldCharType="begin"/>
      </w:r>
      <w:r w:rsidR="008C60F9" w:rsidRPr="00D706B9">
        <w:instrText xml:space="preserve"> SEQ Table_Apx \* ARABIC \s 7 </w:instrText>
      </w:r>
      <w:r w:rsidR="00C91BF5" w:rsidRPr="00D706B9">
        <w:fldChar w:fldCharType="separate"/>
      </w:r>
      <w:r w:rsidR="00251B46">
        <w:rPr>
          <w:noProof/>
        </w:rPr>
        <w:t>4</w:t>
      </w:r>
      <w:r w:rsidR="00C91BF5" w:rsidRPr="00D706B9">
        <w:fldChar w:fldCharType="end"/>
      </w:r>
      <w:bookmarkEnd w:id="655"/>
      <w:r w:rsidR="00840E64" w:rsidRPr="00D706B9">
        <w:t>:</w:t>
      </w:r>
      <w:r w:rsidR="00840E64" w:rsidRPr="00D706B9">
        <w:rPr>
          <w:b w:val="0"/>
        </w:rPr>
        <w:t xml:space="preserve"> P</w:t>
      </w:r>
      <w:r w:rsidR="00F5153B" w:rsidRPr="00D706B9">
        <w:rPr>
          <w:b w:val="0"/>
        </w:rPr>
        <w:t>roposed priority pesticides and herbicides specified under the MMP</w:t>
      </w:r>
      <w:bookmarkEnd w:id="656"/>
    </w:p>
    <w:p w14:paraId="0E2601D7" w14:textId="75175D43" w:rsidR="00F5153B" w:rsidRPr="00D706B9" w:rsidRDefault="00F5153B" w:rsidP="002439C8">
      <w:pPr>
        <w:pStyle w:val="Caption"/>
        <w:spacing w:after="120"/>
        <w:rPr>
          <w:b w:val="0"/>
        </w:rPr>
      </w:pPr>
      <w:r w:rsidRPr="00D706B9">
        <w:rPr>
          <w:b w:val="0"/>
        </w:rPr>
        <w:t xml:space="preserve"> (proposed </w:t>
      </w:r>
      <w:r w:rsidR="00245DC4" w:rsidRPr="00D706B9">
        <w:rPr>
          <w:b w:val="0"/>
        </w:rPr>
        <w:t>by</w:t>
      </w:r>
      <w:r w:rsidRPr="00D706B9">
        <w:rPr>
          <w:b w:val="0"/>
        </w:rPr>
        <w:t xml:space="preserve"> PWG 18 Aug</w:t>
      </w:r>
      <w:r w:rsidR="0086437B" w:rsidRPr="00D706B9">
        <w:rPr>
          <w:b w:val="0"/>
        </w:rPr>
        <w:t>ust</w:t>
      </w:r>
      <w:r w:rsidRPr="00D706B9">
        <w:rPr>
          <w:b w:val="0"/>
        </w:rPr>
        <w:t xml:space="preserve"> 2015)</w:t>
      </w:r>
      <w:r w:rsidR="00D706B9" w:rsidRPr="00D706B9">
        <w:rPr>
          <w:b w:val="0"/>
        </w:rPr>
        <w:t xml:space="preserve"> and other pesticides of interest for potential inclusion in monitoring and reporting activities (feedback from the Paddock to the Reef program)</w:t>
      </w:r>
      <w:r w:rsidR="00245DC4" w:rsidRPr="00D706B9">
        <w:rPr>
          <w:b w:val="0"/>
        </w:rPr>
        <w:t xml:space="preserve">. </w:t>
      </w:r>
      <w:r w:rsidR="00D706B9" w:rsidRPr="00D706B9">
        <w:rPr>
          <w:b w:val="0"/>
        </w:rPr>
        <w:t>I</w:t>
      </w:r>
      <w:r w:rsidR="00245DC4" w:rsidRPr="00D706B9">
        <w:rPr>
          <w:b w:val="0"/>
        </w:rPr>
        <w:t>nstrument limit of detection (LOD) and limit of reporting (LO</w:t>
      </w:r>
      <w:r w:rsidR="00D706B9">
        <w:rPr>
          <w:b w:val="0"/>
        </w:rPr>
        <w:t>R</w:t>
      </w:r>
      <w:r w:rsidR="00245DC4" w:rsidRPr="00D706B9">
        <w:rPr>
          <w:b w:val="0"/>
        </w:rPr>
        <w:t>) are given (</w:t>
      </w:r>
      <w:r w:rsidR="00245DC4" w:rsidRPr="00D706B9">
        <w:rPr>
          <w:rFonts w:ascii="Symbol" w:hAnsi="Symbol"/>
          <w:b w:val="0"/>
        </w:rPr>
        <w:t></w:t>
      </w:r>
      <w:r w:rsidR="00245DC4" w:rsidRPr="00D706B9">
        <w:rPr>
          <w:b w:val="0"/>
        </w:rPr>
        <w:t>g L</w:t>
      </w:r>
      <w:r w:rsidR="00A209AA" w:rsidRPr="00A209AA">
        <w:rPr>
          <w:b w:val="0"/>
          <w:vertAlign w:val="superscript"/>
        </w:rPr>
        <w:noBreakHyphen/>
        <w:t>1</w:t>
      </w:r>
      <w:r w:rsidR="00245DC4" w:rsidRPr="00D706B9">
        <w:rPr>
          <w:b w:val="0"/>
        </w:rPr>
        <w:t>), where available.</w:t>
      </w:r>
      <w:bookmarkEnd w:id="657"/>
    </w:p>
    <w:tbl>
      <w:tblPr>
        <w:tblW w:w="5000" w:type="pct"/>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2285"/>
        <w:gridCol w:w="3811"/>
        <w:gridCol w:w="1179"/>
        <w:gridCol w:w="652"/>
        <w:gridCol w:w="20"/>
        <w:gridCol w:w="531"/>
        <w:gridCol w:w="54"/>
        <w:gridCol w:w="495"/>
      </w:tblGrid>
      <w:tr w:rsidR="00D706B9" w:rsidRPr="00AA6F75" w14:paraId="7EA963F9" w14:textId="77777777" w:rsidTr="00CC7BC7">
        <w:trPr>
          <w:trHeight w:val="296"/>
          <w:tblHeader/>
        </w:trPr>
        <w:tc>
          <w:tcPr>
            <w:tcW w:w="1266" w:type="pct"/>
            <w:vMerge w:val="restart"/>
            <w:shd w:val="clear" w:color="auto" w:fill="F2F2F2" w:themeFill="background1" w:themeFillShade="F2"/>
            <w:vAlign w:val="center"/>
            <w:hideMark/>
          </w:tcPr>
          <w:p w14:paraId="63215491" w14:textId="77777777" w:rsidR="00D706B9" w:rsidRPr="00AA6F75" w:rsidRDefault="00D706B9" w:rsidP="002439C8">
            <w:pPr>
              <w:jc w:val="left"/>
              <w:rPr>
                <w:rFonts w:asciiTheme="minorHAnsi" w:eastAsia="Times New Roman" w:hAnsiTheme="minorHAnsi" w:cstheme="minorHAnsi"/>
                <w:b/>
                <w:bCs/>
                <w:color w:val="000000"/>
                <w:sz w:val="20"/>
                <w:szCs w:val="20"/>
                <w:lang w:val="en-AU" w:eastAsia="en-AU" w:bidi="ar-SA"/>
              </w:rPr>
            </w:pPr>
            <w:r w:rsidRPr="00AA6F75">
              <w:rPr>
                <w:rFonts w:asciiTheme="minorHAnsi" w:eastAsia="Times New Roman" w:hAnsiTheme="minorHAnsi" w:cstheme="minorHAnsi"/>
                <w:b/>
                <w:bCs/>
                <w:color w:val="000000"/>
                <w:sz w:val="20"/>
                <w:szCs w:val="20"/>
                <w:lang w:val="en-AU" w:eastAsia="en-AU" w:bidi="ar-SA"/>
              </w:rPr>
              <w:t>Chemical</w:t>
            </w:r>
          </w:p>
        </w:tc>
        <w:tc>
          <w:tcPr>
            <w:tcW w:w="2111" w:type="pct"/>
            <w:vMerge w:val="restart"/>
            <w:shd w:val="clear" w:color="auto" w:fill="F2F2F2" w:themeFill="background1" w:themeFillShade="F2"/>
            <w:vAlign w:val="center"/>
            <w:hideMark/>
          </w:tcPr>
          <w:p w14:paraId="10B6391D" w14:textId="77777777" w:rsidR="00D706B9" w:rsidRPr="00AA6F75" w:rsidRDefault="00D706B9" w:rsidP="002439C8">
            <w:pPr>
              <w:jc w:val="left"/>
              <w:rPr>
                <w:rFonts w:asciiTheme="minorHAnsi" w:eastAsia="Times New Roman" w:hAnsiTheme="minorHAnsi" w:cs="Calibri"/>
                <w:b/>
                <w:bCs/>
                <w:color w:val="000000"/>
                <w:sz w:val="20"/>
                <w:szCs w:val="20"/>
                <w:lang w:val="en-AU" w:eastAsia="en-AU" w:bidi="ar-SA"/>
              </w:rPr>
            </w:pPr>
            <w:r w:rsidRPr="00AA6F75">
              <w:rPr>
                <w:rFonts w:asciiTheme="minorHAnsi" w:eastAsia="Times New Roman" w:hAnsiTheme="minorHAnsi" w:cs="Calibri"/>
                <w:b/>
                <w:bCs/>
                <w:color w:val="000000"/>
                <w:sz w:val="20"/>
                <w:szCs w:val="20"/>
                <w:lang w:val="en-AU" w:eastAsia="en-AU" w:bidi="ar-SA"/>
              </w:rPr>
              <w:t>Description</w:t>
            </w:r>
          </w:p>
        </w:tc>
        <w:tc>
          <w:tcPr>
            <w:tcW w:w="653" w:type="pct"/>
            <w:vMerge w:val="restart"/>
            <w:shd w:val="clear" w:color="auto" w:fill="F2F2F2" w:themeFill="background1" w:themeFillShade="F2"/>
          </w:tcPr>
          <w:p w14:paraId="39B9B95E" w14:textId="77777777" w:rsidR="00D706B9" w:rsidRPr="00AA6F75" w:rsidRDefault="00D706B9" w:rsidP="002439C8">
            <w:pPr>
              <w:jc w:val="left"/>
              <w:rPr>
                <w:rFonts w:asciiTheme="minorHAnsi" w:eastAsia="Times New Roman" w:hAnsiTheme="minorHAnsi" w:cs="Calibri"/>
                <w:b/>
                <w:bCs/>
                <w:color w:val="000000"/>
                <w:sz w:val="20"/>
                <w:szCs w:val="20"/>
                <w:lang w:val="en-AU" w:eastAsia="en-AU" w:bidi="ar-SA"/>
              </w:rPr>
            </w:pPr>
            <w:r w:rsidRPr="00AA6F75">
              <w:rPr>
                <w:rFonts w:asciiTheme="minorHAnsi" w:eastAsia="Times New Roman" w:hAnsiTheme="minorHAnsi" w:cs="Calibri"/>
                <w:b/>
                <w:bCs/>
                <w:color w:val="000000"/>
                <w:sz w:val="20"/>
                <w:szCs w:val="20"/>
                <w:lang w:val="en-AU" w:eastAsia="en-AU" w:bidi="ar-SA"/>
              </w:rPr>
              <w:t>Priority or of interest</w:t>
            </w:r>
          </w:p>
        </w:tc>
        <w:tc>
          <w:tcPr>
            <w:tcW w:w="666" w:type="pct"/>
            <w:gridSpan w:val="3"/>
            <w:tcBorders>
              <w:bottom w:val="single" w:sz="4" w:space="0" w:color="auto"/>
            </w:tcBorders>
            <w:shd w:val="clear" w:color="auto" w:fill="F2F2F2" w:themeFill="background1" w:themeFillShade="F2"/>
            <w:vAlign w:val="center"/>
            <w:hideMark/>
          </w:tcPr>
          <w:p w14:paraId="25092EF4" w14:textId="77777777" w:rsidR="00D706B9" w:rsidRPr="00AA6F75" w:rsidRDefault="00D706B9" w:rsidP="002439C8">
            <w:pPr>
              <w:jc w:val="left"/>
              <w:rPr>
                <w:rFonts w:asciiTheme="minorHAnsi" w:eastAsia="Times New Roman" w:hAnsiTheme="minorHAnsi" w:cs="Calibri"/>
                <w:b/>
                <w:bCs/>
                <w:color w:val="000000"/>
                <w:sz w:val="20"/>
                <w:szCs w:val="20"/>
                <w:lang w:val="en-AU" w:eastAsia="en-AU" w:bidi="ar-SA"/>
              </w:rPr>
            </w:pPr>
            <w:r w:rsidRPr="00AA6F75">
              <w:rPr>
                <w:rFonts w:asciiTheme="minorHAnsi" w:eastAsia="Times New Roman" w:hAnsiTheme="minorHAnsi" w:cs="Calibri"/>
                <w:b/>
                <w:bCs/>
                <w:color w:val="000000"/>
                <w:sz w:val="20"/>
                <w:szCs w:val="20"/>
                <w:lang w:val="en-AU" w:eastAsia="en-AU" w:bidi="ar-SA"/>
              </w:rPr>
              <w:t xml:space="preserve">LC-MS/MS </w:t>
            </w:r>
          </w:p>
        </w:tc>
        <w:tc>
          <w:tcPr>
            <w:tcW w:w="305" w:type="pct"/>
            <w:gridSpan w:val="2"/>
            <w:tcBorders>
              <w:bottom w:val="single" w:sz="4" w:space="0" w:color="auto"/>
            </w:tcBorders>
            <w:shd w:val="clear" w:color="auto" w:fill="F2F2F2" w:themeFill="background1" w:themeFillShade="F2"/>
            <w:vAlign w:val="center"/>
          </w:tcPr>
          <w:p w14:paraId="6C5B1E61" w14:textId="77777777" w:rsidR="00D706B9" w:rsidRPr="00AA6F75" w:rsidRDefault="00D706B9" w:rsidP="002439C8">
            <w:pPr>
              <w:jc w:val="left"/>
              <w:rPr>
                <w:rFonts w:asciiTheme="minorHAnsi" w:eastAsia="Times New Roman" w:hAnsiTheme="minorHAnsi" w:cs="Calibri"/>
                <w:b/>
                <w:bCs/>
                <w:color w:val="000000"/>
                <w:sz w:val="20"/>
                <w:szCs w:val="20"/>
                <w:lang w:val="en-AU" w:eastAsia="en-AU" w:bidi="ar-SA"/>
              </w:rPr>
            </w:pPr>
            <w:r w:rsidRPr="00AA6F75">
              <w:rPr>
                <w:rFonts w:asciiTheme="minorHAnsi" w:eastAsia="Times New Roman" w:hAnsiTheme="minorHAnsi" w:cs="Calibri"/>
                <w:b/>
                <w:bCs/>
                <w:color w:val="000000"/>
                <w:sz w:val="20"/>
                <w:szCs w:val="20"/>
                <w:lang w:val="en-AU" w:eastAsia="en-AU" w:bidi="ar-SA"/>
              </w:rPr>
              <w:t>GC-MS</w:t>
            </w:r>
          </w:p>
        </w:tc>
      </w:tr>
      <w:tr w:rsidR="00D706B9" w:rsidRPr="00AA6F75" w14:paraId="3AEB9AA8" w14:textId="77777777" w:rsidTr="00CC7BC7">
        <w:trPr>
          <w:trHeight w:val="274"/>
          <w:tblHeader/>
        </w:trPr>
        <w:tc>
          <w:tcPr>
            <w:tcW w:w="1266" w:type="pct"/>
            <w:vMerge/>
            <w:tcBorders>
              <w:bottom w:val="single" w:sz="4" w:space="0" w:color="auto"/>
            </w:tcBorders>
            <w:shd w:val="clear" w:color="auto" w:fill="F2F2F2" w:themeFill="background1" w:themeFillShade="F2"/>
            <w:vAlign w:val="center"/>
          </w:tcPr>
          <w:p w14:paraId="436D47A9" w14:textId="77777777" w:rsidR="00D706B9" w:rsidRPr="00AA6F75" w:rsidRDefault="00D706B9" w:rsidP="002439C8">
            <w:pPr>
              <w:jc w:val="left"/>
              <w:rPr>
                <w:rFonts w:asciiTheme="minorHAnsi" w:eastAsia="Times New Roman" w:hAnsiTheme="minorHAnsi" w:cstheme="minorHAnsi"/>
                <w:b/>
                <w:bCs/>
                <w:color w:val="000000"/>
                <w:sz w:val="20"/>
                <w:szCs w:val="20"/>
                <w:lang w:val="en-AU" w:eastAsia="en-AU" w:bidi="ar-SA"/>
              </w:rPr>
            </w:pPr>
          </w:p>
        </w:tc>
        <w:tc>
          <w:tcPr>
            <w:tcW w:w="2111" w:type="pct"/>
            <w:vMerge/>
            <w:tcBorders>
              <w:bottom w:val="single" w:sz="4" w:space="0" w:color="auto"/>
            </w:tcBorders>
            <w:shd w:val="clear" w:color="auto" w:fill="F2F2F2" w:themeFill="background1" w:themeFillShade="F2"/>
            <w:vAlign w:val="center"/>
          </w:tcPr>
          <w:p w14:paraId="5262F024" w14:textId="77777777" w:rsidR="00D706B9" w:rsidRPr="00AA6F75" w:rsidRDefault="00D706B9" w:rsidP="002439C8">
            <w:pPr>
              <w:jc w:val="left"/>
              <w:rPr>
                <w:rFonts w:asciiTheme="minorHAnsi" w:eastAsia="Times New Roman" w:hAnsiTheme="minorHAnsi" w:cs="Calibri"/>
                <w:b/>
                <w:bCs/>
                <w:color w:val="000000"/>
                <w:sz w:val="20"/>
                <w:szCs w:val="20"/>
                <w:lang w:val="en-AU" w:eastAsia="en-AU" w:bidi="ar-SA"/>
              </w:rPr>
            </w:pPr>
          </w:p>
        </w:tc>
        <w:tc>
          <w:tcPr>
            <w:tcW w:w="653" w:type="pct"/>
            <w:vMerge/>
            <w:tcBorders>
              <w:bottom w:val="single" w:sz="4" w:space="0" w:color="auto"/>
            </w:tcBorders>
            <w:shd w:val="clear" w:color="auto" w:fill="F2F2F2" w:themeFill="background1" w:themeFillShade="F2"/>
          </w:tcPr>
          <w:p w14:paraId="38A37570" w14:textId="77777777" w:rsidR="00D706B9" w:rsidRPr="00AA6F75" w:rsidRDefault="00D706B9" w:rsidP="002439C8">
            <w:pPr>
              <w:jc w:val="left"/>
              <w:rPr>
                <w:rFonts w:asciiTheme="minorHAnsi" w:eastAsia="Times New Roman" w:hAnsiTheme="minorHAnsi" w:cs="Calibri"/>
                <w:b/>
                <w:bCs/>
                <w:color w:val="000000"/>
                <w:sz w:val="20"/>
                <w:szCs w:val="20"/>
                <w:lang w:val="en-AU" w:eastAsia="en-AU" w:bidi="ar-SA"/>
              </w:rPr>
            </w:pPr>
          </w:p>
        </w:tc>
        <w:tc>
          <w:tcPr>
            <w:tcW w:w="361" w:type="pct"/>
            <w:tcBorders>
              <w:bottom w:val="single" w:sz="4" w:space="0" w:color="auto"/>
            </w:tcBorders>
            <w:shd w:val="clear" w:color="auto" w:fill="F2F2F2" w:themeFill="background1" w:themeFillShade="F2"/>
            <w:vAlign w:val="center"/>
          </w:tcPr>
          <w:p w14:paraId="71DD13CA" w14:textId="77777777" w:rsidR="00D706B9" w:rsidRPr="00AA6F75" w:rsidRDefault="00D706B9" w:rsidP="002439C8">
            <w:pPr>
              <w:jc w:val="left"/>
              <w:rPr>
                <w:rFonts w:asciiTheme="minorHAnsi" w:eastAsia="Times New Roman" w:hAnsiTheme="minorHAnsi" w:cs="Calibri"/>
                <w:b/>
                <w:bCs/>
                <w:color w:val="000000"/>
                <w:sz w:val="20"/>
                <w:szCs w:val="20"/>
                <w:lang w:val="en-AU" w:eastAsia="en-AU" w:bidi="ar-SA"/>
              </w:rPr>
            </w:pPr>
            <w:r w:rsidRPr="00AA6F75">
              <w:rPr>
                <w:rFonts w:asciiTheme="minorHAnsi" w:eastAsia="Times New Roman" w:hAnsiTheme="minorHAnsi" w:cs="Calibri"/>
                <w:b/>
                <w:bCs/>
                <w:color w:val="000000"/>
                <w:sz w:val="20"/>
                <w:szCs w:val="20"/>
                <w:lang w:val="en-AU" w:eastAsia="en-AU" w:bidi="ar-SA"/>
              </w:rPr>
              <w:t>LOD</w:t>
            </w:r>
          </w:p>
        </w:tc>
        <w:tc>
          <w:tcPr>
            <w:tcW w:w="305" w:type="pct"/>
            <w:gridSpan w:val="2"/>
            <w:tcBorders>
              <w:bottom w:val="single" w:sz="4" w:space="0" w:color="auto"/>
            </w:tcBorders>
            <w:shd w:val="clear" w:color="auto" w:fill="F2F2F2" w:themeFill="background1" w:themeFillShade="F2"/>
            <w:vAlign w:val="center"/>
          </w:tcPr>
          <w:p w14:paraId="494D1EDF" w14:textId="77777777" w:rsidR="00D706B9" w:rsidRPr="00AA6F75" w:rsidRDefault="00D706B9" w:rsidP="002439C8">
            <w:pPr>
              <w:jc w:val="left"/>
              <w:rPr>
                <w:rFonts w:asciiTheme="minorHAnsi" w:eastAsia="Times New Roman" w:hAnsiTheme="minorHAnsi" w:cs="Calibri"/>
                <w:b/>
                <w:bCs/>
                <w:color w:val="000000"/>
                <w:sz w:val="20"/>
                <w:szCs w:val="20"/>
                <w:lang w:val="en-AU" w:eastAsia="en-AU" w:bidi="ar-SA"/>
              </w:rPr>
            </w:pPr>
            <w:r w:rsidRPr="00AA6F75">
              <w:rPr>
                <w:rFonts w:asciiTheme="minorHAnsi" w:eastAsia="Times New Roman" w:hAnsiTheme="minorHAnsi" w:cs="Calibri"/>
                <w:b/>
                <w:bCs/>
                <w:color w:val="000000"/>
                <w:sz w:val="20"/>
                <w:szCs w:val="20"/>
                <w:lang w:val="en-AU" w:eastAsia="en-AU" w:bidi="ar-SA"/>
              </w:rPr>
              <w:t>LOR</w:t>
            </w:r>
          </w:p>
        </w:tc>
        <w:tc>
          <w:tcPr>
            <w:tcW w:w="305" w:type="pct"/>
            <w:gridSpan w:val="2"/>
            <w:tcBorders>
              <w:bottom w:val="single" w:sz="4" w:space="0" w:color="auto"/>
            </w:tcBorders>
            <w:shd w:val="clear" w:color="auto" w:fill="F2F2F2" w:themeFill="background1" w:themeFillShade="F2"/>
            <w:vAlign w:val="center"/>
          </w:tcPr>
          <w:p w14:paraId="2EA63FD5" w14:textId="77777777" w:rsidR="00D706B9" w:rsidRPr="00AA6F75" w:rsidRDefault="00D706B9" w:rsidP="002439C8">
            <w:pPr>
              <w:jc w:val="left"/>
              <w:rPr>
                <w:rFonts w:asciiTheme="minorHAnsi" w:eastAsia="Times New Roman" w:hAnsiTheme="minorHAnsi" w:cs="Calibri"/>
                <w:b/>
                <w:bCs/>
                <w:color w:val="000000"/>
                <w:sz w:val="20"/>
                <w:szCs w:val="20"/>
                <w:lang w:val="en-AU" w:eastAsia="en-AU" w:bidi="ar-SA"/>
              </w:rPr>
            </w:pPr>
            <w:r w:rsidRPr="00AA6F75">
              <w:rPr>
                <w:rFonts w:asciiTheme="minorHAnsi" w:eastAsia="Times New Roman" w:hAnsiTheme="minorHAnsi" w:cs="Calibri"/>
                <w:b/>
                <w:bCs/>
                <w:color w:val="000000"/>
                <w:sz w:val="20"/>
                <w:szCs w:val="20"/>
                <w:lang w:val="en-AU" w:eastAsia="en-AU" w:bidi="ar-SA"/>
              </w:rPr>
              <w:t>LOR</w:t>
            </w:r>
          </w:p>
        </w:tc>
      </w:tr>
      <w:tr w:rsidR="00D706B9" w:rsidRPr="00AA6F75" w14:paraId="6A18FEEA" w14:textId="77777777" w:rsidTr="00CC7BC7">
        <w:trPr>
          <w:trHeight w:val="375"/>
        </w:trPr>
        <w:tc>
          <w:tcPr>
            <w:tcW w:w="1266" w:type="pct"/>
            <w:tcBorders>
              <w:bottom w:val="nil"/>
            </w:tcBorders>
            <w:shd w:val="clear" w:color="auto" w:fill="DBE5F1" w:themeFill="accent1" w:themeFillTint="33"/>
            <w:noWrap/>
            <w:vAlign w:val="center"/>
            <w:hideMark/>
          </w:tcPr>
          <w:p w14:paraId="7B98F56C" w14:textId="3C0D62EB" w:rsidR="00D706B9" w:rsidRPr="00AA6F75" w:rsidRDefault="00FE6E97"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2,4</w:t>
            </w:r>
            <w:r w:rsidRPr="00AA6F75">
              <w:rPr>
                <w:rFonts w:asciiTheme="minorHAnsi" w:eastAsia="Times New Roman" w:hAnsiTheme="minorHAnsi" w:cstheme="minorHAnsi"/>
                <w:color w:val="000000"/>
                <w:sz w:val="20"/>
                <w:szCs w:val="20"/>
                <w:lang w:val="en-AU" w:eastAsia="en-AU" w:bidi="ar-SA"/>
              </w:rPr>
              <w:noBreakHyphen/>
              <w:t>D</w:t>
            </w:r>
          </w:p>
        </w:tc>
        <w:tc>
          <w:tcPr>
            <w:tcW w:w="2111" w:type="pct"/>
            <w:tcBorders>
              <w:bottom w:val="nil"/>
            </w:tcBorders>
            <w:shd w:val="clear" w:color="auto" w:fill="auto"/>
            <w:noWrap/>
            <w:vAlign w:val="center"/>
            <w:hideMark/>
          </w:tcPr>
          <w:p w14:paraId="360C1AA2"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Phenoxy-carboxylic-acid herbicide</w:t>
            </w:r>
          </w:p>
        </w:tc>
        <w:tc>
          <w:tcPr>
            <w:tcW w:w="653" w:type="pct"/>
            <w:tcBorders>
              <w:bottom w:val="nil"/>
            </w:tcBorders>
            <w:vAlign w:val="center"/>
          </w:tcPr>
          <w:p w14:paraId="09668FFF"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bottom w:val="nil"/>
            </w:tcBorders>
            <w:shd w:val="clear" w:color="auto" w:fill="auto"/>
            <w:noWrap/>
            <w:vAlign w:val="center"/>
            <w:hideMark/>
          </w:tcPr>
          <w:p w14:paraId="3EAEE6A1"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0.03</w:t>
            </w:r>
          </w:p>
        </w:tc>
        <w:tc>
          <w:tcPr>
            <w:tcW w:w="324" w:type="pct"/>
            <w:gridSpan w:val="2"/>
            <w:tcBorders>
              <w:bottom w:val="nil"/>
            </w:tcBorders>
            <w:shd w:val="clear" w:color="auto" w:fill="auto"/>
            <w:noWrap/>
            <w:vAlign w:val="center"/>
            <w:hideMark/>
          </w:tcPr>
          <w:p w14:paraId="56D282C8"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bottom w:val="nil"/>
            </w:tcBorders>
            <w:shd w:val="clear" w:color="000000" w:fill="FFFFFF"/>
            <w:noWrap/>
            <w:vAlign w:val="center"/>
            <w:hideMark/>
          </w:tcPr>
          <w:p w14:paraId="64F019C1"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6C730C" w:rsidRPr="00AA6F75" w14:paraId="04EFAA84" w14:textId="77777777" w:rsidTr="00CC7BC7">
        <w:trPr>
          <w:trHeight w:val="375"/>
        </w:trPr>
        <w:tc>
          <w:tcPr>
            <w:tcW w:w="1266" w:type="pct"/>
            <w:tcBorders>
              <w:top w:val="nil"/>
              <w:bottom w:val="nil"/>
              <w:right w:val="nil"/>
            </w:tcBorders>
            <w:shd w:val="clear" w:color="auto" w:fill="auto"/>
            <w:noWrap/>
            <w:vAlign w:val="center"/>
            <w:hideMark/>
          </w:tcPr>
          <w:p w14:paraId="5BF8563C" w14:textId="45939547" w:rsidR="006C730C" w:rsidRPr="00AA6F75" w:rsidRDefault="00FE6E97"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2,4</w:t>
            </w:r>
            <w:r w:rsidRPr="00AA6F75">
              <w:rPr>
                <w:rFonts w:asciiTheme="minorHAnsi" w:eastAsia="Times New Roman" w:hAnsiTheme="minorHAnsi" w:cstheme="minorHAnsi"/>
                <w:color w:val="000000"/>
                <w:sz w:val="20"/>
                <w:szCs w:val="20"/>
                <w:lang w:val="en-AU" w:eastAsia="en-AU" w:bidi="ar-SA"/>
              </w:rPr>
              <w:noBreakHyphen/>
              <w:t>D</w:t>
            </w:r>
            <w:r w:rsidR="006C730C" w:rsidRPr="00AA6F75">
              <w:rPr>
                <w:rFonts w:asciiTheme="minorHAnsi" w:eastAsia="Times New Roman" w:hAnsiTheme="minorHAnsi" w:cstheme="minorHAnsi"/>
                <w:color w:val="000000"/>
                <w:sz w:val="20"/>
                <w:szCs w:val="20"/>
                <w:lang w:val="en-AU" w:eastAsia="en-AU" w:bidi="ar-SA"/>
              </w:rPr>
              <w:t>B</w:t>
            </w:r>
          </w:p>
        </w:tc>
        <w:tc>
          <w:tcPr>
            <w:tcW w:w="2111" w:type="pct"/>
            <w:tcBorders>
              <w:top w:val="nil"/>
              <w:left w:val="nil"/>
              <w:bottom w:val="nil"/>
              <w:right w:val="nil"/>
            </w:tcBorders>
            <w:shd w:val="clear" w:color="auto" w:fill="auto"/>
            <w:noWrap/>
            <w:vAlign w:val="center"/>
            <w:hideMark/>
          </w:tcPr>
          <w:p w14:paraId="611125F8"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Phenoxy-carboxylic-acid herbicide</w:t>
            </w:r>
          </w:p>
        </w:tc>
        <w:tc>
          <w:tcPr>
            <w:tcW w:w="653" w:type="pct"/>
            <w:tcBorders>
              <w:top w:val="nil"/>
              <w:left w:val="nil"/>
              <w:bottom w:val="nil"/>
              <w:right w:val="nil"/>
            </w:tcBorders>
            <w:shd w:val="clear" w:color="auto" w:fill="auto"/>
            <w:vAlign w:val="center"/>
          </w:tcPr>
          <w:p w14:paraId="69EA83B1"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Of interest</w:t>
            </w:r>
          </w:p>
        </w:tc>
        <w:tc>
          <w:tcPr>
            <w:tcW w:w="372" w:type="pct"/>
            <w:gridSpan w:val="2"/>
            <w:tcBorders>
              <w:top w:val="nil"/>
              <w:left w:val="nil"/>
              <w:bottom w:val="nil"/>
              <w:right w:val="nil"/>
            </w:tcBorders>
            <w:shd w:val="clear" w:color="auto" w:fill="auto"/>
            <w:noWrap/>
            <w:vAlign w:val="center"/>
            <w:hideMark/>
          </w:tcPr>
          <w:p w14:paraId="64CB0D04"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5.0</w:t>
            </w:r>
          </w:p>
        </w:tc>
        <w:tc>
          <w:tcPr>
            <w:tcW w:w="324" w:type="pct"/>
            <w:gridSpan w:val="2"/>
            <w:tcBorders>
              <w:top w:val="nil"/>
              <w:left w:val="nil"/>
              <w:bottom w:val="nil"/>
              <w:right w:val="nil"/>
            </w:tcBorders>
            <w:shd w:val="clear" w:color="auto" w:fill="auto"/>
            <w:noWrap/>
            <w:vAlign w:val="center"/>
            <w:hideMark/>
          </w:tcPr>
          <w:p w14:paraId="5CBF4BFC"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15</w:t>
            </w:r>
          </w:p>
        </w:tc>
        <w:tc>
          <w:tcPr>
            <w:tcW w:w="275" w:type="pct"/>
            <w:tcBorders>
              <w:top w:val="nil"/>
              <w:left w:val="nil"/>
              <w:bottom w:val="nil"/>
            </w:tcBorders>
            <w:shd w:val="clear" w:color="auto" w:fill="auto"/>
            <w:noWrap/>
            <w:vAlign w:val="center"/>
            <w:hideMark/>
          </w:tcPr>
          <w:p w14:paraId="31D2F437"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6C730C" w:rsidRPr="00AA6F75" w14:paraId="1CF95957" w14:textId="77777777" w:rsidTr="00CC7BC7">
        <w:trPr>
          <w:trHeight w:val="375"/>
        </w:trPr>
        <w:tc>
          <w:tcPr>
            <w:tcW w:w="1266" w:type="pct"/>
            <w:tcBorders>
              <w:top w:val="nil"/>
              <w:bottom w:val="nil"/>
              <w:right w:val="nil"/>
            </w:tcBorders>
            <w:shd w:val="clear" w:color="auto" w:fill="auto"/>
            <w:noWrap/>
            <w:vAlign w:val="center"/>
            <w:hideMark/>
          </w:tcPr>
          <w:p w14:paraId="796D36D5" w14:textId="77777777" w:rsidR="006C730C" w:rsidRPr="00AA6F75" w:rsidRDefault="006C730C"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Aciflurofen*</w:t>
            </w:r>
          </w:p>
        </w:tc>
        <w:tc>
          <w:tcPr>
            <w:tcW w:w="2111" w:type="pct"/>
            <w:tcBorders>
              <w:top w:val="nil"/>
              <w:left w:val="nil"/>
              <w:bottom w:val="nil"/>
              <w:right w:val="nil"/>
            </w:tcBorders>
            <w:shd w:val="clear" w:color="auto" w:fill="auto"/>
            <w:noWrap/>
            <w:vAlign w:val="center"/>
            <w:hideMark/>
          </w:tcPr>
          <w:p w14:paraId="6DDD8203" w14:textId="77777777" w:rsidR="006C730C" w:rsidRPr="00AA6F75" w:rsidRDefault="00780FEA"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Herbicide: c</w:t>
            </w:r>
            <w:r w:rsidR="006C730C" w:rsidRPr="00AA6F75">
              <w:rPr>
                <w:rFonts w:asciiTheme="minorHAnsi" w:eastAsia="Times New Roman" w:hAnsiTheme="minorHAnsi" w:cs="Calibri"/>
                <w:color w:val="000000"/>
                <w:sz w:val="20"/>
                <w:szCs w:val="20"/>
                <w:lang w:val="en-AU" w:eastAsia="en-AU" w:bidi="ar-SA"/>
              </w:rPr>
              <w:t>ell membrane disruptor</w:t>
            </w:r>
          </w:p>
        </w:tc>
        <w:tc>
          <w:tcPr>
            <w:tcW w:w="653" w:type="pct"/>
            <w:tcBorders>
              <w:top w:val="nil"/>
              <w:left w:val="nil"/>
              <w:bottom w:val="nil"/>
              <w:right w:val="nil"/>
            </w:tcBorders>
            <w:shd w:val="clear" w:color="auto" w:fill="auto"/>
            <w:vAlign w:val="center"/>
          </w:tcPr>
          <w:p w14:paraId="65D19803"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Of interest</w:t>
            </w:r>
          </w:p>
        </w:tc>
        <w:tc>
          <w:tcPr>
            <w:tcW w:w="372" w:type="pct"/>
            <w:gridSpan w:val="2"/>
            <w:tcBorders>
              <w:top w:val="nil"/>
              <w:left w:val="nil"/>
              <w:bottom w:val="nil"/>
              <w:right w:val="nil"/>
            </w:tcBorders>
            <w:shd w:val="clear" w:color="auto" w:fill="auto"/>
            <w:noWrap/>
            <w:vAlign w:val="center"/>
            <w:hideMark/>
          </w:tcPr>
          <w:p w14:paraId="34C18CB9"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 </w:t>
            </w:r>
          </w:p>
        </w:tc>
        <w:tc>
          <w:tcPr>
            <w:tcW w:w="324" w:type="pct"/>
            <w:gridSpan w:val="2"/>
            <w:tcBorders>
              <w:top w:val="nil"/>
              <w:left w:val="nil"/>
              <w:bottom w:val="nil"/>
              <w:right w:val="nil"/>
            </w:tcBorders>
            <w:shd w:val="clear" w:color="auto" w:fill="auto"/>
            <w:noWrap/>
            <w:vAlign w:val="center"/>
            <w:hideMark/>
          </w:tcPr>
          <w:p w14:paraId="004062B0"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 </w:t>
            </w:r>
          </w:p>
        </w:tc>
        <w:tc>
          <w:tcPr>
            <w:tcW w:w="275" w:type="pct"/>
            <w:tcBorders>
              <w:top w:val="nil"/>
              <w:left w:val="nil"/>
              <w:bottom w:val="nil"/>
            </w:tcBorders>
            <w:shd w:val="clear" w:color="auto" w:fill="auto"/>
            <w:noWrap/>
            <w:vAlign w:val="center"/>
            <w:hideMark/>
          </w:tcPr>
          <w:p w14:paraId="4116A65F"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D706B9" w:rsidRPr="00AA6F75" w14:paraId="7CEFE09E" w14:textId="77777777" w:rsidTr="00CC7BC7">
        <w:trPr>
          <w:trHeight w:val="375"/>
        </w:trPr>
        <w:tc>
          <w:tcPr>
            <w:tcW w:w="1266" w:type="pct"/>
            <w:tcBorders>
              <w:top w:val="nil"/>
              <w:bottom w:val="nil"/>
            </w:tcBorders>
            <w:shd w:val="clear" w:color="auto" w:fill="DBE5F1" w:themeFill="accent1" w:themeFillTint="33"/>
            <w:noWrap/>
            <w:vAlign w:val="center"/>
            <w:hideMark/>
          </w:tcPr>
          <w:p w14:paraId="24E523C4"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Ametryn</w:t>
            </w:r>
          </w:p>
        </w:tc>
        <w:tc>
          <w:tcPr>
            <w:tcW w:w="2111" w:type="pct"/>
            <w:tcBorders>
              <w:top w:val="nil"/>
              <w:bottom w:val="nil"/>
            </w:tcBorders>
            <w:shd w:val="clear" w:color="auto" w:fill="auto"/>
            <w:vAlign w:val="center"/>
            <w:hideMark/>
          </w:tcPr>
          <w:p w14:paraId="0599E2C9"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w:t>
            </w:r>
            <w:r w:rsidR="00780FEA" w:rsidRPr="00AA6F75">
              <w:rPr>
                <w:rFonts w:asciiTheme="minorHAnsi" w:eastAsia="Times New Roman" w:hAnsiTheme="minorHAnsi" w:cs="Calibri"/>
                <w:color w:val="000000"/>
                <w:sz w:val="20"/>
                <w:szCs w:val="20"/>
                <w:lang w:val="en-AU" w:eastAsia="en-AU" w:bidi="ar-SA"/>
              </w:rPr>
              <w:t xml:space="preserve"> – </w:t>
            </w:r>
            <w:r w:rsidRPr="00AA6F75">
              <w:rPr>
                <w:rFonts w:asciiTheme="minorHAnsi" w:eastAsia="Times New Roman" w:hAnsiTheme="minorHAnsi" w:cs="Calibri"/>
                <w:color w:val="000000"/>
                <w:sz w:val="20"/>
                <w:szCs w:val="20"/>
                <w:lang w:val="en-AU" w:eastAsia="en-AU" w:bidi="ar-SA"/>
              </w:rPr>
              <w:t>methylthiotriazine</w:t>
            </w:r>
          </w:p>
        </w:tc>
        <w:tc>
          <w:tcPr>
            <w:tcW w:w="653" w:type="pct"/>
            <w:tcBorders>
              <w:top w:val="nil"/>
              <w:bottom w:val="nil"/>
            </w:tcBorders>
            <w:vAlign w:val="center"/>
          </w:tcPr>
          <w:p w14:paraId="7B9DDE8E"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726FEDDC"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0.56</w:t>
            </w:r>
          </w:p>
        </w:tc>
        <w:tc>
          <w:tcPr>
            <w:tcW w:w="324" w:type="pct"/>
            <w:gridSpan w:val="2"/>
            <w:tcBorders>
              <w:top w:val="nil"/>
              <w:bottom w:val="nil"/>
            </w:tcBorders>
            <w:shd w:val="clear" w:color="auto" w:fill="auto"/>
            <w:noWrap/>
            <w:vAlign w:val="center"/>
            <w:hideMark/>
          </w:tcPr>
          <w:p w14:paraId="4B050FED"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1.69</w:t>
            </w:r>
          </w:p>
        </w:tc>
        <w:tc>
          <w:tcPr>
            <w:tcW w:w="275" w:type="pct"/>
            <w:tcBorders>
              <w:top w:val="nil"/>
              <w:bottom w:val="nil"/>
            </w:tcBorders>
            <w:shd w:val="clear" w:color="000000" w:fill="FFFFFF"/>
            <w:noWrap/>
            <w:vAlign w:val="center"/>
            <w:hideMark/>
          </w:tcPr>
          <w:p w14:paraId="1C40CC72"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6C730C" w:rsidRPr="00AA6F75" w14:paraId="29291266" w14:textId="77777777" w:rsidTr="00CC7BC7">
        <w:trPr>
          <w:trHeight w:val="375"/>
        </w:trPr>
        <w:tc>
          <w:tcPr>
            <w:tcW w:w="1266" w:type="pct"/>
            <w:tcBorders>
              <w:top w:val="nil"/>
              <w:bottom w:val="nil"/>
              <w:right w:val="nil"/>
            </w:tcBorders>
            <w:shd w:val="clear" w:color="auto" w:fill="auto"/>
            <w:noWrap/>
            <w:vAlign w:val="center"/>
            <w:hideMark/>
          </w:tcPr>
          <w:p w14:paraId="1988F7E0" w14:textId="77777777" w:rsidR="006C730C" w:rsidRPr="00AA6F75" w:rsidRDefault="006C730C"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Asulam</w:t>
            </w:r>
          </w:p>
        </w:tc>
        <w:tc>
          <w:tcPr>
            <w:tcW w:w="2111" w:type="pct"/>
            <w:tcBorders>
              <w:top w:val="nil"/>
              <w:left w:val="nil"/>
              <w:bottom w:val="nil"/>
              <w:right w:val="nil"/>
            </w:tcBorders>
            <w:shd w:val="clear" w:color="auto" w:fill="auto"/>
            <w:vAlign w:val="center"/>
            <w:hideMark/>
          </w:tcPr>
          <w:p w14:paraId="369A0433" w14:textId="77777777" w:rsidR="006C730C" w:rsidRPr="00AA6F75" w:rsidRDefault="00780FEA"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Herbicide: i</w:t>
            </w:r>
            <w:r w:rsidR="006C730C" w:rsidRPr="00AA6F75">
              <w:rPr>
                <w:rFonts w:asciiTheme="minorHAnsi" w:eastAsia="Times New Roman" w:hAnsiTheme="minorHAnsi" w:cs="Calibri"/>
                <w:color w:val="000000"/>
                <w:sz w:val="20"/>
                <w:szCs w:val="20"/>
                <w:lang w:val="en-AU" w:eastAsia="en-AU" w:bidi="ar-SA"/>
              </w:rPr>
              <w:t>nhibition of DHP – carbamate</w:t>
            </w:r>
          </w:p>
        </w:tc>
        <w:tc>
          <w:tcPr>
            <w:tcW w:w="653" w:type="pct"/>
            <w:tcBorders>
              <w:top w:val="nil"/>
              <w:left w:val="nil"/>
              <w:bottom w:val="nil"/>
              <w:right w:val="nil"/>
            </w:tcBorders>
            <w:vAlign w:val="center"/>
          </w:tcPr>
          <w:p w14:paraId="4D9FD85E"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Of interest</w:t>
            </w:r>
          </w:p>
        </w:tc>
        <w:tc>
          <w:tcPr>
            <w:tcW w:w="372" w:type="pct"/>
            <w:gridSpan w:val="2"/>
            <w:tcBorders>
              <w:top w:val="nil"/>
              <w:left w:val="nil"/>
              <w:bottom w:val="nil"/>
              <w:right w:val="nil"/>
            </w:tcBorders>
            <w:shd w:val="clear" w:color="auto" w:fill="auto"/>
            <w:noWrap/>
            <w:vAlign w:val="center"/>
          </w:tcPr>
          <w:p w14:paraId="083C5EB3"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left w:val="nil"/>
              <w:bottom w:val="nil"/>
              <w:right w:val="nil"/>
            </w:tcBorders>
            <w:shd w:val="clear" w:color="auto" w:fill="auto"/>
            <w:noWrap/>
            <w:vAlign w:val="center"/>
          </w:tcPr>
          <w:p w14:paraId="0F09B69F"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left w:val="nil"/>
              <w:bottom w:val="nil"/>
            </w:tcBorders>
            <w:shd w:val="clear" w:color="000000" w:fill="FFFFFF"/>
            <w:noWrap/>
            <w:vAlign w:val="center"/>
            <w:hideMark/>
          </w:tcPr>
          <w:p w14:paraId="02AFB115"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D706B9" w:rsidRPr="00AA6F75" w14:paraId="031A3820" w14:textId="77777777" w:rsidTr="00CC7BC7">
        <w:trPr>
          <w:trHeight w:val="375"/>
        </w:trPr>
        <w:tc>
          <w:tcPr>
            <w:tcW w:w="1266" w:type="pct"/>
            <w:tcBorders>
              <w:top w:val="nil"/>
              <w:bottom w:val="nil"/>
            </w:tcBorders>
            <w:shd w:val="clear" w:color="auto" w:fill="DBE5F1" w:themeFill="accent1" w:themeFillTint="33"/>
            <w:noWrap/>
            <w:vAlign w:val="center"/>
            <w:hideMark/>
          </w:tcPr>
          <w:p w14:paraId="27B3AD7F"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Atrazine</w:t>
            </w:r>
          </w:p>
        </w:tc>
        <w:tc>
          <w:tcPr>
            <w:tcW w:w="2111" w:type="pct"/>
            <w:tcBorders>
              <w:top w:val="nil"/>
              <w:bottom w:val="nil"/>
            </w:tcBorders>
            <w:shd w:val="clear" w:color="auto" w:fill="auto"/>
            <w:vAlign w:val="center"/>
            <w:hideMark/>
          </w:tcPr>
          <w:p w14:paraId="3313B4D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w:t>
            </w:r>
            <w:r w:rsidR="00780FEA" w:rsidRPr="00AA6F75">
              <w:rPr>
                <w:rFonts w:asciiTheme="minorHAnsi" w:eastAsia="Times New Roman" w:hAnsiTheme="minorHAnsi" w:cs="Calibri"/>
                <w:color w:val="000000"/>
                <w:sz w:val="20"/>
                <w:szCs w:val="20"/>
                <w:lang w:val="en-AU" w:eastAsia="en-AU" w:bidi="ar-SA"/>
              </w:rPr>
              <w:t xml:space="preserve"> – </w:t>
            </w:r>
            <w:r w:rsidRPr="00AA6F75">
              <w:rPr>
                <w:rFonts w:asciiTheme="minorHAnsi" w:eastAsia="Times New Roman" w:hAnsiTheme="minorHAnsi" w:cs="Calibri"/>
                <w:color w:val="000000"/>
                <w:sz w:val="20"/>
                <w:szCs w:val="20"/>
                <w:lang w:val="en-AU" w:eastAsia="en-AU" w:bidi="ar-SA"/>
              </w:rPr>
              <w:t>chlorotriazine</w:t>
            </w:r>
          </w:p>
        </w:tc>
        <w:tc>
          <w:tcPr>
            <w:tcW w:w="653" w:type="pct"/>
            <w:tcBorders>
              <w:top w:val="nil"/>
              <w:bottom w:val="nil"/>
            </w:tcBorders>
            <w:vAlign w:val="center"/>
          </w:tcPr>
          <w:p w14:paraId="160D251A"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11550222"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0.05</w:t>
            </w:r>
          </w:p>
        </w:tc>
        <w:tc>
          <w:tcPr>
            <w:tcW w:w="324" w:type="pct"/>
            <w:gridSpan w:val="2"/>
            <w:tcBorders>
              <w:top w:val="nil"/>
              <w:bottom w:val="nil"/>
            </w:tcBorders>
            <w:shd w:val="clear" w:color="auto" w:fill="auto"/>
            <w:noWrap/>
            <w:vAlign w:val="center"/>
            <w:hideMark/>
          </w:tcPr>
          <w:p w14:paraId="053F81DC"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0.15</w:t>
            </w:r>
          </w:p>
        </w:tc>
        <w:tc>
          <w:tcPr>
            <w:tcW w:w="275" w:type="pct"/>
            <w:tcBorders>
              <w:top w:val="nil"/>
              <w:bottom w:val="nil"/>
            </w:tcBorders>
            <w:shd w:val="clear" w:color="000000" w:fill="FFFFFF"/>
            <w:noWrap/>
            <w:vAlign w:val="center"/>
            <w:hideMark/>
          </w:tcPr>
          <w:p w14:paraId="70658E8A"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4F157E5A" w14:textId="77777777" w:rsidTr="00CC7BC7">
        <w:trPr>
          <w:trHeight w:val="375"/>
        </w:trPr>
        <w:tc>
          <w:tcPr>
            <w:tcW w:w="1266" w:type="pct"/>
            <w:tcBorders>
              <w:top w:val="nil"/>
              <w:bottom w:val="nil"/>
            </w:tcBorders>
            <w:shd w:val="clear" w:color="000000" w:fill="FFFFFF"/>
            <w:noWrap/>
            <w:vAlign w:val="center"/>
            <w:hideMark/>
          </w:tcPr>
          <w:p w14:paraId="1FE7DDFF" w14:textId="77777777" w:rsidR="00D706B9" w:rsidRPr="00AA6F75" w:rsidRDefault="00D706B9" w:rsidP="002439C8">
            <w:pPr>
              <w:jc w:val="left"/>
              <w:rPr>
                <w:rFonts w:asciiTheme="minorHAnsi" w:eastAsia="Times New Roman" w:hAnsiTheme="minorHAnsi" w:cstheme="minorHAnsi"/>
                <w:color w:val="C00000"/>
                <w:sz w:val="20"/>
                <w:szCs w:val="20"/>
                <w:lang w:val="en-AU" w:eastAsia="en-AU" w:bidi="ar-SA"/>
              </w:rPr>
            </w:pPr>
            <w:r w:rsidRPr="00AA6F75">
              <w:rPr>
                <w:rFonts w:asciiTheme="minorHAnsi" w:eastAsia="Times New Roman" w:hAnsiTheme="minorHAnsi" w:cstheme="minorHAnsi"/>
                <w:color w:val="C00000"/>
                <w:sz w:val="20"/>
                <w:szCs w:val="20"/>
                <w:lang w:val="en-AU" w:eastAsia="en-AU" w:bidi="ar-SA"/>
              </w:rPr>
              <w:t>Atrazine – desethyl</w:t>
            </w:r>
          </w:p>
        </w:tc>
        <w:tc>
          <w:tcPr>
            <w:tcW w:w="2111" w:type="pct"/>
            <w:tcBorders>
              <w:top w:val="nil"/>
              <w:bottom w:val="nil"/>
            </w:tcBorders>
            <w:shd w:val="clear" w:color="auto" w:fill="auto"/>
            <w:vAlign w:val="center"/>
            <w:hideMark/>
          </w:tcPr>
          <w:p w14:paraId="1D3C4639"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 breakdown product (also active)</w:t>
            </w:r>
          </w:p>
        </w:tc>
        <w:tc>
          <w:tcPr>
            <w:tcW w:w="653" w:type="pct"/>
            <w:tcBorders>
              <w:top w:val="nil"/>
              <w:bottom w:val="nil"/>
            </w:tcBorders>
            <w:vAlign w:val="center"/>
          </w:tcPr>
          <w:p w14:paraId="2C5EC73C"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4B0E0A0F"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0.005</w:t>
            </w:r>
          </w:p>
        </w:tc>
        <w:tc>
          <w:tcPr>
            <w:tcW w:w="324" w:type="pct"/>
            <w:gridSpan w:val="2"/>
            <w:tcBorders>
              <w:top w:val="nil"/>
              <w:bottom w:val="nil"/>
            </w:tcBorders>
            <w:shd w:val="clear" w:color="auto" w:fill="auto"/>
            <w:noWrap/>
            <w:vAlign w:val="center"/>
            <w:hideMark/>
          </w:tcPr>
          <w:p w14:paraId="74A4C34D"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bottom w:val="nil"/>
            </w:tcBorders>
            <w:shd w:val="clear" w:color="000000" w:fill="FFFFFF"/>
            <w:noWrap/>
            <w:vAlign w:val="center"/>
            <w:hideMark/>
          </w:tcPr>
          <w:p w14:paraId="6FE569B7"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32729BC2" w14:textId="77777777" w:rsidTr="00CC7BC7">
        <w:trPr>
          <w:trHeight w:val="375"/>
        </w:trPr>
        <w:tc>
          <w:tcPr>
            <w:tcW w:w="1266" w:type="pct"/>
            <w:tcBorders>
              <w:top w:val="nil"/>
              <w:bottom w:val="nil"/>
            </w:tcBorders>
            <w:shd w:val="clear" w:color="000000" w:fill="FFFFFF"/>
            <w:noWrap/>
            <w:vAlign w:val="center"/>
            <w:hideMark/>
          </w:tcPr>
          <w:p w14:paraId="069D19B1" w14:textId="77777777" w:rsidR="00D706B9" w:rsidRPr="00AA6F75" w:rsidRDefault="00D706B9" w:rsidP="002439C8">
            <w:pPr>
              <w:jc w:val="left"/>
              <w:rPr>
                <w:rFonts w:asciiTheme="minorHAnsi" w:eastAsia="Times New Roman" w:hAnsiTheme="minorHAnsi" w:cstheme="minorHAnsi"/>
                <w:color w:val="C00000"/>
                <w:sz w:val="20"/>
                <w:szCs w:val="20"/>
                <w:lang w:val="en-AU" w:eastAsia="en-AU" w:bidi="ar-SA"/>
              </w:rPr>
            </w:pPr>
            <w:r w:rsidRPr="00AA6F75">
              <w:rPr>
                <w:rFonts w:asciiTheme="minorHAnsi" w:eastAsia="Times New Roman" w:hAnsiTheme="minorHAnsi" w:cstheme="minorHAnsi"/>
                <w:color w:val="C00000"/>
                <w:sz w:val="20"/>
                <w:szCs w:val="20"/>
                <w:lang w:val="en-AU" w:eastAsia="en-AU" w:bidi="ar-SA"/>
              </w:rPr>
              <w:t>Atrazine – desisopropyl</w:t>
            </w:r>
          </w:p>
        </w:tc>
        <w:tc>
          <w:tcPr>
            <w:tcW w:w="2111" w:type="pct"/>
            <w:tcBorders>
              <w:top w:val="nil"/>
              <w:bottom w:val="nil"/>
            </w:tcBorders>
            <w:shd w:val="clear" w:color="auto" w:fill="auto"/>
            <w:vAlign w:val="center"/>
            <w:hideMark/>
          </w:tcPr>
          <w:p w14:paraId="53EF4A5B"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 breakdown product (also active)</w:t>
            </w:r>
          </w:p>
        </w:tc>
        <w:tc>
          <w:tcPr>
            <w:tcW w:w="653" w:type="pct"/>
            <w:tcBorders>
              <w:top w:val="nil"/>
              <w:bottom w:val="nil"/>
            </w:tcBorders>
            <w:vAlign w:val="center"/>
          </w:tcPr>
          <w:p w14:paraId="1E046199"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2920EA93"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0.02</w:t>
            </w:r>
          </w:p>
        </w:tc>
        <w:tc>
          <w:tcPr>
            <w:tcW w:w="324" w:type="pct"/>
            <w:gridSpan w:val="2"/>
            <w:tcBorders>
              <w:top w:val="nil"/>
              <w:bottom w:val="nil"/>
            </w:tcBorders>
            <w:shd w:val="clear" w:color="auto" w:fill="auto"/>
            <w:noWrap/>
            <w:vAlign w:val="center"/>
            <w:hideMark/>
          </w:tcPr>
          <w:p w14:paraId="6ED3C18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bottom w:val="nil"/>
            </w:tcBorders>
            <w:shd w:val="clear" w:color="000000" w:fill="FFFFFF"/>
            <w:noWrap/>
            <w:vAlign w:val="center"/>
            <w:hideMark/>
          </w:tcPr>
          <w:p w14:paraId="4CB40D64"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6C730C" w:rsidRPr="00AA6F75" w14:paraId="1AA64F99" w14:textId="77777777" w:rsidTr="00CC7BC7">
        <w:trPr>
          <w:trHeight w:val="375"/>
        </w:trPr>
        <w:tc>
          <w:tcPr>
            <w:tcW w:w="1266" w:type="pct"/>
            <w:tcBorders>
              <w:top w:val="nil"/>
              <w:bottom w:val="nil"/>
              <w:right w:val="nil"/>
            </w:tcBorders>
            <w:shd w:val="clear" w:color="000000" w:fill="FFFFFF"/>
            <w:noWrap/>
            <w:vAlign w:val="center"/>
            <w:hideMark/>
          </w:tcPr>
          <w:p w14:paraId="71CE2090" w14:textId="77777777" w:rsidR="006C730C" w:rsidRPr="00AA6F75" w:rsidRDefault="006C730C" w:rsidP="002439C8">
            <w:pPr>
              <w:jc w:val="left"/>
              <w:rPr>
                <w:rFonts w:asciiTheme="minorHAnsi" w:eastAsia="Times New Roman" w:hAnsiTheme="minorHAnsi" w:cstheme="minorHAnsi"/>
                <w:color w:val="C00000"/>
                <w:sz w:val="20"/>
                <w:szCs w:val="20"/>
                <w:lang w:val="en-AU" w:eastAsia="en-AU" w:bidi="ar-SA"/>
              </w:rPr>
            </w:pPr>
            <w:r w:rsidRPr="00AA6F75">
              <w:rPr>
                <w:rFonts w:asciiTheme="minorHAnsi" w:eastAsia="Times New Roman" w:hAnsiTheme="minorHAnsi" w:cstheme="minorHAnsi"/>
                <w:sz w:val="20"/>
                <w:szCs w:val="20"/>
                <w:lang w:val="en-AU" w:eastAsia="en-AU" w:bidi="ar-SA"/>
              </w:rPr>
              <w:t>Bromacil</w:t>
            </w:r>
          </w:p>
        </w:tc>
        <w:tc>
          <w:tcPr>
            <w:tcW w:w="2111" w:type="pct"/>
            <w:tcBorders>
              <w:top w:val="nil"/>
              <w:left w:val="nil"/>
              <w:bottom w:val="nil"/>
              <w:right w:val="nil"/>
            </w:tcBorders>
            <w:shd w:val="clear" w:color="auto" w:fill="auto"/>
            <w:vAlign w:val="center"/>
            <w:hideMark/>
          </w:tcPr>
          <w:p w14:paraId="0BC43245"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 – uracil</w:t>
            </w:r>
          </w:p>
        </w:tc>
        <w:tc>
          <w:tcPr>
            <w:tcW w:w="653" w:type="pct"/>
            <w:tcBorders>
              <w:top w:val="nil"/>
              <w:left w:val="nil"/>
              <w:bottom w:val="nil"/>
              <w:right w:val="nil"/>
            </w:tcBorders>
            <w:vAlign w:val="center"/>
          </w:tcPr>
          <w:p w14:paraId="00C94195"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Of interest</w:t>
            </w:r>
          </w:p>
        </w:tc>
        <w:tc>
          <w:tcPr>
            <w:tcW w:w="372" w:type="pct"/>
            <w:gridSpan w:val="2"/>
            <w:tcBorders>
              <w:top w:val="nil"/>
              <w:left w:val="nil"/>
              <w:bottom w:val="nil"/>
              <w:right w:val="nil"/>
            </w:tcBorders>
            <w:shd w:val="clear" w:color="auto" w:fill="auto"/>
            <w:noWrap/>
            <w:vAlign w:val="center"/>
            <w:hideMark/>
          </w:tcPr>
          <w:p w14:paraId="43E5B3AA"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0.02</w:t>
            </w:r>
          </w:p>
        </w:tc>
        <w:tc>
          <w:tcPr>
            <w:tcW w:w="324" w:type="pct"/>
            <w:gridSpan w:val="2"/>
            <w:tcBorders>
              <w:top w:val="nil"/>
              <w:left w:val="nil"/>
              <w:bottom w:val="nil"/>
              <w:right w:val="nil"/>
            </w:tcBorders>
            <w:shd w:val="clear" w:color="auto" w:fill="auto"/>
            <w:noWrap/>
            <w:vAlign w:val="center"/>
            <w:hideMark/>
          </w:tcPr>
          <w:p w14:paraId="5E2A65FC"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left w:val="nil"/>
              <w:bottom w:val="nil"/>
            </w:tcBorders>
            <w:shd w:val="clear" w:color="000000" w:fill="FFFFFF"/>
            <w:noWrap/>
            <w:vAlign w:val="center"/>
            <w:hideMark/>
          </w:tcPr>
          <w:p w14:paraId="1B976910"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D706B9" w:rsidRPr="00AA6F75" w14:paraId="143D78EB" w14:textId="77777777" w:rsidTr="00CC7BC7">
        <w:trPr>
          <w:trHeight w:val="375"/>
        </w:trPr>
        <w:tc>
          <w:tcPr>
            <w:tcW w:w="1266" w:type="pct"/>
            <w:tcBorders>
              <w:top w:val="nil"/>
              <w:bottom w:val="nil"/>
            </w:tcBorders>
            <w:shd w:val="clear" w:color="000000" w:fill="FFFFFF"/>
            <w:noWrap/>
            <w:vAlign w:val="center"/>
            <w:hideMark/>
          </w:tcPr>
          <w:p w14:paraId="794870AD"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Chlorothalonil*</w:t>
            </w:r>
          </w:p>
        </w:tc>
        <w:tc>
          <w:tcPr>
            <w:tcW w:w="2111" w:type="pct"/>
            <w:tcBorders>
              <w:top w:val="nil"/>
              <w:bottom w:val="nil"/>
            </w:tcBorders>
            <w:shd w:val="clear" w:color="auto" w:fill="auto"/>
            <w:noWrap/>
            <w:vAlign w:val="center"/>
            <w:hideMark/>
          </w:tcPr>
          <w:p w14:paraId="6B17A3B7"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Organochlorine fungicide</w:t>
            </w:r>
          </w:p>
        </w:tc>
        <w:tc>
          <w:tcPr>
            <w:tcW w:w="653" w:type="pct"/>
            <w:tcBorders>
              <w:top w:val="nil"/>
              <w:bottom w:val="nil"/>
            </w:tcBorders>
            <w:vAlign w:val="center"/>
          </w:tcPr>
          <w:p w14:paraId="04F0A1E3"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1E7F456D"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bottom w:val="nil"/>
            </w:tcBorders>
            <w:shd w:val="clear" w:color="auto" w:fill="auto"/>
            <w:noWrap/>
            <w:vAlign w:val="center"/>
            <w:hideMark/>
          </w:tcPr>
          <w:p w14:paraId="139736C6"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bottom w:val="nil"/>
            </w:tcBorders>
            <w:shd w:val="clear" w:color="000000" w:fill="FFFFFF"/>
            <w:noWrap/>
            <w:vAlign w:val="center"/>
            <w:hideMark/>
          </w:tcPr>
          <w:p w14:paraId="2B1D0B0B"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04494230" w14:textId="77777777" w:rsidTr="00CC7BC7">
        <w:trPr>
          <w:trHeight w:val="375"/>
        </w:trPr>
        <w:tc>
          <w:tcPr>
            <w:tcW w:w="1266" w:type="pct"/>
            <w:tcBorders>
              <w:top w:val="nil"/>
              <w:bottom w:val="nil"/>
            </w:tcBorders>
            <w:shd w:val="clear" w:color="000000" w:fill="FFFFFF"/>
            <w:noWrap/>
            <w:vAlign w:val="center"/>
            <w:hideMark/>
          </w:tcPr>
          <w:p w14:paraId="155493A2"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Chlorpyrifos</w:t>
            </w:r>
          </w:p>
        </w:tc>
        <w:tc>
          <w:tcPr>
            <w:tcW w:w="2111" w:type="pct"/>
            <w:tcBorders>
              <w:top w:val="nil"/>
              <w:bottom w:val="nil"/>
            </w:tcBorders>
            <w:shd w:val="clear" w:color="auto" w:fill="auto"/>
            <w:vAlign w:val="center"/>
            <w:hideMark/>
          </w:tcPr>
          <w:p w14:paraId="68B07388"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Organophosphate insecticide</w:t>
            </w:r>
          </w:p>
        </w:tc>
        <w:tc>
          <w:tcPr>
            <w:tcW w:w="653" w:type="pct"/>
            <w:tcBorders>
              <w:top w:val="nil"/>
              <w:bottom w:val="nil"/>
            </w:tcBorders>
            <w:vAlign w:val="center"/>
          </w:tcPr>
          <w:p w14:paraId="544D25C3"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2EAE7F42"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bottom w:val="nil"/>
            </w:tcBorders>
            <w:shd w:val="clear" w:color="auto" w:fill="auto"/>
            <w:noWrap/>
            <w:vAlign w:val="center"/>
            <w:hideMark/>
          </w:tcPr>
          <w:p w14:paraId="7754E383"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bottom w:val="nil"/>
            </w:tcBorders>
            <w:shd w:val="clear" w:color="000000" w:fill="FFFFFF"/>
            <w:noWrap/>
            <w:vAlign w:val="center"/>
            <w:hideMark/>
          </w:tcPr>
          <w:p w14:paraId="0EA8FEF2"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0.5</w:t>
            </w:r>
          </w:p>
        </w:tc>
      </w:tr>
      <w:tr w:rsidR="006C730C" w:rsidRPr="00AA6F75" w14:paraId="47D50D6E" w14:textId="77777777" w:rsidTr="00CC7BC7">
        <w:trPr>
          <w:trHeight w:val="375"/>
        </w:trPr>
        <w:tc>
          <w:tcPr>
            <w:tcW w:w="1266" w:type="pct"/>
            <w:tcBorders>
              <w:top w:val="nil"/>
              <w:bottom w:val="nil"/>
              <w:right w:val="nil"/>
            </w:tcBorders>
            <w:shd w:val="clear" w:color="000000" w:fill="FFFFFF"/>
            <w:noWrap/>
            <w:vAlign w:val="center"/>
            <w:hideMark/>
          </w:tcPr>
          <w:p w14:paraId="097CEEBA" w14:textId="77777777" w:rsidR="006C730C" w:rsidRPr="00AA6F75" w:rsidRDefault="006C730C"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Diazinon*</w:t>
            </w:r>
          </w:p>
        </w:tc>
        <w:tc>
          <w:tcPr>
            <w:tcW w:w="2111" w:type="pct"/>
            <w:tcBorders>
              <w:top w:val="nil"/>
              <w:left w:val="nil"/>
              <w:bottom w:val="nil"/>
              <w:right w:val="nil"/>
            </w:tcBorders>
            <w:shd w:val="clear" w:color="auto" w:fill="auto"/>
            <w:vAlign w:val="center"/>
            <w:hideMark/>
          </w:tcPr>
          <w:p w14:paraId="18DF0D65"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I</w:t>
            </w:r>
            <w:r w:rsidR="00780FEA" w:rsidRPr="00AA6F75">
              <w:rPr>
                <w:rFonts w:asciiTheme="minorHAnsi" w:eastAsia="Times New Roman" w:hAnsiTheme="minorHAnsi" w:cs="Calibri"/>
                <w:color w:val="000000"/>
                <w:sz w:val="20"/>
                <w:szCs w:val="20"/>
                <w:lang w:val="en-AU" w:eastAsia="en-AU" w:bidi="ar-SA"/>
              </w:rPr>
              <w:t>nsecticide: i</w:t>
            </w:r>
            <w:r w:rsidRPr="00AA6F75">
              <w:rPr>
                <w:rFonts w:asciiTheme="minorHAnsi" w:eastAsia="Times New Roman" w:hAnsiTheme="minorHAnsi" w:cs="Calibri"/>
                <w:color w:val="000000"/>
                <w:sz w:val="20"/>
                <w:szCs w:val="20"/>
                <w:lang w:val="en-AU" w:eastAsia="en-AU" w:bidi="ar-SA"/>
              </w:rPr>
              <w:t>nhibits acetylcholinesterase</w:t>
            </w:r>
          </w:p>
        </w:tc>
        <w:tc>
          <w:tcPr>
            <w:tcW w:w="653" w:type="pct"/>
            <w:tcBorders>
              <w:top w:val="nil"/>
              <w:left w:val="nil"/>
              <w:bottom w:val="nil"/>
              <w:right w:val="nil"/>
            </w:tcBorders>
            <w:vAlign w:val="center"/>
          </w:tcPr>
          <w:p w14:paraId="40119B88"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Of interest</w:t>
            </w:r>
          </w:p>
        </w:tc>
        <w:tc>
          <w:tcPr>
            <w:tcW w:w="372" w:type="pct"/>
            <w:gridSpan w:val="2"/>
            <w:tcBorders>
              <w:top w:val="nil"/>
              <w:left w:val="nil"/>
              <w:bottom w:val="nil"/>
              <w:right w:val="nil"/>
            </w:tcBorders>
            <w:shd w:val="clear" w:color="auto" w:fill="auto"/>
            <w:noWrap/>
            <w:vAlign w:val="center"/>
            <w:hideMark/>
          </w:tcPr>
          <w:p w14:paraId="7E8880F3"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left w:val="nil"/>
              <w:bottom w:val="nil"/>
              <w:right w:val="nil"/>
            </w:tcBorders>
            <w:shd w:val="clear" w:color="auto" w:fill="auto"/>
            <w:noWrap/>
            <w:vAlign w:val="center"/>
            <w:hideMark/>
          </w:tcPr>
          <w:p w14:paraId="55C7F498"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left w:val="nil"/>
              <w:bottom w:val="nil"/>
            </w:tcBorders>
            <w:shd w:val="clear" w:color="000000" w:fill="FFFFFF"/>
            <w:noWrap/>
            <w:vAlign w:val="center"/>
            <w:hideMark/>
          </w:tcPr>
          <w:p w14:paraId="72FF510B"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D706B9" w:rsidRPr="00AA6F75" w14:paraId="2649FAD2" w14:textId="77777777" w:rsidTr="00CC7BC7">
        <w:trPr>
          <w:trHeight w:val="375"/>
        </w:trPr>
        <w:tc>
          <w:tcPr>
            <w:tcW w:w="1266" w:type="pct"/>
            <w:tcBorders>
              <w:top w:val="nil"/>
              <w:bottom w:val="nil"/>
            </w:tcBorders>
            <w:shd w:val="clear" w:color="auto" w:fill="DBE5F1" w:themeFill="accent1" w:themeFillTint="33"/>
            <w:noWrap/>
            <w:vAlign w:val="center"/>
            <w:hideMark/>
          </w:tcPr>
          <w:p w14:paraId="5371074E"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Diuron</w:t>
            </w:r>
          </w:p>
        </w:tc>
        <w:tc>
          <w:tcPr>
            <w:tcW w:w="2111" w:type="pct"/>
            <w:tcBorders>
              <w:top w:val="nil"/>
              <w:bottom w:val="nil"/>
            </w:tcBorders>
            <w:shd w:val="clear" w:color="auto" w:fill="auto"/>
            <w:vAlign w:val="center"/>
            <w:hideMark/>
          </w:tcPr>
          <w:p w14:paraId="32322D14"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 – pheynylurea</w:t>
            </w:r>
          </w:p>
        </w:tc>
        <w:tc>
          <w:tcPr>
            <w:tcW w:w="653" w:type="pct"/>
            <w:tcBorders>
              <w:top w:val="nil"/>
              <w:bottom w:val="nil"/>
            </w:tcBorders>
            <w:vAlign w:val="center"/>
          </w:tcPr>
          <w:p w14:paraId="49F827C4"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501A5954"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0.02</w:t>
            </w:r>
          </w:p>
        </w:tc>
        <w:tc>
          <w:tcPr>
            <w:tcW w:w="324" w:type="pct"/>
            <w:gridSpan w:val="2"/>
            <w:tcBorders>
              <w:top w:val="nil"/>
              <w:bottom w:val="nil"/>
            </w:tcBorders>
            <w:shd w:val="clear" w:color="auto" w:fill="auto"/>
            <w:noWrap/>
            <w:vAlign w:val="center"/>
            <w:hideMark/>
          </w:tcPr>
          <w:p w14:paraId="1DE1BE2A"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bottom w:val="nil"/>
            </w:tcBorders>
            <w:shd w:val="clear" w:color="000000" w:fill="FFFFFF"/>
            <w:noWrap/>
            <w:vAlign w:val="center"/>
            <w:hideMark/>
          </w:tcPr>
          <w:p w14:paraId="7849122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6C730C" w:rsidRPr="00AA6F75" w14:paraId="1D5DAC7F" w14:textId="77777777" w:rsidTr="00CC7BC7">
        <w:trPr>
          <w:trHeight w:val="375"/>
        </w:trPr>
        <w:tc>
          <w:tcPr>
            <w:tcW w:w="1266" w:type="pct"/>
            <w:tcBorders>
              <w:top w:val="nil"/>
              <w:bottom w:val="nil"/>
              <w:right w:val="nil"/>
            </w:tcBorders>
            <w:shd w:val="clear" w:color="auto" w:fill="auto"/>
            <w:noWrap/>
            <w:vAlign w:val="center"/>
            <w:hideMark/>
          </w:tcPr>
          <w:p w14:paraId="7F281AFC" w14:textId="77777777" w:rsidR="006C730C" w:rsidRPr="00AA6F75" w:rsidRDefault="006C730C"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Ethametsulfuron methyl*</w:t>
            </w:r>
          </w:p>
        </w:tc>
        <w:tc>
          <w:tcPr>
            <w:tcW w:w="2111" w:type="pct"/>
            <w:tcBorders>
              <w:top w:val="nil"/>
              <w:left w:val="nil"/>
              <w:bottom w:val="nil"/>
              <w:right w:val="nil"/>
            </w:tcBorders>
            <w:shd w:val="clear" w:color="auto" w:fill="auto"/>
            <w:vAlign w:val="center"/>
            <w:hideMark/>
          </w:tcPr>
          <w:p w14:paraId="40A02770" w14:textId="77777777" w:rsidR="006C730C" w:rsidRPr="00AA6F75" w:rsidRDefault="00780FEA" w:rsidP="002439C8">
            <w:pPr>
              <w:ind w:right="-106"/>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Herbicide: acetolactate synthase (ALS) inhibition</w:t>
            </w:r>
          </w:p>
        </w:tc>
        <w:tc>
          <w:tcPr>
            <w:tcW w:w="653" w:type="pct"/>
            <w:tcBorders>
              <w:top w:val="nil"/>
              <w:left w:val="nil"/>
              <w:bottom w:val="nil"/>
              <w:right w:val="nil"/>
            </w:tcBorders>
            <w:vAlign w:val="center"/>
          </w:tcPr>
          <w:p w14:paraId="5B15D11F"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Of interest</w:t>
            </w:r>
          </w:p>
        </w:tc>
        <w:tc>
          <w:tcPr>
            <w:tcW w:w="372" w:type="pct"/>
            <w:gridSpan w:val="2"/>
            <w:tcBorders>
              <w:top w:val="nil"/>
              <w:left w:val="nil"/>
              <w:bottom w:val="nil"/>
              <w:right w:val="nil"/>
            </w:tcBorders>
            <w:shd w:val="clear" w:color="auto" w:fill="auto"/>
            <w:noWrap/>
            <w:vAlign w:val="center"/>
            <w:hideMark/>
          </w:tcPr>
          <w:p w14:paraId="6F047F81"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left w:val="nil"/>
              <w:bottom w:val="nil"/>
              <w:right w:val="nil"/>
            </w:tcBorders>
            <w:shd w:val="clear" w:color="auto" w:fill="auto"/>
            <w:noWrap/>
            <w:vAlign w:val="center"/>
            <w:hideMark/>
          </w:tcPr>
          <w:p w14:paraId="1A9C71A0"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left w:val="nil"/>
              <w:bottom w:val="nil"/>
            </w:tcBorders>
            <w:shd w:val="clear" w:color="000000" w:fill="FFFFFF"/>
            <w:noWrap/>
            <w:vAlign w:val="center"/>
            <w:hideMark/>
          </w:tcPr>
          <w:p w14:paraId="7EBFC10B"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6C730C" w:rsidRPr="00AA6F75" w14:paraId="1ED041E4" w14:textId="77777777" w:rsidTr="00CC7BC7">
        <w:trPr>
          <w:trHeight w:val="375"/>
        </w:trPr>
        <w:tc>
          <w:tcPr>
            <w:tcW w:w="1266" w:type="pct"/>
            <w:tcBorders>
              <w:top w:val="nil"/>
              <w:bottom w:val="nil"/>
              <w:right w:val="nil"/>
            </w:tcBorders>
            <w:shd w:val="clear" w:color="auto" w:fill="auto"/>
            <w:noWrap/>
            <w:vAlign w:val="center"/>
            <w:hideMark/>
          </w:tcPr>
          <w:p w14:paraId="2DAF5463" w14:textId="77777777" w:rsidR="006C730C" w:rsidRPr="00AA6F75" w:rsidRDefault="006C730C"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Fipronil*</w:t>
            </w:r>
          </w:p>
        </w:tc>
        <w:tc>
          <w:tcPr>
            <w:tcW w:w="2111" w:type="pct"/>
            <w:tcBorders>
              <w:top w:val="nil"/>
              <w:left w:val="nil"/>
              <w:bottom w:val="nil"/>
              <w:right w:val="nil"/>
            </w:tcBorders>
            <w:shd w:val="clear" w:color="auto" w:fill="auto"/>
            <w:vAlign w:val="center"/>
            <w:hideMark/>
          </w:tcPr>
          <w:p w14:paraId="3A45220C"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Phenylpyrazole insecticide</w:t>
            </w:r>
          </w:p>
        </w:tc>
        <w:tc>
          <w:tcPr>
            <w:tcW w:w="653" w:type="pct"/>
            <w:tcBorders>
              <w:top w:val="nil"/>
              <w:left w:val="nil"/>
              <w:bottom w:val="nil"/>
              <w:right w:val="nil"/>
            </w:tcBorders>
            <w:vAlign w:val="center"/>
          </w:tcPr>
          <w:p w14:paraId="0937F629"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left w:val="nil"/>
              <w:bottom w:val="nil"/>
              <w:right w:val="nil"/>
            </w:tcBorders>
            <w:shd w:val="clear" w:color="auto" w:fill="auto"/>
            <w:noWrap/>
            <w:vAlign w:val="center"/>
            <w:hideMark/>
          </w:tcPr>
          <w:p w14:paraId="42EB4787"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left w:val="nil"/>
              <w:bottom w:val="nil"/>
              <w:right w:val="nil"/>
            </w:tcBorders>
            <w:shd w:val="clear" w:color="auto" w:fill="auto"/>
            <w:noWrap/>
            <w:vAlign w:val="center"/>
            <w:hideMark/>
          </w:tcPr>
          <w:p w14:paraId="5723EE91"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left w:val="nil"/>
              <w:bottom w:val="nil"/>
            </w:tcBorders>
            <w:shd w:val="clear" w:color="000000" w:fill="FFFFFF"/>
            <w:noWrap/>
            <w:vAlign w:val="center"/>
            <w:hideMark/>
          </w:tcPr>
          <w:p w14:paraId="1884196E"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6C730C" w:rsidRPr="00AA6F75" w14:paraId="560F6335" w14:textId="77777777" w:rsidTr="00CC7BC7">
        <w:trPr>
          <w:trHeight w:val="375"/>
        </w:trPr>
        <w:tc>
          <w:tcPr>
            <w:tcW w:w="1266" w:type="pct"/>
            <w:tcBorders>
              <w:top w:val="nil"/>
              <w:bottom w:val="nil"/>
              <w:right w:val="nil"/>
            </w:tcBorders>
            <w:shd w:val="clear" w:color="auto" w:fill="auto"/>
            <w:noWrap/>
            <w:vAlign w:val="center"/>
            <w:hideMark/>
          </w:tcPr>
          <w:p w14:paraId="367C92C2" w14:textId="77777777" w:rsidR="006C730C" w:rsidRPr="00AA6F75" w:rsidRDefault="006C730C"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Fluazifop</w:t>
            </w:r>
          </w:p>
        </w:tc>
        <w:tc>
          <w:tcPr>
            <w:tcW w:w="2111" w:type="pct"/>
            <w:tcBorders>
              <w:top w:val="nil"/>
              <w:left w:val="nil"/>
              <w:bottom w:val="nil"/>
              <w:right w:val="nil"/>
            </w:tcBorders>
            <w:shd w:val="clear" w:color="auto" w:fill="auto"/>
            <w:vAlign w:val="center"/>
            <w:hideMark/>
          </w:tcPr>
          <w:p w14:paraId="6416E887" w14:textId="77777777" w:rsidR="006C730C" w:rsidRPr="00AA6F75" w:rsidRDefault="00780FEA"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Herbicide: i</w:t>
            </w:r>
            <w:r w:rsidR="006C730C" w:rsidRPr="00AA6F75">
              <w:rPr>
                <w:rFonts w:asciiTheme="minorHAnsi" w:eastAsia="Times New Roman" w:hAnsiTheme="minorHAnsi" w:cs="Calibri"/>
                <w:color w:val="000000"/>
                <w:sz w:val="20"/>
                <w:szCs w:val="20"/>
                <w:lang w:val="en-AU" w:eastAsia="en-AU" w:bidi="ar-SA"/>
              </w:rPr>
              <w:t>nhibition of acetyl CoA carboxylase</w:t>
            </w:r>
          </w:p>
        </w:tc>
        <w:tc>
          <w:tcPr>
            <w:tcW w:w="653" w:type="pct"/>
            <w:tcBorders>
              <w:top w:val="nil"/>
              <w:left w:val="nil"/>
              <w:bottom w:val="nil"/>
              <w:right w:val="nil"/>
            </w:tcBorders>
            <w:vAlign w:val="center"/>
          </w:tcPr>
          <w:p w14:paraId="5DE36AE4"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Of interest</w:t>
            </w:r>
          </w:p>
        </w:tc>
        <w:tc>
          <w:tcPr>
            <w:tcW w:w="372" w:type="pct"/>
            <w:gridSpan w:val="2"/>
            <w:tcBorders>
              <w:top w:val="nil"/>
              <w:left w:val="nil"/>
              <w:bottom w:val="nil"/>
              <w:right w:val="nil"/>
            </w:tcBorders>
            <w:shd w:val="clear" w:color="auto" w:fill="auto"/>
            <w:noWrap/>
            <w:vAlign w:val="center"/>
            <w:hideMark/>
          </w:tcPr>
          <w:p w14:paraId="7888A396"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0.02</w:t>
            </w:r>
          </w:p>
        </w:tc>
        <w:tc>
          <w:tcPr>
            <w:tcW w:w="324" w:type="pct"/>
            <w:gridSpan w:val="2"/>
            <w:tcBorders>
              <w:top w:val="nil"/>
              <w:left w:val="nil"/>
              <w:bottom w:val="nil"/>
              <w:right w:val="nil"/>
            </w:tcBorders>
            <w:shd w:val="clear" w:color="auto" w:fill="auto"/>
            <w:noWrap/>
            <w:vAlign w:val="center"/>
            <w:hideMark/>
          </w:tcPr>
          <w:p w14:paraId="2CF8ADE0"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left w:val="nil"/>
              <w:bottom w:val="nil"/>
            </w:tcBorders>
            <w:shd w:val="clear" w:color="000000" w:fill="FFFFFF"/>
            <w:noWrap/>
            <w:vAlign w:val="center"/>
            <w:hideMark/>
          </w:tcPr>
          <w:p w14:paraId="5B3331EE"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6C730C" w:rsidRPr="00AA6F75" w14:paraId="326B0C58" w14:textId="77777777" w:rsidTr="00CC7BC7">
        <w:trPr>
          <w:trHeight w:val="375"/>
        </w:trPr>
        <w:tc>
          <w:tcPr>
            <w:tcW w:w="1266" w:type="pct"/>
            <w:tcBorders>
              <w:top w:val="nil"/>
              <w:bottom w:val="nil"/>
              <w:right w:val="nil"/>
            </w:tcBorders>
            <w:shd w:val="clear" w:color="auto" w:fill="auto"/>
            <w:noWrap/>
            <w:vAlign w:val="center"/>
            <w:hideMark/>
          </w:tcPr>
          <w:p w14:paraId="275DC9BD" w14:textId="77777777" w:rsidR="006C730C" w:rsidRPr="00AA6F75" w:rsidRDefault="006C730C"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Fluometuron</w:t>
            </w:r>
          </w:p>
        </w:tc>
        <w:tc>
          <w:tcPr>
            <w:tcW w:w="2111" w:type="pct"/>
            <w:tcBorders>
              <w:top w:val="nil"/>
              <w:left w:val="nil"/>
              <w:bottom w:val="nil"/>
              <w:right w:val="nil"/>
            </w:tcBorders>
            <w:shd w:val="clear" w:color="auto" w:fill="auto"/>
            <w:vAlign w:val="center"/>
            <w:hideMark/>
          </w:tcPr>
          <w:p w14:paraId="54111733"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 – urea</w:t>
            </w:r>
          </w:p>
        </w:tc>
        <w:tc>
          <w:tcPr>
            <w:tcW w:w="653" w:type="pct"/>
            <w:tcBorders>
              <w:top w:val="nil"/>
              <w:left w:val="nil"/>
              <w:bottom w:val="nil"/>
              <w:right w:val="nil"/>
            </w:tcBorders>
            <w:vAlign w:val="center"/>
          </w:tcPr>
          <w:p w14:paraId="2EB3DA91"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Of interest</w:t>
            </w:r>
          </w:p>
        </w:tc>
        <w:tc>
          <w:tcPr>
            <w:tcW w:w="372" w:type="pct"/>
            <w:gridSpan w:val="2"/>
            <w:tcBorders>
              <w:top w:val="nil"/>
              <w:left w:val="nil"/>
              <w:bottom w:val="nil"/>
              <w:right w:val="nil"/>
            </w:tcBorders>
            <w:shd w:val="clear" w:color="auto" w:fill="auto"/>
            <w:noWrap/>
            <w:vAlign w:val="center"/>
            <w:hideMark/>
          </w:tcPr>
          <w:p w14:paraId="44D4BAC0"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0.01</w:t>
            </w:r>
          </w:p>
        </w:tc>
        <w:tc>
          <w:tcPr>
            <w:tcW w:w="324" w:type="pct"/>
            <w:gridSpan w:val="2"/>
            <w:tcBorders>
              <w:top w:val="nil"/>
              <w:left w:val="nil"/>
              <w:bottom w:val="nil"/>
              <w:right w:val="nil"/>
            </w:tcBorders>
            <w:shd w:val="clear" w:color="auto" w:fill="auto"/>
            <w:noWrap/>
            <w:vAlign w:val="center"/>
            <w:hideMark/>
          </w:tcPr>
          <w:p w14:paraId="300D3BEE"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left w:val="nil"/>
              <w:bottom w:val="nil"/>
            </w:tcBorders>
            <w:shd w:val="clear" w:color="000000" w:fill="FFFFFF"/>
            <w:noWrap/>
            <w:vAlign w:val="center"/>
            <w:hideMark/>
          </w:tcPr>
          <w:p w14:paraId="06C0EDAF"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D706B9" w:rsidRPr="00AA6F75" w14:paraId="403A6D03" w14:textId="77777777" w:rsidTr="00CC7BC7">
        <w:trPr>
          <w:trHeight w:val="375"/>
        </w:trPr>
        <w:tc>
          <w:tcPr>
            <w:tcW w:w="1266" w:type="pct"/>
            <w:tcBorders>
              <w:top w:val="nil"/>
              <w:bottom w:val="nil"/>
            </w:tcBorders>
            <w:shd w:val="clear" w:color="auto" w:fill="DBE5F1" w:themeFill="accent1" w:themeFillTint="33"/>
            <w:noWrap/>
            <w:vAlign w:val="center"/>
            <w:hideMark/>
          </w:tcPr>
          <w:p w14:paraId="4FC56788" w14:textId="77777777" w:rsidR="00D706B9" w:rsidRPr="00AA6F75" w:rsidRDefault="00D706B9" w:rsidP="002439C8">
            <w:pPr>
              <w:jc w:val="left"/>
              <w:rPr>
                <w:rFonts w:asciiTheme="minorHAnsi" w:eastAsia="Times New Roman" w:hAnsiTheme="minorHAnsi" w:cstheme="minorHAnsi"/>
                <w:color w:val="C0504D"/>
                <w:sz w:val="20"/>
                <w:szCs w:val="20"/>
                <w:lang w:val="en-AU" w:eastAsia="en-AU" w:bidi="ar-SA"/>
              </w:rPr>
            </w:pPr>
            <w:r w:rsidRPr="00AA6F75">
              <w:rPr>
                <w:rFonts w:asciiTheme="minorHAnsi" w:eastAsia="Times New Roman" w:hAnsiTheme="minorHAnsi" w:cstheme="minorHAnsi"/>
                <w:color w:val="C00000"/>
                <w:sz w:val="20"/>
                <w:szCs w:val="20"/>
                <w:lang w:val="en-AU" w:eastAsia="en-AU" w:bidi="ar-SA"/>
              </w:rPr>
              <w:t>Fluroxypyr</w:t>
            </w:r>
          </w:p>
        </w:tc>
        <w:tc>
          <w:tcPr>
            <w:tcW w:w="2111" w:type="pct"/>
            <w:tcBorders>
              <w:top w:val="nil"/>
              <w:bottom w:val="nil"/>
            </w:tcBorders>
            <w:shd w:val="clear" w:color="auto" w:fill="auto"/>
            <w:noWrap/>
            <w:vAlign w:val="center"/>
            <w:hideMark/>
          </w:tcPr>
          <w:p w14:paraId="6321A4E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Pyridine carboxylic acid herbicide</w:t>
            </w:r>
          </w:p>
        </w:tc>
        <w:tc>
          <w:tcPr>
            <w:tcW w:w="653" w:type="pct"/>
            <w:tcBorders>
              <w:top w:val="nil"/>
              <w:bottom w:val="nil"/>
            </w:tcBorders>
            <w:vAlign w:val="center"/>
          </w:tcPr>
          <w:p w14:paraId="1CBFD2E4"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060A2550"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0.02</w:t>
            </w:r>
          </w:p>
        </w:tc>
        <w:tc>
          <w:tcPr>
            <w:tcW w:w="324" w:type="pct"/>
            <w:gridSpan w:val="2"/>
            <w:tcBorders>
              <w:top w:val="nil"/>
              <w:bottom w:val="nil"/>
            </w:tcBorders>
            <w:shd w:val="clear" w:color="auto" w:fill="auto"/>
            <w:noWrap/>
            <w:vAlign w:val="center"/>
            <w:hideMark/>
          </w:tcPr>
          <w:p w14:paraId="4E460F2E"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bottom w:val="nil"/>
            </w:tcBorders>
            <w:shd w:val="clear" w:color="000000" w:fill="FFFFFF"/>
            <w:noWrap/>
            <w:vAlign w:val="center"/>
            <w:hideMark/>
          </w:tcPr>
          <w:p w14:paraId="70C13C7D"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0B59F4BD" w14:textId="77777777" w:rsidTr="00CC7BC7">
        <w:trPr>
          <w:trHeight w:val="375"/>
        </w:trPr>
        <w:tc>
          <w:tcPr>
            <w:tcW w:w="1266" w:type="pct"/>
            <w:tcBorders>
              <w:top w:val="nil"/>
              <w:bottom w:val="nil"/>
            </w:tcBorders>
            <w:shd w:val="clear" w:color="auto" w:fill="DBE5F1" w:themeFill="accent1" w:themeFillTint="33"/>
            <w:noWrap/>
            <w:vAlign w:val="center"/>
            <w:hideMark/>
          </w:tcPr>
          <w:p w14:paraId="1C74F19F"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Glyphosate*</w:t>
            </w:r>
          </w:p>
        </w:tc>
        <w:tc>
          <w:tcPr>
            <w:tcW w:w="2111" w:type="pct"/>
            <w:tcBorders>
              <w:top w:val="nil"/>
              <w:bottom w:val="nil"/>
            </w:tcBorders>
            <w:shd w:val="clear" w:color="auto" w:fill="auto"/>
            <w:noWrap/>
            <w:vAlign w:val="center"/>
            <w:hideMark/>
          </w:tcPr>
          <w:p w14:paraId="4D6618F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Broad-spectrum systemic herbicide</w:t>
            </w:r>
          </w:p>
        </w:tc>
        <w:tc>
          <w:tcPr>
            <w:tcW w:w="653" w:type="pct"/>
            <w:tcBorders>
              <w:top w:val="nil"/>
              <w:bottom w:val="nil"/>
            </w:tcBorders>
            <w:vAlign w:val="center"/>
          </w:tcPr>
          <w:p w14:paraId="60D851AF"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65C288E1"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bottom w:val="nil"/>
            </w:tcBorders>
            <w:shd w:val="clear" w:color="auto" w:fill="auto"/>
            <w:noWrap/>
            <w:vAlign w:val="center"/>
            <w:hideMark/>
          </w:tcPr>
          <w:p w14:paraId="730A0590"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bottom w:val="nil"/>
            </w:tcBorders>
            <w:shd w:val="clear" w:color="000000" w:fill="FFFFFF"/>
            <w:noWrap/>
            <w:vAlign w:val="center"/>
            <w:hideMark/>
          </w:tcPr>
          <w:p w14:paraId="62845FBE"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220837DB" w14:textId="77777777" w:rsidTr="00CC7BC7">
        <w:trPr>
          <w:trHeight w:val="375"/>
        </w:trPr>
        <w:tc>
          <w:tcPr>
            <w:tcW w:w="1266" w:type="pct"/>
            <w:tcBorders>
              <w:top w:val="nil"/>
              <w:bottom w:val="nil"/>
            </w:tcBorders>
            <w:shd w:val="clear" w:color="auto" w:fill="DBE5F1" w:themeFill="accent1" w:themeFillTint="33"/>
            <w:noWrap/>
            <w:vAlign w:val="center"/>
            <w:hideMark/>
          </w:tcPr>
          <w:p w14:paraId="150E9BAD"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Haloxyfop</w:t>
            </w:r>
          </w:p>
        </w:tc>
        <w:tc>
          <w:tcPr>
            <w:tcW w:w="2111" w:type="pct"/>
            <w:tcBorders>
              <w:top w:val="nil"/>
              <w:bottom w:val="nil"/>
            </w:tcBorders>
            <w:shd w:val="clear" w:color="auto" w:fill="auto"/>
            <w:noWrap/>
            <w:vAlign w:val="center"/>
            <w:hideMark/>
          </w:tcPr>
          <w:p w14:paraId="6C770B58"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Aryloxyphenoxy-propionate herbicide</w:t>
            </w:r>
          </w:p>
        </w:tc>
        <w:tc>
          <w:tcPr>
            <w:tcW w:w="653" w:type="pct"/>
            <w:tcBorders>
              <w:top w:val="nil"/>
              <w:bottom w:val="nil"/>
            </w:tcBorders>
            <w:vAlign w:val="center"/>
          </w:tcPr>
          <w:p w14:paraId="2DFB247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16B26F27"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0.04</w:t>
            </w:r>
          </w:p>
        </w:tc>
        <w:tc>
          <w:tcPr>
            <w:tcW w:w="324" w:type="pct"/>
            <w:gridSpan w:val="2"/>
            <w:tcBorders>
              <w:top w:val="nil"/>
              <w:bottom w:val="nil"/>
            </w:tcBorders>
            <w:shd w:val="clear" w:color="auto" w:fill="auto"/>
            <w:noWrap/>
            <w:vAlign w:val="center"/>
            <w:hideMark/>
          </w:tcPr>
          <w:p w14:paraId="565EEC0E"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0.13</w:t>
            </w:r>
          </w:p>
        </w:tc>
        <w:tc>
          <w:tcPr>
            <w:tcW w:w="275" w:type="pct"/>
            <w:tcBorders>
              <w:top w:val="nil"/>
              <w:bottom w:val="nil"/>
            </w:tcBorders>
            <w:shd w:val="clear" w:color="000000" w:fill="FFFFFF"/>
            <w:noWrap/>
            <w:vAlign w:val="center"/>
            <w:hideMark/>
          </w:tcPr>
          <w:p w14:paraId="1292BA78"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0B29FC7E" w14:textId="77777777" w:rsidTr="00CC7BC7">
        <w:trPr>
          <w:trHeight w:val="375"/>
        </w:trPr>
        <w:tc>
          <w:tcPr>
            <w:tcW w:w="1266" w:type="pct"/>
            <w:tcBorders>
              <w:top w:val="nil"/>
              <w:bottom w:val="nil"/>
            </w:tcBorders>
            <w:shd w:val="clear" w:color="auto" w:fill="DBE5F1" w:themeFill="accent1" w:themeFillTint="33"/>
            <w:noWrap/>
            <w:vAlign w:val="center"/>
            <w:hideMark/>
          </w:tcPr>
          <w:p w14:paraId="3053911F"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Hexazinone</w:t>
            </w:r>
          </w:p>
        </w:tc>
        <w:tc>
          <w:tcPr>
            <w:tcW w:w="2111" w:type="pct"/>
            <w:tcBorders>
              <w:top w:val="nil"/>
              <w:bottom w:val="nil"/>
            </w:tcBorders>
            <w:shd w:val="clear" w:color="auto" w:fill="auto"/>
            <w:vAlign w:val="center"/>
            <w:hideMark/>
          </w:tcPr>
          <w:p w14:paraId="10F30D7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w:t>
            </w:r>
            <w:r w:rsidR="00780FEA" w:rsidRPr="00AA6F75">
              <w:rPr>
                <w:rFonts w:asciiTheme="minorHAnsi" w:eastAsia="Times New Roman" w:hAnsiTheme="minorHAnsi" w:cs="Calibri"/>
                <w:color w:val="000000"/>
                <w:sz w:val="20"/>
                <w:szCs w:val="20"/>
                <w:lang w:val="en-AU" w:eastAsia="en-AU" w:bidi="ar-SA"/>
              </w:rPr>
              <w:t xml:space="preserve"> – </w:t>
            </w:r>
            <w:r w:rsidRPr="00AA6F75">
              <w:rPr>
                <w:rFonts w:asciiTheme="minorHAnsi" w:eastAsia="Times New Roman" w:hAnsiTheme="minorHAnsi" w:cs="Calibri"/>
                <w:color w:val="000000"/>
                <w:sz w:val="20"/>
                <w:szCs w:val="20"/>
                <w:lang w:val="en-AU" w:eastAsia="en-AU" w:bidi="ar-SA"/>
              </w:rPr>
              <w:t>triazinone</w:t>
            </w:r>
          </w:p>
        </w:tc>
        <w:tc>
          <w:tcPr>
            <w:tcW w:w="653" w:type="pct"/>
            <w:tcBorders>
              <w:top w:val="nil"/>
              <w:bottom w:val="nil"/>
            </w:tcBorders>
            <w:vAlign w:val="center"/>
          </w:tcPr>
          <w:p w14:paraId="57580803"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67383201"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0.01</w:t>
            </w:r>
          </w:p>
        </w:tc>
        <w:tc>
          <w:tcPr>
            <w:tcW w:w="324" w:type="pct"/>
            <w:gridSpan w:val="2"/>
            <w:tcBorders>
              <w:top w:val="nil"/>
              <w:bottom w:val="nil"/>
            </w:tcBorders>
            <w:shd w:val="clear" w:color="auto" w:fill="auto"/>
            <w:noWrap/>
            <w:vAlign w:val="center"/>
            <w:hideMark/>
          </w:tcPr>
          <w:p w14:paraId="71E3452C"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bottom w:val="nil"/>
            </w:tcBorders>
            <w:shd w:val="clear" w:color="000000" w:fill="FFFFFF"/>
            <w:noWrap/>
            <w:vAlign w:val="center"/>
            <w:hideMark/>
          </w:tcPr>
          <w:p w14:paraId="36E1B002"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398BB510" w14:textId="77777777" w:rsidTr="00CC7BC7">
        <w:trPr>
          <w:trHeight w:val="375"/>
        </w:trPr>
        <w:tc>
          <w:tcPr>
            <w:tcW w:w="1266" w:type="pct"/>
            <w:tcBorders>
              <w:top w:val="nil"/>
              <w:bottom w:val="nil"/>
            </w:tcBorders>
            <w:shd w:val="clear" w:color="auto" w:fill="DBE5F1" w:themeFill="accent1" w:themeFillTint="33"/>
            <w:noWrap/>
            <w:vAlign w:val="center"/>
            <w:hideMark/>
          </w:tcPr>
          <w:p w14:paraId="64C8375A" w14:textId="77777777" w:rsidR="00D706B9" w:rsidRPr="00AA6F75" w:rsidRDefault="00D706B9" w:rsidP="002439C8">
            <w:pPr>
              <w:jc w:val="left"/>
              <w:rPr>
                <w:rFonts w:asciiTheme="minorHAnsi" w:eastAsia="Times New Roman" w:hAnsiTheme="minorHAnsi" w:cstheme="minorHAnsi"/>
                <w:color w:val="C0504D"/>
                <w:sz w:val="20"/>
                <w:szCs w:val="20"/>
                <w:lang w:val="en-AU" w:eastAsia="en-AU" w:bidi="ar-SA"/>
              </w:rPr>
            </w:pPr>
            <w:r w:rsidRPr="00AA6F75">
              <w:rPr>
                <w:rFonts w:asciiTheme="minorHAnsi" w:eastAsia="Times New Roman" w:hAnsiTheme="minorHAnsi" w:cstheme="minorHAnsi"/>
                <w:color w:val="C00000"/>
                <w:sz w:val="20"/>
                <w:szCs w:val="20"/>
                <w:lang w:val="en-AU" w:eastAsia="en-AU" w:bidi="ar-SA"/>
              </w:rPr>
              <w:t>Imazapic</w:t>
            </w:r>
          </w:p>
        </w:tc>
        <w:tc>
          <w:tcPr>
            <w:tcW w:w="2111" w:type="pct"/>
            <w:tcBorders>
              <w:top w:val="nil"/>
              <w:bottom w:val="nil"/>
            </w:tcBorders>
            <w:shd w:val="clear" w:color="auto" w:fill="auto"/>
            <w:noWrap/>
            <w:vAlign w:val="center"/>
            <w:hideMark/>
          </w:tcPr>
          <w:p w14:paraId="70005FC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Imidazolinone herbicide</w:t>
            </w:r>
          </w:p>
        </w:tc>
        <w:tc>
          <w:tcPr>
            <w:tcW w:w="653" w:type="pct"/>
            <w:tcBorders>
              <w:top w:val="nil"/>
              <w:bottom w:val="nil"/>
            </w:tcBorders>
            <w:vAlign w:val="center"/>
          </w:tcPr>
          <w:p w14:paraId="5966EDDE"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5CC04DAA"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0.02</w:t>
            </w:r>
          </w:p>
        </w:tc>
        <w:tc>
          <w:tcPr>
            <w:tcW w:w="324" w:type="pct"/>
            <w:gridSpan w:val="2"/>
            <w:tcBorders>
              <w:top w:val="nil"/>
              <w:bottom w:val="nil"/>
            </w:tcBorders>
            <w:shd w:val="clear" w:color="auto" w:fill="auto"/>
            <w:noWrap/>
            <w:vAlign w:val="center"/>
            <w:hideMark/>
          </w:tcPr>
          <w:p w14:paraId="587061CD"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bottom w:val="nil"/>
            </w:tcBorders>
            <w:shd w:val="clear" w:color="000000" w:fill="FFFFFF"/>
            <w:noWrap/>
            <w:vAlign w:val="center"/>
            <w:hideMark/>
          </w:tcPr>
          <w:p w14:paraId="6A64D6A7"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7CBC9DEC" w14:textId="77777777" w:rsidTr="00CC7BC7">
        <w:trPr>
          <w:trHeight w:val="375"/>
        </w:trPr>
        <w:tc>
          <w:tcPr>
            <w:tcW w:w="1266" w:type="pct"/>
            <w:tcBorders>
              <w:top w:val="nil"/>
              <w:bottom w:val="nil"/>
            </w:tcBorders>
            <w:shd w:val="clear" w:color="000000" w:fill="FFFFFF"/>
            <w:noWrap/>
            <w:vAlign w:val="center"/>
            <w:hideMark/>
          </w:tcPr>
          <w:p w14:paraId="3FADEBF9" w14:textId="77777777" w:rsidR="00D706B9" w:rsidRPr="00AA6F75" w:rsidRDefault="00D706B9" w:rsidP="002439C8">
            <w:pPr>
              <w:jc w:val="left"/>
              <w:rPr>
                <w:rFonts w:asciiTheme="minorHAnsi" w:eastAsia="Times New Roman" w:hAnsiTheme="minorHAnsi" w:cstheme="minorHAnsi"/>
                <w:color w:val="C0504D"/>
                <w:sz w:val="20"/>
                <w:szCs w:val="20"/>
                <w:lang w:val="en-AU" w:eastAsia="en-AU" w:bidi="ar-SA"/>
              </w:rPr>
            </w:pPr>
            <w:r w:rsidRPr="00AA6F75">
              <w:rPr>
                <w:rFonts w:asciiTheme="minorHAnsi" w:eastAsia="Times New Roman" w:hAnsiTheme="minorHAnsi" w:cstheme="minorHAnsi"/>
                <w:color w:val="C00000"/>
                <w:sz w:val="20"/>
                <w:szCs w:val="20"/>
                <w:lang w:val="en-AU" w:eastAsia="en-AU" w:bidi="ar-SA"/>
              </w:rPr>
              <w:t>Imidacloprid</w:t>
            </w:r>
          </w:p>
        </w:tc>
        <w:tc>
          <w:tcPr>
            <w:tcW w:w="2111" w:type="pct"/>
            <w:tcBorders>
              <w:top w:val="nil"/>
              <w:bottom w:val="nil"/>
            </w:tcBorders>
            <w:shd w:val="clear" w:color="auto" w:fill="auto"/>
            <w:noWrap/>
            <w:vAlign w:val="center"/>
            <w:hideMark/>
          </w:tcPr>
          <w:p w14:paraId="0E427C09"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Neonicotinoid insecticide</w:t>
            </w:r>
          </w:p>
        </w:tc>
        <w:tc>
          <w:tcPr>
            <w:tcW w:w="653" w:type="pct"/>
            <w:tcBorders>
              <w:top w:val="nil"/>
              <w:bottom w:val="nil"/>
            </w:tcBorders>
            <w:vAlign w:val="center"/>
          </w:tcPr>
          <w:p w14:paraId="279D312C"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54743EE6"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0.01</w:t>
            </w:r>
          </w:p>
        </w:tc>
        <w:tc>
          <w:tcPr>
            <w:tcW w:w="324" w:type="pct"/>
            <w:gridSpan w:val="2"/>
            <w:tcBorders>
              <w:top w:val="nil"/>
              <w:bottom w:val="nil"/>
            </w:tcBorders>
            <w:shd w:val="clear" w:color="auto" w:fill="auto"/>
            <w:noWrap/>
            <w:vAlign w:val="center"/>
            <w:hideMark/>
          </w:tcPr>
          <w:p w14:paraId="0A9DD633"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bottom w:val="nil"/>
            </w:tcBorders>
            <w:shd w:val="clear" w:color="000000" w:fill="FFFFFF"/>
            <w:noWrap/>
            <w:vAlign w:val="center"/>
            <w:hideMark/>
          </w:tcPr>
          <w:p w14:paraId="642F116E"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2B5BD8F6" w14:textId="77777777" w:rsidTr="00CC7BC7">
        <w:trPr>
          <w:trHeight w:val="375"/>
        </w:trPr>
        <w:tc>
          <w:tcPr>
            <w:tcW w:w="1266" w:type="pct"/>
            <w:tcBorders>
              <w:top w:val="nil"/>
              <w:bottom w:val="nil"/>
            </w:tcBorders>
            <w:shd w:val="clear" w:color="auto" w:fill="DBE5F1" w:themeFill="accent1" w:themeFillTint="33"/>
            <w:noWrap/>
            <w:vAlign w:val="center"/>
            <w:hideMark/>
          </w:tcPr>
          <w:p w14:paraId="6B035554"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Isoxaflutole and DKN*</w:t>
            </w:r>
          </w:p>
        </w:tc>
        <w:tc>
          <w:tcPr>
            <w:tcW w:w="2111" w:type="pct"/>
            <w:tcBorders>
              <w:top w:val="nil"/>
              <w:bottom w:val="nil"/>
            </w:tcBorders>
            <w:shd w:val="clear" w:color="auto" w:fill="auto"/>
            <w:noWrap/>
            <w:vAlign w:val="center"/>
            <w:hideMark/>
          </w:tcPr>
          <w:p w14:paraId="79ED553F"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Isoxazole herbicide</w:t>
            </w:r>
          </w:p>
        </w:tc>
        <w:tc>
          <w:tcPr>
            <w:tcW w:w="653" w:type="pct"/>
            <w:tcBorders>
              <w:top w:val="nil"/>
              <w:bottom w:val="nil"/>
            </w:tcBorders>
            <w:vAlign w:val="center"/>
          </w:tcPr>
          <w:p w14:paraId="20EC5B1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tcPr>
          <w:p w14:paraId="266EFE96"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bottom w:val="nil"/>
            </w:tcBorders>
            <w:shd w:val="clear" w:color="auto" w:fill="auto"/>
            <w:noWrap/>
            <w:vAlign w:val="center"/>
          </w:tcPr>
          <w:p w14:paraId="0B297EB0"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bottom w:val="nil"/>
            </w:tcBorders>
            <w:shd w:val="clear" w:color="000000" w:fill="FFFFFF"/>
            <w:noWrap/>
            <w:vAlign w:val="center"/>
            <w:hideMark/>
          </w:tcPr>
          <w:p w14:paraId="51EDD04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00E81B7F" w14:textId="77777777" w:rsidTr="00CC7BC7">
        <w:trPr>
          <w:trHeight w:val="375"/>
        </w:trPr>
        <w:tc>
          <w:tcPr>
            <w:tcW w:w="1266" w:type="pct"/>
            <w:tcBorders>
              <w:top w:val="nil"/>
              <w:bottom w:val="nil"/>
            </w:tcBorders>
            <w:shd w:val="clear" w:color="auto" w:fill="DBE5F1" w:themeFill="accent1" w:themeFillTint="33"/>
            <w:noWrap/>
            <w:vAlign w:val="center"/>
            <w:hideMark/>
          </w:tcPr>
          <w:p w14:paraId="7D9F0C70"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MCPA</w:t>
            </w:r>
          </w:p>
        </w:tc>
        <w:tc>
          <w:tcPr>
            <w:tcW w:w="2111" w:type="pct"/>
            <w:tcBorders>
              <w:top w:val="nil"/>
              <w:bottom w:val="nil"/>
            </w:tcBorders>
            <w:shd w:val="clear" w:color="auto" w:fill="auto"/>
            <w:noWrap/>
            <w:vAlign w:val="center"/>
            <w:hideMark/>
          </w:tcPr>
          <w:p w14:paraId="59AD11EF"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Phenoxy-carboxylic-acid herbicide</w:t>
            </w:r>
          </w:p>
        </w:tc>
        <w:tc>
          <w:tcPr>
            <w:tcW w:w="653" w:type="pct"/>
            <w:tcBorders>
              <w:top w:val="nil"/>
              <w:bottom w:val="nil"/>
            </w:tcBorders>
            <w:vAlign w:val="center"/>
          </w:tcPr>
          <w:p w14:paraId="5F95D15E"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118DF14C"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0.05</w:t>
            </w:r>
          </w:p>
        </w:tc>
        <w:tc>
          <w:tcPr>
            <w:tcW w:w="324" w:type="pct"/>
            <w:gridSpan w:val="2"/>
            <w:tcBorders>
              <w:top w:val="nil"/>
              <w:bottom w:val="nil"/>
            </w:tcBorders>
            <w:shd w:val="clear" w:color="auto" w:fill="auto"/>
            <w:noWrap/>
            <w:vAlign w:val="center"/>
            <w:hideMark/>
          </w:tcPr>
          <w:p w14:paraId="0D6EA48A"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0.14</w:t>
            </w:r>
          </w:p>
        </w:tc>
        <w:tc>
          <w:tcPr>
            <w:tcW w:w="275" w:type="pct"/>
            <w:tcBorders>
              <w:top w:val="nil"/>
              <w:bottom w:val="nil"/>
            </w:tcBorders>
            <w:shd w:val="clear" w:color="000000" w:fill="FFFFFF"/>
            <w:noWrap/>
            <w:vAlign w:val="center"/>
            <w:hideMark/>
          </w:tcPr>
          <w:p w14:paraId="68AAF0E3"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6C730C" w:rsidRPr="00AA6F75" w14:paraId="3F4B05BA" w14:textId="77777777" w:rsidTr="00CC7BC7">
        <w:trPr>
          <w:trHeight w:val="375"/>
        </w:trPr>
        <w:tc>
          <w:tcPr>
            <w:tcW w:w="1266" w:type="pct"/>
            <w:tcBorders>
              <w:top w:val="nil"/>
              <w:bottom w:val="nil"/>
              <w:right w:val="nil"/>
            </w:tcBorders>
            <w:shd w:val="clear" w:color="auto" w:fill="auto"/>
            <w:noWrap/>
            <w:vAlign w:val="center"/>
            <w:hideMark/>
          </w:tcPr>
          <w:p w14:paraId="6373813F" w14:textId="77777777" w:rsidR="006C730C" w:rsidRPr="00AA6F75" w:rsidRDefault="006C730C"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Mesosulfuron methyl*</w:t>
            </w:r>
          </w:p>
        </w:tc>
        <w:tc>
          <w:tcPr>
            <w:tcW w:w="2111" w:type="pct"/>
            <w:tcBorders>
              <w:top w:val="nil"/>
              <w:left w:val="nil"/>
              <w:bottom w:val="nil"/>
              <w:right w:val="nil"/>
            </w:tcBorders>
            <w:shd w:val="clear" w:color="auto" w:fill="auto"/>
            <w:noWrap/>
            <w:vAlign w:val="center"/>
            <w:hideMark/>
          </w:tcPr>
          <w:p w14:paraId="61322ADF" w14:textId="77777777" w:rsidR="006C730C" w:rsidRPr="00AA6F75" w:rsidRDefault="00780FEA" w:rsidP="002439C8">
            <w:pPr>
              <w:ind w:right="-106"/>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Herbicide: acetolactate synthase (ALS) inhibition</w:t>
            </w:r>
          </w:p>
        </w:tc>
        <w:tc>
          <w:tcPr>
            <w:tcW w:w="653" w:type="pct"/>
            <w:tcBorders>
              <w:top w:val="nil"/>
              <w:left w:val="nil"/>
              <w:bottom w:val="nil"/>
              <w:right w:val="nil"/>
            </w:tcBorders>
            <w:shd w:val="clear" w:color="auto" w:fill="auto"/>
            <w:vAlign w:val="center"/>
          </w:tcPr>
          <w:p w14:paraId="5CA3A246"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Of interest</w:t>
            </w:r>
          </w:p>
        </w:tc>
        <w:tc>
          <w:tcPr>
            <w:tcW w:w="372" w:type="pct"/>
            <w:gridSpan w:val="2"/>
            <w:tcBorders>
              <w:top w:val="nil"/>
              <w:left w:val="nil"/>
              <w:bottom w:val="nil"/>
              <w:right w:val="nil"/>
            </w:tcBorders>
            <w:shd w:val="clear" w:color="auto" w:fill="auto"/>
            <w:noWrap/>
            <w:vAlign w:val="center"/>
          </w:tcPr>
          <w:p w14:paraId="0C953B8A"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left w:val="nil"/>
              <w:bottom w:val="nil"/>
              <w:right w:val="nil"/>
            </w:tcBorders>
            <w:shd w:val="clear" w:color="auto" w:fill="auto"/>
            <w:noWrap/>
            <w:vAlign w:val="center"/>
          </w:tcPr>
          <w:p w14:paraId="5419C405"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left w:val="nil"/>
              <w:bottom w:val="nil"/>
            </w:tcBorders>
            <w:shd w:val="clear" w:color="auto" w:fill="auto"/>
            <w:noWrap/>
            <w:vAlign w:val="center"/>
            <w:hideMark/>
          </w:tcPr>
          <w:p w14:paraId="7B81D811"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D706B9" w:rsidRPr="00AA6F75" w14:paraId="09AD34EB" w14:textId="77777777" w:rsidTr="00CC7BC7">
        <w:trPr>
          <w:trHeight w:val="375"/>
        </w:trPr>
        <w:tc>
          <w:tcPr>
            <w:tcW w:w="1266" w:type="pct"/>
            <w:tcBorders>
              <w:top w:val="nil"/>
              <w:bottom w:val="nil"/>
            </w:tcBorders>
            <w:shd w:val="clear" w:color="auto" w:fill="DBE5F1" w:themeFill="accent1" w:themeFillTint="33"/>
            <w:noWrap/>
            <w:vAlign w:val="center"/>
            <w:hideMark/>
          </w:tcPr>
          <w:p w14:paraId="3C278CA8"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Metolachlor</w:t>
            </w:r>
          </w:p>
        </w:tc>
        <w:tc>
          <w:tcPr>
            <w:tcW w:w="2111" w:type="pct"/>
            <w:tcBorders>
              <w:top w:val="nil"/>
              <w:bottom w:val="nil"/>
            </w:tcBorders>
            <w:shd w:val="clear" w:color="auto" w:fill="auto"/>
            <w:vAlign w:val="center"/>
            <w:hideMark/>
          </w:tcPr>
          <w:p w14:paraId="544BEBF0"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Chloracetanilide herbicide</w:t>
            </w:r>
          </w:p>
        </w:tc>
        <w:tc>
          <w:tcPr>
            <w:tcW w:w="653" w:type="pct"/>
            <w:tcBorders>
              <w:top w:val="nil"/>
              <w:bottom w:val="nil"/>
            </w:tcBorders>
            <w:vAlign w:val="center"/>
          </w:tcPr>
          <w:p w14:paraId="7FA72708"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4A915DBC"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0.03</w:t>
            </w:r>
          </w:p>
        </w:tc>
        <w:tc>
          <w:tcPr>
            <w:tcW w:w="324" w:type="pct"/>
            <w:gridSpan w:val="2"/>
            <w:tcBorders>
              <w:top w:val="nil"/>
              <w:bottom w:val="nil"/>
            </w:tcBorders>
            <w:shd w:val="clear" w:color="auto" w:fill="auto"/>
            <w:noWrap/>
            <w:vAlign w:val="center"/>
            <w:hideMark/>
          </w:tcPr>
          <w:p w14:paraId="45C5CAA4"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bottom w:val="nil"/>
            </w:tcBorders>
            <w:shd w:val="clear" w:color="000000" w:fill="FFFFFF"/>
            <w:noWrap/>
            <w:vAlign w:val="center"/>
            <w:hideMark/>
          </w:tcPr>
          <w:p w14:paraId="4FFBCB2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4534BE22" w14:textId="77777777" w:rsidTr="00CC7BC7">
        <w:trPr>
          <w:trHeight w:val="375"/>
        </w:trPr>
        <w:tc>
          <w:tcPr>
            <w:tcW w:w="1266" w:type="pct"/>
            <w:tcBorders>
              <w:top w:val="nil"/>
              <w:bottom w:val="nil"/>
            </w:tcBorders>
            <w:shd w:val="clear" w:color="auto" w:fill="DBE5F1" w:themeFill="accent1" w:themeFillTint="33"/>
            <w:noWrap/>
            <w:vAlign w:val="center"/>
            <w:hideMark/>
          </w:tcPr>
          <w:p w14:paraId="54D3D31E" w14:textId="77777777" w:rsidR="00D706B9" w:rsidRPr="00AA6F75" w:rsidRDefault="00D706B9" w:rsidP="002439C8">
            <w:pPr>
              <w:jc w:val="left"/>
              <w:rPr>
                <w:rFonts w:asciiTheme="minorHAnsi" w:eastAsia="Times New Roman" w:hAnsiTheme="minorHAnsi" w:cstheme="minorHAnsi"/>
                <w:color w:val="C00000"/>
                <w:sz w:val="20"/>
                <w:szCs w:val="20"/>
                <w:lang w:val="en-AU" w:eastAsia="en-AU" w:bidi="ar-SA"/>
              </w:rPr>
            </w:pPr>
            <w:r w:rsidRPr="00AA6F75">
              <w:rPr>
                <w:rFonts w:asciiTheme="minorHAnsi" w:eastAsia="Times New Roman" w:hAnsiTheme="minorHAnsi" w:cstheme="minorHAnsi"/>
                <w:color w:val="C00000"/>
                <w:sz w:val="20"/>
                <w:szCs w:val="20"/>
                <w:lang w:val="en-AU" w:eastAsia="en-AU" w:bidi="ar-SA"/>
              </w:rPr>
              <w:t>Metribuzin</w:t>
            </w:r>
          </w:p>
        </w:tc>
        <w:tc>
          <w:tcPr>
            <w:tcW w:w="2111" w:type="pct"/>
            <w:tcBorders>
              <w:top w:val="nil"/>
              <w:bottom w:val="nil"/>
            </w:tcBorders>
            <w:shd w:val="clear" w:color="auto" w:fill="auto"/>
            <w:vAlign w:val="center"/>
            <w:hideMark/>
          </w:tcPr>
          <w:p w14:paraId="5D570521"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w:t>
            </w:r>
            <w:r w:rsidR="00780FEA" w:rsidRPr="00AA6F75">
              <w:rPr>
                <w:rFonts w:asciiTheme="minorHAnsi" w:eastAsia="Times New Roman" w:hAnsiTheme="minorHAnsi" w:cs="Calibri"/>
                <w:color w:val="000000"/>
                <w:sz w:val="20"/>
                <w:szCs w:val="20"/>
                <w:lang w:val="en-AU" w:eastAsia="en-AU" w:bidi="ar-SA"/>
              </w:rPr>
              <w:t xml:space="preserve"> – </w:t>
            </w:r>
            <w:r w:rsidRPr="00AA6F75">
              <w:rPr>
                <w:rFonts w:asciiTheme="minorHAnsi" w:eastAsia="Times New Roman" w:hAnsiTheme="minorHAnsi" w:cs="Calibri"/>
                <w:color w:val="000000"/>
                <w:sz w:val="20"/>
                <w:szCs w:val="20"/>
                <w:lang w:val="en-AU" w:eastAsia="en-AU" w:bidi="ar-SA"/>
              </w:rPr>
              <w:t>triazinone</w:t>
            </w:r>
          </w:p>
        </w:tc>
        <w:tc>
          <w:tcPr>
            <w:tcW w:w="653" w:type="pct"/>
            <w:tcBorders>
              <w:top w:val="nil"/>
              <w:bottom w:val="nil"/>
            </w:tcBorders>
            <w:vAlign w:val="center"/>
          </w:tcPr>
          <w:p w14:paraId="6E6CBE0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5CC2A96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0.03</w:t>
            </w:r>
          </w:p>
        </w:tc>
        <w:tc>
          <w:tcPr>
            <w:tcW w:w="324" w:type="pct"/>
            <w:gridSpan w:val="2"/>
            <w:tcBorders>
              <w:top w:val="nil"/>
              <w:bottom w:val="nil"/>
            </w:tcBorders>
            <w:shd w:val="clear" w:color="auto" w:fill="auto"/>
            <w:noWrap/>
            <w:vAlign w:val="center"/>
            <w:hideMark/>
          </w:tcPr>
          <w:p w14:paraId="32E970F7"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w:t>
            </w:r>
            <w:r w:rsidR="00703101" w:rsidRPr="00AA6F75">
              <w:rPr>
                <w:rFonts w:asciiTheme="minorHAnsi" w:eastAsia="Times New Roman" w:hAnsiTheme="minorHAnsi" w:cs="Calibri"/>
                <w:color w:val="000000"/>
                <w:sz w:val="20"/>
                <w:szCs w:val="20"/>
                <w:lang w:val="en-AU" w:eastAsia="en-AU" w:bidi="ar-SA"/>
              </w:rPr>
              <w:t>1</w:t>
            </w:r>
          </w:p>
        </w:tc>
        <w:tc>
          <w:tcPr>
            <w:tcW w:w="275" w:type="pct"/>
            <w:tcBorders>
              <w:top w:val="nil"/>
              <w:bottom w:val="nil"/>
            </w:tcBorders>
            <w:shd w:val="clear" w:color="000000" w:fill="FFFFFF"/>
            <w:noWrap/>
            <w:vAlign w:val="center"/>
            <w:hideMark/>
          </w:tcPr>
          <w:p w14:paraId="409F9570"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03F8A810" w14:textId="77777777" w:rsidTr="00CC7BC7">
        <w:trPr>
          <w:trHeight w:val="375"/>
        </w:trPr>
        <w:tc>
          <w:tcPr>
            <w:tcW w:w="1266" w:type="pct"/>
            <w:tcBorders>
              <w:top w:val="nil"/>
              <w:bottom w:val="nil"/>
            </w:tcBorders>
            <w:shd w:val="clear" w:color="000000" w:fill="FFFFFF"/>
            <w:noWrap/>
            <w:vAlign w:val="center"/>
            <w:hideMark/>
          </w:tcPr>
          <w:p w14:paraId="136EED08" w14:textId="77777777" w:rsidR="00D706B9" w:rsidRPr="00AA6F75" w:rsidRDefault="00D706B9" w:rsidP="002439C8">
            <w:pPr>
              <w:jc w:val="left"/>
              <w:rPr>
                <w:rFonts w:asciiTheme="minorHAnsi" w:eastAsia="Times New Roman" w:hAnsiTheme="minorHAnsi" w:cstheme="minorHAnsi"/>
                <w:color w:val="C00000"/>
                <w:sz w:val="20"/>
                <w:szCs w:val="20"/>
                <w:lang w:val="en-AU" w:eastAsia="en-AU" w:bidi="ar-SA"/>
              </w:rPr>
            </w:pPr>
            <w:r w:rsidRPr="00AA6F75">
              <w:rPr>
                <w:rFonts w:asciiTheme="minorHAnsi" w:eastAsia="Times New Roman" w:hAnsiTheme="minorHAnsi" w:cstheme="minorHAnsi"/>
                <w:color w:val="C00000"/>
                <w:sz w:val="20"/>
                <w:szCs w:val="20"/>
                <w:lang w:val="en-AU" w:eastAsia="en-AU" w:bidi="ar-SA"/>
              </w:rPr>
              <w:t>Metsulfuron methyl</w:t>
            </w:r>
          </w:p>
        </w:tc>
        <w:tc>
          <w:tcPr>
            <w:tcW w:w="2111" w:type="pct"/>
            <w:tcBorders>
              <w:top w:val="nil"/>
              <w:bottom w:val="nil"/>
            </w:tcBorders>
            <w:shd w:val="clear" w:color="auto" w:fill="auto"/>
            <w:noWrap/>
            <w:vAlign w:val="center"/>
            <w:hideMark/>
          </w:tcPr>
          <w:p w14:paraId="2187F4BF"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Sulfonylurea herbicide</w:t>
            </w:r>
          </w:p>
        </w:tc>
        <w:tc>
          <w:tcPr>
            <w:tcW w:w="653" w:type="pct"/>
            <w:tcBorders>
              <w:top w:val="nil"/>
              <w:bottom w:val="nil"/>
            </w:tcBorders>
            <w:vAlign w:val="center"/>
          </w:tcPr>
          <w:p w14:paraId="77C4F6A2"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5A36AE58"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w:t>
            </w:r>
            <w:r w:rsidR="00703101" w:rsidRPr="00AA6F75">
              <w:rPr>
                <w:rFonts w:asciiTheme="minorHAnsi" w:eastAsia="Times New Roman" w:hAnsiTheme="minorHAnsi" w:cs="Calibri"/>
                <w:color w:val="000000"/>
                <w:sz w:val="20"/>
                <w:szCs w:val="20"/>
                <w:lang w:val="en-AU" w:eastAsia="en-AU" w:bidi="ar-SA"/>
              </w:rPr>
              <w:t>3</w:t>
            </w:r>
          </w:p>
        </w:tc>
        <w:tc>
          <w:tcPr>
            <w:tcW w:w="324" w:type="pct"/>
            <w:gridSpan w:val="2"/>
            <w:tcBorders>
              <w:top w:val="nil"/>
              <w:bottom w:val="nil"/>
            </w:tcBorders>
            <w:shd w:val="clear" w:color="auto" w:fill="auto"/>
            <w:noWrap/>
            <w:vAlign w:val="center"/>
            <w:hideMark/>
          </w:tcPr>
          <w:p w14:paraId="7ECB4BCB"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bottom w:val="nil"/>
            </w:tcBorders>
            <w:shd w:val="clear" w:color="000000" w:fill="FFFFFF"/>
            <w:noWrap/>
            <w:vAlign w:val="center"/>
            <w:hideMark/>
          </w:tcPr>
          <w:p w14:paraId="5827A52E"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6C730C" w:rsidRPr="00AA6F75" w14:paraId="7B84622D" w14:textId="77777777" w:rsidTr="00CC7BC7">
        <w:trPr>
          <w:trHeight w:val="375"/>
        </w:trPr>
        <w:tc>
          <w:tcPr>
            <w:tcW w:w="1266" w:type="pct"/>
            <w:tcBorders>
              <w:top w:val="nil"/>
              <w:bottom w:val="nil"/>
              <w:right w:val="nil"/>
            </w:tcBorders>
            <w:shd w:val="clear" w:color="auto" w:fill="auto"/>
            <w:noWrap/>
            <w:vAlign w:val="center"/>
            <w:hideMark/>
          </w:tcPr>
          <w:p w14:paraId="755412D3" w14:textId="77777777" w:rsidR="006C730C" w:rsidRPr="00AA6F75" w:rsidRDefault="006C730C" w:rsidP="002439C8">
            <w:pPr>
              <w:jc w:val="left"/>
              <w:rPr>
                <w:rFonts w:asciiTheme="minorHAnsi" w:eastAsia="Times New Roman" w:hAnsiTheme="minorHAnsi" w:cstheme="minorHAnsi"/>
                <w:sz w:val="20"/>
                <w:szCs w:val="20"/>
                <w:lang w:val="en-AU" w:eastAsia="en-AU" w:bidi="ar-SA"/>
              </w:rPr>
            </w:pPr>
            <w:r w:rsidRPr="00AA6F75">
              <w:rPr>
                <w:rFonts w:asciiTheme="minorHAnsi" w:eastAsia="Times New Roman" w:hAnsiTheme="minorHAnsi" w:cstheme="minorHAnsi"/>
                <w:sz w:val="20"/>
                <w:szCs w:val="20"/>
                <w:lang w:val="en-AU" w:eastAsia="en-AU" w:bidi="ar-SA"/>
              </w:rPr>
              <w:t>MSMA*</w:t>
            </w:r>
          </w:p>
        </w:tc>
        <w:tc>
          <w:tcPr>
            <w:tcW w:w="2111" w:type="pct"/>
            <w:tcBorders>
              <w:top w:val="nil"/>
              <w:left w:val="nil"/>
              <w:bottom w:val="nil"/>
              <w:right w:val="nil"/>
            </w:tcBorders>
            <w:shd w:val="clear" w:color="auto" w:fill="auto"/>
            <w:noWrap/>
            <w:vAlign w:val="center"/>
            <w:hideMark/>
          </w:tcPr>
          <w:p w14:paraId="35631E84" w14:textId="77777777" w:rsidR="006C730C" w:rsidRPr="00AA6F75" w:rsidRDefault="00780FEA" w:rsidP="002439C8">
            <w:pPr>
              <w:jc w:val="left"/>
              <w:rPr>
                <w:rFonts w:asciiTheme="minorHAnsi" w:eastAsia="Times New Roman" w:hAnsiTheme="minorHAnsi" w:cs="Calibri"/>
                <w:sz w:val="20"/>
                <w:szCs w:val="20"/>
                <w:lang w:val="en-AU" w:eastAsia="en-AU" w:bidi="ar-SA"/>
              </w:rPr>
            </w:pPr>
            <w:r w:rsidRPr="00AA6F75">
              <w:rPr>
                <w:rFonts w:asciiTheme="minorHAnsi" w:eastAsia="Times New Roman" w:hAnsiTheme="minorHAnsi" w:cs="Calibri"/>
                <w:sz w:val="20"/>
                <w:szCs w:val="20"/>
                <w:lang w:val="en-AU" w:eastAsia="en-AU" w:bidi="ar-SA"/>
              </w:rPr>
              <w:t>Herbicide: i</w:t>
            </w:r>
            <w:r w:rsidR="006C730C" w:rsidRPr="00AA6F75">
              <w:rPr>
                <w:rFonts w:asciiTheme="minorHAnsi" w:eastAsia="Times New Roman" w:hAnsiTheme="minorHAnsi" w:cs="Calibri"/>
                <w:sz w:val="20"/>
                <w:szCs w:val="20"/>
                <w:lang w:val="en-AU" w:eastAsia="en-AU" w:bidi="ar-SA"/>
              </w:rPr>
              <w:t>nhibition of cell division</w:t>
            </w:r>
          </w:p>
        </w:tc>
        <w:tc>
          <w:tcPr>
            <w:tcW w:w="653" w:type="pct"/>
            <w:tcBorders>
              <w:top w:val="nil"/>
              <w:left w:val="nil"/>
              <w:bottom w:val="nil"/>
              <w:right w:val="nil"/>
            </w:tcBorders>
            <w:shd w:val="clear" w:color="auto" w:fill="auto"/>
            <w:vAlign w:val="center"/>
          </w:tcPr>
          <w:p w14:paraId="36967D27" w14:textId="77777777" w:rsidR="006C730C" w:rsidRPr="00AA6F75" w:rsidRDefault="006C730C" w:rsidP="002439C8">
            <w:pPr>
              <w:jc w:val="left"/>
              <w:rPr>
                <w:rFonts w:asciiTheme="minorHAnsi" w:eastAsia="Times New Roman" w:hAnsiTheme="minorHAnsi" w:cs="Calibri"/>
                <w:sz w:val="20"/>
                <w:szCs w:val="20"/>
                <w:lang w:val="en-AU" w:eastAsia="en-AU" w:bidi="ar-SA"/>
              </w:rPr>
            </w:pPr>
            <w:r w:rsidRPr="00AA6F75">
              <w:rPr>
                <w:rFonts w:asciiTheme="minorHAnsi" w:eastAsia="Times New Roman" w:hAnsiTheme="minorHAnsi" w:cs="Calibri"/>
                <w:sz w:val="20"/>
                <w:szCs w:val="20"/>
                <w:lang w:val="en-AU" w:eastAsia="en-AU" w:bidi="ar-SA"/>
              </w:rPr>
              <w:t>Of interest</w:t>
            </w:r>
          </w:p>
        </w:tc>
        <w:tc>
          <w:tcPr>
            <w:tcW w:w="372" w:type="pct"/>
            <w:gridSpan w:val="2"/>
            <w:tcBorders>
              <w:top w:val="nil"/>
              <w:left w:val="nil"/>
              <w:bottom w:val="nil"/>
              <w:right w:val="nil"/>
            </w:tcBorders>
            <w:shd w:val="clear" w:color="auto" w:fill="auto"/>
            <w:noWrap/>
            <w:vAlign w:val="center"/>
            <w:hideMark/>
          </w:tcPr>
          <w:p w14:paraId="464C1AC8" w14:textId="77777777" w:rsidR="006C730C" w:rsidRPr="00AA6F75" w:rsidRDefault="006C730C" w:rsidP="002439C8">
            <w:pPr>
              <w:jc w:val="left"/>
              <w:rPr>
                <w:rFonts w:asciiTheme="minorHAnsi" w:eastAsia="Times New Roman" w:hAnsiTheme="minorHAnsi" w:cs="Calibri"/>
                <w:sz w:val="20"/>
                <w:szCs w:val="20"/>
                <w:lang w:val="en-AU" w:eastAsia="en-AU" w:bidi="ar-SA"/>
              </w:rPr>
            </w:pPr>
          </w:p>
        </w:tc>
        <w:tc>
          <w:tcPr>
            <w:tcW w:w="324" w:type="pct"/>
            <w:gridSpan w:val="2"/>
            <w:tcBorders>
              <w:top w:val="nil"/>
              <w:left w:val="nil"/>
              <w:bottom w:val="nil"/>
              <w:right w:val="nil"/>
            </w:tcBorders>
            <w:shd w:val="clear" w:color="auto" w:fill="auto"/>
            <w:noWrap/>
            <w:vAlign w:val="center"/>
            <w:hideMark/>
          </w:tcPr>
          <w:p w14:paraId="70AC4DC9" w14:textId="77777777" w:rsidR="006C730C" w:rsidRPr="00AA6F75" w:rsidRDefault="006C730C" w:rsidP="002439C8">
            <w:pPr>
              <w:jc w:val="left"/>
              <w:rPr>
                <w:rFonts w:asciiTheme="minorHAnsi" w:eastAsia="Times New Roman" w:hAnsiTheme="minorHAnsi" w:cs="Calibri"/>
                <w:sz w:val="20"/>
                <w:szCs w:val="20"/>
                <w:lang w:val="en-AU" w:eastAsia="en-AU" w:bidi="ar-SA"/>
              </w:rPr>
            </w:pPr>
          </w:p>
        </w:tc>
        <w:tc>
          <w:tcPr>
            <w:tcW w:w="275" w:type="pct"/>
            <w:tcBorders>
              <w:top w:val="nil"/>
              <w:left w:val="nil"/>
              <w:bottom w:val="nil"/>
            </w:tcBorders>
            <w:shd w:val="clear" w:color="auto" w:fill="auto"/>
            <w:noWrap/>
            <w:vAlign w:val="center"/>
            <w:hideMark/>
          </w:tcPr>
          <w:p w14:paraId="1D30FDC6" w14:textId="77777777" w:rsidR="006C730C" w:rsidRPr="00AA6F75" w:rsidRDefault="006C730C" w:rsidP="002439C8">
            <w:pPr>
              <w:jc w:val="left"/>
              <w:rPr>
                <w:rFonts w:asciiTheme="minorHAnsi" w:eastAsia="Times New Roman" w:hAnsiTheme="minorHAnsi" w:cs="Calibri"/>
                <w:sz w:val="20"/>
                <w:szCs w:val="20"/>
                <w:lang w:val="en-AU" w:eastAsia="en-AU" w:bidi="ar-SA"/>
              </w:rPr>
            </w:pPr>
          </w:p>
        </w:tc>
      </w:tr>
      <w:tr w:rsidR="006C730C" w:rsidRPr="00AA6F75" w14:paraId="17FF194D" w14:textId="77777777" w:rsidTr="00CC7BC7">
        <w:trPr>
          <w:trHeight w:val="375"/>
        </w:trPr>
        <w:tc>
          <w:tcPr>
            <w:tcW w:w="1266" w:type="pct"/>
            <w:tcBorders>
              <w:top w:val="nil"/>
              <w:bottom w:val="nil"/>
              <w:right w:val="nil"/>
            </w:tcBorders>
            <w:shd w:val="clear" w:color="auto" w:fill="auto"/>
            <w:noWrap/>
            <w:vAlign w:val="center"/>
            <w:hideMark/>
          </w:tcPr>
          <w:p w14:paraId="20B762F8" w14:textId="77777777" w:rsidR="006C730C" w:rsidRPr="00AA6F75" w:rsidRDefault="006C730C" w:rsidP="002439C8">
            <w:pPr>
              <w:jc w:val="left"/>
              <w:rPr>
                <w:rFonts w:asciiTheme="minorHAnsi" w:eastAsia="Times New Roman" w:hAnsiTheme="minorHAnsi" w:cstheme="minorHAnsi"/>
                <w:sz w:val="20"/>
                <w:szCs w:val="20"/>
                <w:lang w:val="en-AU" w:eastAsia="en-AU" w:bidi="ar-SA"/>
              </w:rPr>
            </w:pPr>
            <w:r w:rsidRPr="00AA6F75">
              <w:rPr>
                <w:rFonts w:asciiTheme="minorHAnsi" w:eastAsia="Times New Roman" w:hAnsiTheme="minorHAnsi" w:cstheme="minorHAnsi"/>
                <w:sz w:val="20"/>
                <w:szCs w:val="20"/>
                <w:lang w:val="en-AU" w:eastAsia="en-AU" w:bidi="ar-SA"/>
              </w:rPr>
              <w:t>Paraquat*</w:t>
            </w:r>
          </w:p>
        </w:tc>
        <w:tc>
          <w:tcPr>
            <w:tcW w:w="2111" w:type="pct"/>
            <w:tcBorders>
              <w:top w:val="nil"/>
              <w:left w:val="nil"/>
              <w:bottom w:val="nil"/>
              <w:right w:val="nil"/>
            </w:tcBorders>
            <w:shd w:val="clear" w:color="auto" w:fill="auto"/>
            <w:noWrap/>
            <w:vAlign w:val="center"/>
            <w:hideMark/>
          </w:tcPr>
          <w:p w14:paraId="365C7912" w14:textId="77777777" w:rsidR="006C730C" w:rsidRPr="00AA6F75" w:rsidRDefault="005B06AA" w:rsidP="002439C8">
            <w:pPr>
              <w:jc w:val="left"/>
              <w:rPr>
                <w:rFonts w:asciiTheme="minorHAnsi" w:eastAsia="Times New Roman" w:hAnsiTheme="minorHAnsi" w:cs="Calibri"/>
                <w:sz w:val="20"/>
                <w:szCs w:val="20"/>
                <w:lang w:val="en-AU" w:eastAsia="en-AU" w:bidi="ar-SA"/>
              </w:rPr>
            </w:pPr>
            <w:r w:rsidRPr="00AA6F75">
              <w:rPr>
                <w:rFonts w:asciiTheme="minorHAnsi" w:eastAsia="Times New Roman" w:hAnsiTheme="minorHAnsi" w:cs="Calibri"/>
                <w:sz w:val="20"/>
                <w:szCs w:val="20"/>
                <w:lang w:val="en-AU" w:eastAsia="en-AU" w:bidi="ar-SA"/>
              </w:rPr>
              <w:t>Herbicide: p</w:t>
            </w:r>
            <w:r w:rsidR="006C730C" w:rsidRPr="00AA6F75">
              <w:rPr>
                <w:rFonts w:asciiTheme="minorHAnsi" w:eastAsia="Times New Roman" w:hAnsiTheme="minorHAnsi" w:cs="Calibri"/>
                <w:sz w:val="20"/>
                <w:szCs w:val="20"/>
                <w:lang w:val="en-AU" w:eastAsia="en-AU" w:bidi="ar-SA"/>
              </w:rPr>
              <w:t xml:space="preserve">hotosystem-I-electron diversion </w:t>
            </w:r>
          </w:p>
        </w:tc>
        <w:tc>
          <w:tcPr>
            <w:tcW w:w="653" w:type="pct"/>
            <w:tcBorders>
              <w:top w:val="nil"/>
              <w:left w:val="nil"/>
              <w:bottom w:val="nil"/>
              <w:right w:val="nil"/>
            </w:tcBorders>
            <w:shd w:val="clear" w:color="auto" w:fill="auto"/>
            <w:vAlign w:val="center"/>
          </w:tcPr>
          <w:p w14:paraId="149D6B21" w14:textId="77777777" w:rsidR="006C730C" w:rsidRPr="00AA6F75" w:rsidRDefault="006C730C" w:rsidP="002439C8">
            <w:pPr>
              <w:jc w:val="left"/>
              <w:rPr>
                <w:rFonts w:asciiTheme="minorHAnsi" w:eastAsia="Times New Roman" w:hAnsiTheme="minorHAnsi" w:cs="Calibri"/>
                <w:sz w:val="20"/>
                <w:szCs w:val="20"/>
                <w:lang w:val="en-AU" w:eastAsia="en-AU" w:bidi="ar-SA"/>
              </w:rPr>
            </w:pPr>
            <w:r w:rsidRPr="00AA6F75">
              <w:rPr>
                <w:rFonts w:asciiTheme="minorHAnsi" w:eastAsia="Times New Roman" w:hAnsiTheme="minorHAnsi" w:cs="Calibri"/>
                <w:sz w:val="20"/>
                <w:szCs w:val="20"/>
                <w:lang w:val="en-AU" w:eastAsia="en-AU" w:bidi="ar-SA"/>
              </w:rPr>
              <w:t>Of interest</w:t>
            </w:r>
          </w:p>
        </w:tc>
        <w:tc>
          <w:tcPr>
            <w:tcW w:w="372" w:type="pct"/>
            <w:gridSpan w:val="2"/>
            <w:tcBorders>
              <w:top w:val="nil"/>
              <w:left w:val="nil"/>
              <w:bottom w:val="nil"/>
              <w:right w:val="nil"/>
            </w:tcBorders>
            <w:shd w:val="clear" w:color="auto" w:fill="auto"/>
            <w:noWrap/>
            <w:vAlign w:val="center"/>
            <w:hideMark/>
          </w:tcPr>
          <w:p w14:paraId="76237E51" w14:textId="77777777" w:rsidR="006C730C" w:rsidRPr="00AA6F75" w:rsidRDefault="006C730C" w:rsidP="002439C8">
            <w:pPr>
              <w:jc w:val="left"/>
              <w:rPr>
                <w:rFonts w:asciiTheme="minorHAnsi" w:eastAsia="Times New Roman" w:hAnsiTheme="minorHAnsi" w:cs="Calibri"/>
                <w:sz w:val="20"/>
                <w:szCs w:val="20"/>
                <w:lang w:val="en-AU" w:eastAsia="en-AU" w:bidi="ar-SA"/>
              </w:rPr>
            </w:pPr>
          </w:p>
        </w:tc>
        <w:tc>
          <w:tcPr>
            <w:tcW w:w="324" w:type="pct"/>
            <w:gridSpan w:val="2"/>
            <w:tcBorders>
              <w:top w:val="nil"/>
              <w:left w:val="nil"/>
              <w:bottom w:val="nil"/>
              <w:right w:val="nil"/>
            </w:tcBorders>
            <w:shd w:val="clear" w:color="auto" w:fill="auto"/>
            <w:noWrap/>
            <w:vAlign w:val="center"/>
            <w:hideMark/>
          </w:tcPr>
          <w:p w14:paraId="4AB1E582" w14:textId="77777777" w:rsidR="006C730C" w:rsidRPr="00AA6F75" w:rsidRDefault="006C730C" w:rsidP="002439C8">
            <w:pPr>
              <w:jc w:val="left"/>
              <w:rPr>
                <w:rFonts w:asciiTheme="minorHAnsi" w:eastAsia="Times New Roman" w:hAnsiTheme="minorHAnsi" w:cs="Calibri"/>
                <w:sz w:val="20"/>
                <w:szCs w:val="20"/>
                <w:lang w:val="en-AU" w:eastAsia="en-AU" w:bidi="ar-SA"/>
              </w:rPr>
            </w:pPr>
          </w:p>
        </w:tc>
        <w:tc>
          <w:tcPr>
            <w:tcW w:w="275" w:type="pct"/>
            <w:tcBorders>
              <w:top w:val="nil"/>
              <w:left w:val="nil"/>
              <w:bottom w:val="nil"/>
            </w:tcBorders>
            <w:shd w:val="clear" w:color="auto" w:fill="auto"/>
            <w:noWrap/>
            <w:vAlign w:val="center"/>
            <w:hideMark/>
          </w:tcPr>
          <w:p w14:paraId="25BE7E46" w14:textId="77777777" w:rsidR="006C730C" w:rsidRPr="00AA6F75" w:rsidRDefault="006C730C" w:rsidP="002439C8">
            <w:pPr>
              <w:jc w:val="left"/>
              <w:rPr>
                <w:rFonts w:asciiTheme="minorHAnsi" w:eastAsia="Times New Roman" w:hAnsiTheme="minorHAnsi" w:cs="Calibri"/>
                <w:sz w:val="20"/>
                <w:szCs w:val="20"/>
                <w:lang w:val="en-AU" w:eastAsia="en-AU" w:bidi="ar-SA"/>
              </w:rPr>
            </w:pPr>
          </w:p>
        </w:tc>
      </w:tr>
      <w:tr w:rsidR="00D706B9" w:rsidRPr="00AA6F75" w14:paraId="31271225" w14:textId="77777777" w:rsidTr="00CC7BC7">
        <w:trPr>
          <w:trHeight w:val="375"/>
        </w:trPr>
        <w:tc>
          <w:tcPr>
            <w:tcW w:w="1266" w:type="pct"/>
            <w:tcBorders>
              <w:top w:val="nil"/>
              <w:bottom w:val="nil"/>
            </w:tcBorders>
            <w:shd w:val="clear" w:color="auto" w:fill="DBE5F1" w:themeFill="accent1" w:themeFillTint="33"/>
            <w:noWrap/>
            <w:vAlign w:val="center"/>
            <w:hideMark/>
          </w:tcPr>
          <w:p w14:paraId="307A5898"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Pendimethalin</w:t>
            </w:r>
          </w:p>
        </w:tc>
        <w:tc>
          <w:tcPr>
            <w:tcW w:w="2111" w:type="pct"/>
            <w:tcBorders>
              <w:top w:val="nil"/>
              <w:bottom w:val="nil"/>
            </w:tcBorders>
            <w:shd w:val="clear" w:color="auto" w:fill="auto"/>
            <w:vAlign w:val="center"/>
            <w:hideMark/>
          </w:tcPr>
          <w:p w14:paraId="60A58CD8"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Dinitroaniline herbicide</w:t>
            </w:r>
          </w:p>
        </w:tc>
        <w:tc>
          <w:tcPr>
            <w:tcW w:w="653" w:type="pct"/>
            <w:tcBorders>
              <w:top w:val="nil"/>
              <w:bottom w:val="nil"/>
            </w:tcBorders>
            <w:vAlign w:val="center"/>
          </w:tcPr>
          <w:p w14:paraId="4A191B33"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40356079"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bottom w:val="nil"/>
            </w:tcBorders>
            <w:shd w:val="clear" w:color="auto" w:fill="auto"/>
            <w:noWrap/>
            <w:vAlign w:val="center"/>
            <w:hideMark/>
          </w:tcPr>
          <w:p w14:paraId="5AC2DFD7"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bottom w:val="nil"/>
            </w:tcBorders>
            <w:shd w:val="clear" w:color="000000" w:fill="FFFFFF"/>
            <w:noWrap/>
            <w:vAlign w:val="center"/>
            <w:hideMark/>
          </w:tcPr>
          <w:p w14:paraId="01122BCD"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1.0</w:t>
            </w:r>
          </w:p>
        </w:tc>
      </w:tr>
      <w:tr w:rsidR="00D706B9" w:rsidRPr="00AA6F75" w14:paraId="53CDDCAC" w14:textId="77777777" w:rsidTr="00CC7BC7">
        <w:trPr>
          <w:trHeight w:val="375"/>
        </w:trPr>
        <w:tc>
          <w:tcPr>
            <w:tcW w:w="1266" w:type="pct"/>
            <w:tcBorders>
              <w:top w:val="nil"/>
              <w:bottom w:val="nil"/>
            </w:tcBorders>
            <w:shd w:val="clear" w:color="000000" w:fill="FFFFFF"/>
            <w:noWrap/>
            <w:vAlign w:val="center"/>
            <w:hideMark/>
          </w:tcPr>
          <w:p w14:paraId="42EFD189"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Prometryn</w:t>
            </w:r>
          </w:p>
        </w:tc>
        <w:tc>
          <w:tcPr>
            <w:tcW w:w="2111" w:type="pct"/>
            <w:tcBorders>
              <w:top w:val="nil"/>
              <w:bottom w:val="nil"/>
            </w:tcBorders>
            <w:shd w:val="clear" w:color="auto" w:fill="auto"/>
            <w:vAlign w:val="center"/>
            <w:hideMark/>
          </w:tcPr>
          <w:p w14:paraId="05464DAD"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w:t>
            </w:r>
            <w:r w:rsidR="00780FEA" w:rsidRPr="00AA6F75">
              <w:rPr>
                <w:rFonts w:asciiTheme="minorHAnsi" w:eastAsia="Times New Roman" w:hAnsiTheme="minorHAnsi" w:cs="Calibri"/>
                <w:color w:val="000000"/>
                <w:sz w:val="20"/>
                <w:szCs w:val="20"/>
                <w:lang w:val="en-AU" w:eastAsia="en-AU" w:bidi="ar-SA"/>
              </w:rPr>
              <w:t xml:space="preserve"> – </w:t>
            </w:r>
            <w:r w:rsidRPr="00AA6F75">
              <w:rPr>
                <w:rFonts w:asciiTheme="minorHAnsi" w:eastAsia="Times New Roman" w:hAnsiTheme="minorHAnsi" w:cs="Calibri"/>
                <w:color w:val="000000"/>
                <w:sz w:val="20"/>
                <w:szCs w:val="20"/>
                <w:lang w:val="en-AU" w:eastAsia="en-AU" w:bidi="ar-SA"/>
              </w:rPr>
              <w:t>methylthiotriazine</w:t>
            </w:r>
          </w:p>
        </w:tc>
        <w:tc>
          <w:tcPr>
            <w:tcW w:w="653" w:type="pct"/>
            <w:tcBorders>
              <w:top w:val="nil"/>
              <w:bottom w:val="nil"/>
            </w:tcBorders>
            <w:vAlign w:val="center"/>
          </w:tcPr>
          <w:p w14:paraId="751E99FF"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3206B5A9"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0.54</w:t>
            </w:r>
          </w:p>
        </w:tc>
        <w:tc>
          <w:tcPr>
            <w:tcW w:w="324" w:type="pct"/>
            <w:gridSpan w:val="2"/>
            <w:tcBorders>
              <w:top w:val="nil"/>
              <w:bottom w:val="nil"/>
            </w:tcBorders>
            <w:shd w:val="clear" w:color="auto" w:fill="auto"/>
            <w:noWrap/>
            <w:vAlign w:val="center"/>
            <w:hideMark/>
          </w:tcPr>
          <w:p w14:paraId="4673EF22"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1.61</w:t>
            </w:r>
          </w:p>
        </w:tc>
        <w:tc>
          <w:tcPr>
            <w:tcW w:w="275" w:type="pct"/>
            <w:tcBorders>
              <w:top w:val="nil"/>
              <w:bottom w:val="nil"/>
            </w:tcBorders>
            <w:shd w:val="clear" w:color="000000" w:fill="FFFFFF"/>
            <w:noWrap/>
            <w:vAlign w:val="center"/>
            <w:hideMark/>
          </w:tcPr>
          <w:p w14:paraId="68A9C3EA"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5E0EDDAD" w14:textId="77777777" w:rsidTr="00CC7BC7">
        <w:trPr>
          <w:trHeight w:val="375"/>
        </w:trPr>
        <w:tc>
          <w:tcPr>
            <w:tcW w:w="1266" w:type="pct"/>
            <w:tcBorders>
              <w:top w:val="nil"/>
              <w:bottom w:val="nil"/>
            </w:tcBorders>
            <w:shd w:val="clear" w:color="000000" w:fill="FFFFFF"/>
            <w:noWrap/>
            <w:vAlign w:val="center"/>
            <w:hideMark/>
          </w:tcPr>
          <w:p w14:paraId="1B978535" w14:textId="77777777" w:rsidR="00D706B9" w:rsidRPr="00AA6F75" w:rsidRDefault="00D706B9" w:rsidP="002439C8">
            <w:pPr>
              <w:jc w:val="left"/>
              <w:rPr>
                <w:rFonts w:asciiTheme="minorHAnsi" w:eastAsia="Times New Roman" w:hAnsiTheme="minorHAnsi" w:cstheme="minorHAnsi"/>
                <w:color w:val="C00000"/>
                <w:sz w:val="20"/>
                <w:szCs w:val="20"/>
                <w:lang w:val="en-AU" w:eastAsia="en-AU" w:bidi="ar-SA"/>
              </w:rPr>
            </w:pPr>
            <w:r w:rsidRPr="00AA6F75">
              <w:rPr>
                <w:rFonts w:asciiTheme="minorHAnsi" w:eastAsia="Times New Roman" w:hAnsiTheme="minorHAnsi" w:cstheme="minorHAnsi"/>
                <w:color w:val="C00000"/>
                <w:sz w:val="20"/>
                <w:szCs w:val="20"/>
                <w:lang w:val="en-AU" w:eastAsia="en-AU" w:bidi="ar-SA"/>
              </w:rPr>
              <w:t>Propazine</w:t>
            </w:r>
          </w:p>
        </w:tc>
        <w:tc>
          <w:tcPr>
            <w:tcW w:w="2111" w:type="pct"/>
            <w:tcBorders>
              <w:top w:val="nil"/>
              <w:bottom w:val="nil"/>
            </w:tcBorders>
            <w:shd w:val="clear" w:color="auto" w:fill="auto"/>
            <w:vAlign w:val="center"/>
            <w:hideMark/>
          </w:tcPr>
          <w:p w14:paraId="1EDE0A1D"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w:t>
            </w:r>
            <w:r w:rsidR="00780FEA" w:rsidRPr="00AA6F75">
              <w:rPr>
                <w:rFonts w:asciiTheme="minorHAnsi" w:eastAsia="Times New Roman" w:hAnsiTheme="minorHAnsi" w:cs="Calibri"/>
                <w:color w:val="000000"/>
                <w:sz w:val="20"/>
                <w:szCs w:val="20"/>
                <w:lang w:val="en-AU" w:eastAsia="en-AU" w:bidi="ar-SA"/>
              </w:rPr>
              <w:t xml:space="preserve"> – </w:t>
            </w:r>
            <w:r w:rsidRPr="00AA6F75">
              <w:rPr>
                <w:rFonts w:asciiTheme="minorHAnsi" w:eastAsia="Times New Roman" w:hAnsiTheme="minorHAnsi" w:cs="Calibri"/>
                <w:color w:val="000000"/>
                <w:sz w:val="20"/>
                <w:szCs w:val="20"/>
                <w:lang w:val="en-AU" w:eastAsia="en-AU" w:bidi="ar-SA"/>
              </w:rPr>
              <w:t>chlorotriazine</w:t>
            </w:r>
          </w:p>
        </w:tc>
        <w:tc>
          <w:tcPr>
            <w:tcW w:w="653" w:type="pct"/>
            <w:tcBorders>
              <w:top w:val="nil"/>
              <w:bottom w:val="nil"/>
            </w:tcBorders>
            <w:vAlign w:val="center"/>
          </w:tcPr>
          <w:p w14:paraId="4736B56E"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18DB0DF6" w14:textId="77777777" w:rsidR="00D706B9" w:rsidRPr="00AA6F75" w:rsidRDefault="00D706B9" w:rsidP="002439C8">
            <w:pPr>
              <w:jc w:val="left"/>
              <w:rPr>
                <w:rFonts w:asciiTheme="minorHAnsi" w:eastAsia="Times New Roman" w:hAnsiTheme="minorHAnsi" w:cs="Calibri"/>
                <w:color w:val="000000"/>
                <w:sz w:val="20"/>
                <w:szCs w:val="20"/>
                <w:highlight w:val="yellow"/>
                <w:lang w:val="en-AU" w:eastAsia="en-AU" w:bidi="ar-SA"/>
              </w:rPr>
            </w:pPr>
            <w:r w:rsidRPr="00AA6F75">
              <w:rPr>
                <w:rFonts w:asciiTheme="minorHAnsi" w:eastAsia="Times New Roman" w:hAnsiTheme="minorHAnsi" w:cs="Calibri"/>
                <w:color w:val="000000"/>
                <w:sz w:val="20"/>
                <w:szCs w:val="20"/>
                <w:lang w:val="en-AU" w:eastAsia="en-AU" w:bidi="ar-SA"/>
              </w:rPr>
              <w:t>0.06</w:t>
            </w:r>
          </w:p>
        </w:tc>
        <w:tc>
          <w:tcPr>
            <w:tcW w:w="324" w:type="pct"/>
            <w:gridSpan w:val="2"/>
            <w:tcBorders>
              <w:top w:val="nil"/>
              <w:bottom w:val="nil"/>
            </w:tcBorders>
            <w:shd w:val="clear" w:color="auto" w:fill="auto"/>
            <w:noWrap/>
            <w:vAlign w:val="center"/>
          </w:tcPr>
          <w:p w14:paraId="26B35768"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0.18</w:t>
            </w:r>
          </w:p>
        </w:tc>
        <w:tc>
          <w:tcPr>
            <w:tcW w:w="275" w:type="pct"/>
            <w:tcBorders>
              <w:top w:val="nil"/>
              <w:bottom w:val="nil"/>
            </w:tcBorders>
            <w:shd w:val="clear" w:color="000000" w:fill="FFFFFF"/>
            <w:noWrap/>
            <w:vAlign w:val="center"/>
            <w:hideMark/>
          </w:tcPr>
          <w:p w14:paraId="492CFDBB"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0B7D857A" w14:textId="77777777" w:rsidTr="00CC7BC7">
        <w:trPr>
          <w:trHeight w:val="375"/>
        </w:trPr>
        <w:tc>
          <w:tcPr>
            <w:tcW w:w="1266" w:type="pct"/>
            <w:tcBorders>
              <w:top w:val="nil"/>
              <w:bottom w:val="nil"/>
            </w:tcBorders>
            <w:shd w:val="clear" w:color="000000" w:fill="FFFFFF"/>
            <w:noWrap/>
            <w:vAlign w:val="center"/>
            <w:hideMark/>
          </w:tcPr>
          <w:p w14:paraId="7B5B2184" w14:textId="77777777" w:rsidR="00D706B9" w:rsidRPr="00AA6F75" w:rsidRDefault="00D706B9" w:rsidP="002439C8">
            <w:pPr>
              <w:jc w:val="left"/>
              <w:rPr>
                <w:rFonts w:asciiTheme="minorHAnsi" w:eastAsia="Times New Roman" w:hAnsiTheme="minorHAnsi" w:cstheme="minorHAnsi"/>
                <w:color w:val="C00000"/>
                <w:sz w:val="20"/>
                <w:szCs w:val="20"/>
                <w:lang w:val="en-AU" w:eastAsia="en-AU" w:bidi="ar-SA"/>
              </w:rPr>
            </w:pPr>
            <w:r w:rsidRPr="00AA6F75">
              <w:rPr>
                <w:rFonts w:asciiTheme="minorHAnsi" w:eastAsia="Times New Roman" w:hAnsiTheme="minorHAnsi" w:cstheme="minorHAnsi"/>
                <w:sz w:val="20"/>
                <w:szCs w:val="20"/>
                <w:lang w:val="en-AU" w:eastAsia="en-AU" w:bidi="ar-SA"/>
              </w:rPr>
              <w:t>Propiconazole*</w:t>
            </w:r>
          </w:p>
        </w:tc>
        <w:tc>
          <w:tcPr>
            <w:tcW w:w="2111" w:type="pct"/>
            <w:tcBorders>
              <w:top w:val="nil"/>
              <w:bottom w:val="nil"/>
            </w:tcBorders>
            <w:shd w:val="clear" w:color="auto" w:fill="auto"/>
            <w:vAlign w:val="center"/>
            <w:hideMark/>
          </w:tcPr>
          <w:p w14:paraId="7221C5D4"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Conazole fungicide</w:t>
            </w:r>
          </w:p>
        </w:tc>
        <w:tc>
          <w:tcPr>
            <w:tcW w:w="653" w:type="pct"/>
            <w:tcBorders>
              <w:top w:val="nil"/>
              <w:bottom w:val="nil"/>
            </w:tcBorders>
            <w:vAlign w:val="center"/>
          </w:tcPr>
          <w:p w14:paraId="14AF400B" w14:textId="77777777" w:rsidR="00D706B9" w:rsidRPr="00AA6F75" w:rsidRDefault="00D706B9" w:rsidP="002439C8">
            <w:pPr>
              <w:jc w:val="left"/>
              <w:rPr>
                <w:rFonts w:asciiTheme="minorHAnsi" w:eastAsia="Times New Roman" w:hAnsiTheme="minorHAnsi" w:cs="Calibri"/>
                <w:color w:val="000000"/>
                <w:sz w:val="20"/>
                <w:szCs w:val="20"/>
                <w:highlight w:val="yellow"/>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22389A60" w14:textId="77777777" w:rsidR="00D706B9" w:rsidRPr="00AA6F75" w:rsidRDefault="00D706B9" w:rsidP="002439C8">
            <w:pPr>
              <w:jc w:val="left"/>
              <w:rPr>
                <w:rFonts w:asciiTheme="minorHAnsi" w:eastAsia="Times New Roman" w:hAnsiTheme="minorHAnsi" w:cs="Calibri"/>
                <w:color w:val="000000"/>
                <w:sz w:val="20"/>
                <w:szCs w:val="20"/>
                <w:highlight w:val="yellow"/>
                <w:lang w:val="en-AU" w:eastAsia="en-AU" w:bidi="ar-SA"/>
              </w:rPr>
            </w:pPr>
          </w:p>
        </w:tc>
        <w:tc>
          <w:tcPr>
            <w:tcW w:w="324" w:type="pct"/>
            <w:gridSpan w:val="2"/>
            <w:tcBorders>
              <w:top w:val="nil"/>
              <w:bottom w:val="nil"/>
            </w:tcBorders>
            <w:shd w:val="clear" w:color="auto" w:fill="auto"/>
            <w:noWrap/>
            <w:vAlign w:val="center"/>
          </w:tcPr>
          <w:p w14:paraId="70870713" w14:textId="77777777" w:rsidR="00D706B9" w:rsidRPr="00AA6F75" w:rsidRDefault="00D706B9" w:rsidP="002439C8">
            <w:pPr>
              <w:jc w:val="left"/>
              <w:rPr>
                <w:rFonts w:asciiTheme="minorHAnsi" w:eastAsia="Times New Roman" w:hAnsiTheme="minorHAnsi" w:cs="Calibri"/>
                <w:color w:val="000000"/>
                <w:sz w:val="20"/>
                <w:szCs w:val="20"/>
                <w:highlight w:val="yellow"/>
                <w:lang w:val="en-AU" w:eastAsia="en-AU" w:bidi="ar-SA"/>
              </w:rPr>
            </w:pPr>
          </w:p>
        </w:tc>
        <w:tc>
          <w:tcPr>
            <w:tcW w:w="275" w:type="pct"/>
            <w:tcBorders>
              <w:top w:val="nil"/>
              <w:bottom w:val="nil"/>
            </w:tcBorders>
            <w:shd w:val="clear" w:color="000000" w:fill="FFFFFF"/>
            <w:noWrap/>
            <w:vAlign w:val="center"/>
            <w:hideMark/>
          </w:tcPr>
          <w:p w14:paraId="07275892" w14:textId="77777777" w:rsidR="00D706B9" w:rsidRPr="00AA6F75" w:rsidRDefault="00703101"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2.0</w:t>
            </w:r>
          </w:p>
        </w:tc>
      </w:tr>
      <w:tr w:rsidR="006C730C" w:rsidRPr="00AA6F75" w14:paraId="54B6FBC2" w14:textId="77777777" w:rsidTr="00CC7BC7">
        <w:trPr>
          <w:trHeight w:val="375"/>
        </w:trPr>
        <w:tc>
          <w:tcPr>
            <w:tcW w:w="1266" w:type="pct"/>
            <w:tcBorders>
              <w:top w:val="nil"/>
              <w:bottom w:val="nil"/>
            </w:tcBorders>
            <w:shd w:val="clear" w:color="000000" w:fill="FFFFFF"/>
            <w:noWrap/>
            <w:vAlign w:val="center"/>
          </w:tcPr>
          <w:p w14:paraId="697641C8" w14:textId="77777777" w:rsidR="006C730C" w:rsidRPr="00AA6F75" w:rsidRDefault="006C730C"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Prothiophos*</w:t>
            </w:r>
          </w:p>
        </w:tc>
        <w:tc>
          <w:tcPr>
            <w:tcW w:w="2111" w:type="pct"/>
            <w:tcBorders>
              <w:top w:val="nil"/>
              <w:bottom w:val="nil"/>
            </w:tcBorders>
            <w:shd w:val="clear" w:color="auto" w:fill="auto"/>
            <w:vAlign w:val="center"/>
          </w:tcPr>
          <w:p w14:paraId="78C672CA"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I</w:t>
            </w:r>
            <w:r w:rsidR="00780FEA" w:rsidRPr="00AA6F75">
              <w:rPr>
                <w:rFonts w:asciiTheme="minorHAnsi" w:eastAsia="Times New Roman" w:hAnsiTheme="minorHAnsi" w:cstheme="minorHAnsi"/>
                <w:color w:val="000000"/>
                <w:sz w:val="20"/>
                <w:szCs w:val="20"/>
                <w:lang w:val="en-AU" w:eastAsia="en-AU" w:bidi="ar-SA"/>
              </w:rPr>
              <w:t>nsecticide: i</w:t>
            </w:r>
            <w:r w:rsidRPr="00AA6F75">
              <w:rPr>
                <w:rFonts w:asciiTheme="minorHAnsi" w:eastAsia="Times New Roman" w:hAnsiTheme="minorHAnsi" w:cstheme="minorHAnsi"/>
                <w:color w:val="000000"/>
                <w:sz w:val="20"/>
                <w:szCs w:val="20"/>
                <w:lang w:val="en-AU" w:eastAsia="en-AU" w:bidi="ar-SA"/>
              </w:rPr>
              <w:t>nhibits acetylcholinesterase</w:t>
            </w:r>
          </w:p>
        </w:tc>
        <w:tc>
          <w:tcPr>
            <w:tcW w:w="653" w:type="pct"/>
            <w:tcBorders>
              <w:top w:val="nil"/>
              <w:bottom w:val="nil"/>
            </w:tcBorders>
            <w:vAlign w:val="center"/>
          </w:tcPr>
          <w:p w14:paraId="702EA71E"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Of interest</w:t>
            </w:r>
          </w:p>
        </w:tc>
        <w:tc>
          <w:tcPr>
            <w:tcW w:w="372" w:type="pct"/>
            <w:gridSpan w:val="2"/>
            <w:tcBorders>
              <w:top w:val="nil"/>
              <w:bottom w:val="nil"/>
            </w:tcBorders>
            <w:shd w:val="clear" w:color="auto" w:fill="auto"/>
            <w:noWrap/>
            <w:vAlign w:val="center"/>
          </w:tcPr>
          <w:p w14:paraId="48CE0DED"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bottom w:val="nil"/>
            </w:tcBorders>
            <w:shd w:val="clear" w:color="auto" w:fill="auto"/>
            <w:noWrap/>
            <w:vAlign w:val="center"/>
          </w:tcPr>
          <w:p w14:paraId="23F929D2"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bottom w:val="nil"/>
            </w:tcBorders>
            <w:shd w:val="clear" w:color="000000" w:fill="FFFFFF"/>
            <w:noWrap/>
            <w:vAlign w:val="center"/>
          </w:tcPr>
          <w:p w14:paraId="28C62645"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D706B9" w:rsidRPr="00AA6F75" w14:paraId="110A4FBF" w14:textId="77777777" w:rsidTr="00CC7BC7">
        <w:trPr>
          <w:trHeight w:val="375"/>
        </w:trPr>
        <w:tc>
          <w:tcPr>
            <w:tcW w:w="1266" w:type="pct"/>
            <w:tcBorders>
              <w:top w:val="nil"/>
              <w:bottom w:val="nil"/>
            </w:tcBorders>
            <w:shd w:val="clear" w:color="auto" w:fill="DBE5F1" w:themeFill="accent1" w:themeFillTint="33"/>
            <w:noWrap/>
            <w:vAlign w:val="center"/>
            <w:hideMark/>
          </w:tcPr>
          <w:p w14:paraId="0AE52163"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Simazine</w:t>
            </w:r>
          </w:p>
        </w:tc>
        <w:tc>
          <w:tcPr>
            <w:tcW w:w="2111" w:type="pct"/>
            <w:tcBorders>
              <w:top w:val="nil"/>
              <w:bottom w:val="nil"/>
            </w:tcBorders>
            <w:shd w:val="clear" w:color="auto" w:fill="auto"/>
            <w:vAlign w:val="center"/>
            <w:hideMark/>
          </w:tcPr>
          <w:p w14:paraId="133E99A0"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w:t>
            </w:r>
            <w:r w:rsidR="00780FEA" w:rsidRPr="00AA6F75">
              <w:rPr>
                <w:rFonts w:asciiTheme="minorHAnsi" w:eastAsia="Times New Roman" w:hAnsiTheme="minorHAnsi" w:cs="Calibri"/>
                <w:color w:val="000000"/>
                <w:sz w:val="20"/>
                <w:szCs w:val="20"/>
                <w:lang w:val="en-AU" w:eastAsia="en-AU" w:bidi="ar-SA"/>
              </w:rPr>
              <w:t xml:space="preserve"> – </w:t>
            </w:r>
            <w:r w:rsidRPr="00AA6F75">
              <w:rPr>
                <w:rFonts w:asciiTheme="minorHAnsi" w:eastAsia="Times New Roman" w:hAnsiTheme="minorHAnsi" w:cs="Calibri"/>
                <w:color w:val="000000"/>
                <w:sz w:val="20"/>
                <w:szCs w:val="20"/>
                <w:lang w:val="en-AU" w:eastAsia="en-AU" w:bidi="ar-SA"/>
              </w:rPr>
              <w:t>chlorotriazine</w:t>
            </w:r>
          </w:p>
        </w:tc>
        <w:tc>
          <w:tcPr>
            <w:tcW w:w="653" w:type="pct"/>
            <w:tcBorders>
              <w:top w:val="nil"/>
              <w:bottom w:val="nil"/>
            </w:tcBorders>
            <w:vAlign w:val="center"/>
          </w:tcPr>
          <w:p w14:paraId="63984D9D"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64E66C9B"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0.08</w:t>
            </w:r>
          </w:p>
        </w:tc>
        <w:tc>
          <w:tcPr>
            <w:tcW w:w="324" w:type="pct"/>
            <w:gridSpan w:val="2"/>
            <w:tcBorders>
              <w:top w:val="nil"/>
              <w:bottom w:val="nil"/>
            </w:tcBorders>
            <w:shd w:val="clear" w:color="auto" w:fill="auto"/>
            <w:noWrap/>
            <w:vAlign w:val="center"/>
            <w:hideMark/>
          </w:tcPr>
          <w:p w14:paraId="76E157B6"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0.24</w:t>
            </w:r>
          </w:p>
        </w:tc>
        <w:tc>
          <w:tcPr>
            <w:tcW w:w="275" w:type="pct"/>
            <w:tcBorders>
              <w:top w:val="nil"/>
              <w:bottom w:val="nil"/>
            </w:tcBorders>
            <w:shd w:val="clear" w:color="000000" w:fill="FFFFFF"/>
            <w:noWrap/>
            <w:vAlign w:val="center"/>
            <w:hideMark/>
          </w:tcPr>
          <w:p w14:paraId="3DEEE66A"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76A2602B" w14:textId="77777777" w:rsidTr="00CC7BC7">
        <w:trPr>
          <w:trHeight w:val="375"/>
        </w:trPr>
        <w:tc>
          <w:tcPr>
            <w:tcW w:w="1266" w:type="pct"/>
            <w:tcBorders>
              <w:top w:val="nil"/>
              <w:bottom w:val="nil"/>
            </w:tcBorders>
            <w:shd w:val="clear" w:color="000000" w:fill="FFFFFF"/>
            <w:noWrap/>
            <w:vAlign w:val="center"/>
            <w:hideMark/>
          </w:tcPr>
          <w:p w14:paraId="53A200B1" w14:textId="77777777" w:rsidR="00D706B9" w:rsidRPr="00AA6F75" w:rsidRDefault="00D706B9" w:rsidP="002439C8">
            <w:pPr>
              <w:jc w:val="left"/>
              <w:rPr>
                <w:rFonts w:asciiTheme="minorHAnsi" w:eastAsia="Times New Roman" w:hAnsiTheme="minorHAnsi" w:cstheme="minorHAnsi"/>
                <w:color w:val="C0504D"/>
                <w:sz w:val="20"/>
                <w:szCs w:val="20"/>
                <w:lang w:val="en-AU" w:eastAsia="en-AU" w:bidi="ar-SA"/>
              </w:rPr>
            </w:pPr>
            <w:r w:rsidRPr="00AA6F75">
              <w:rPr>
                <w:rFonts w:asciiTheme="minorHAnsi" w:eastAsia="Times New Roman" w:hAnsiTheme="minorHAnsi" w:cstheme="minorHAnsi"/>
                <w:color w:val="C00000"/>
                <w:sz w:val="20"/>
                <w:szCs w:val="20"/>
                <w:lang w:val="en-AU" w:eastAsia="en-AU" w:bidi="ar-SA"/>
              </w:rPr>
              <w:t>Tebuconazole</w:t>
            </w:r>
          </w:p>
        </w:tc>
        <w:tc>
          <w:tcPr>
            <w:tcW w:w="2111" w:type="pct"/>
            <w:tcBorders>
              <w:top w:val="nil"/>
              <w:bottom w:val="nil"/>
            </w:tcBorders>
            <w:shd w:val="clear" w:color="auto" w:fill="auto"/>
            <w:vAlign w:val="center"/>
            <w:hideMark/>
          </w:tcPr>
          <w:p w14:paraId="090169E2"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Conazole fungicide</w:t>
            </w:r>
          </w:p>
        </w:tc>
        <w:tc>
          <w:tcPr>
            <w:tcW w:w="653" w:type="pct"/>
            <w:tcBorders>
              <w:top w:val="nil"/>
              <w:bottom w:val="nil"/>
            </w:tcBorders>
            <w:vAlign w:val="center"/>
          </w:tcPr>
          <w:p w14:paraId="1647C5F1"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5A8162ED"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324" w:type="pct"/>
            <w:gridSpan w:val="2"/>
            <w:tcBorders>
              <w:top w:val="nil"/>
              <w:bottom w:val="nil"/>
            </w:tcBorders>
            <w:shd w:val="clear" w:color="auto" w:fill="auto"/>
            <w:noWrap/>
            <w:vAlign w:val="center"/>
            <w:hideMark/>
          </w:tcPr>
          <w:p w14:paraId="30BCF6AA"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0.31</w:t>
            </w:r>
          </w:p>
        </w:tc>
        <w:tc>
          <w:tcPr>
            <w:tcW w:w="275" w:type="pct"/>
            <w:tcBorders>
              <w:top w:val="nil"/>
              <w:bottom w:val="nil"/>
            </w:tcBorders>
            <w:shd w:val="clear" w:color="000000" w:fill="FFFFFF"/>
            <w:noWrap/>
            <w:vAlign w:val="center"/>
            <w:hideMark/>
          </w:tcPr>
          <w:p w14:paraId="5C4FA60E"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26503418" w14:textId="77777777" w:rsidTr="00CC7BC7">
        <w:trPr>
          <w:trHeight w:val="375"/>
        </w:trPr>
        <w:tc>
          <w:tcPr>
            <w:tcW w:w="1266" w:type="pct"/>
            <w:tcBorders>
              <w:top w:val="nil"/>
              <w:bottom w:val="nil"/>
            </w:tcBorders>
            <w:shd w:val="clear" w:color="auto" w:fill="DBE5F1" w:themeFill="accent1" w:themeFillTint="33"/>
            <w:noWrap/>
            <w:vAlign w:val="center"/>
            <w:hideMark/>
          </w:tcPr>
          <w:p w14:paraId="4E503FD7"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Tebuthiuron</w:t>
            </w:r>
          </w:p>
        </w:tc>
        <w:tc>
          <w:tcPr>
            <w:tcW w:w="2111" w:type="pct"/>
            <w:tcBorders>
              <w:top w:val="nil"/>
              <w:bottom w:val="nil"/>
            </w:tcBorders>
            <w:shd w:val="clear" w:color="auto" w:fill="auto"/>
            <w:vAlign w:val="center"/>
            <w:hideMark/>
          </w:tcPr>
          <w:p w14:paraId="77ADFC6F"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w:t>
            </w:r>
            <w:r w:rsidR="005B06AA" w:rsidRPr="00AA6F75">
              <w:rPr>
                <w:rFonts w:asciiTheme="minorHAnsi" w:eastAsia="Times New Roman" w:hAnsiTheme="minorHAnsi" w:cs="Calibri"/>
                <w:color w:val="000000"/>
                <w:sz w:val="20"/>
                <w:szCs w:val="20"/>
                <w:lang w:val="en-AU" w:eastAsia="en-AU" w:bidi="ar-SA"/>
              </w:rPr>
              <w:t xml:space="preserve"> – </w:t>
            </w:r>
            <w:r w:rsidRPr="00AA6F75">
              <w:rPr>
                <w:rFonts w:asciiTheme="minorHAnsi" w:eastAsia="Times New Roman" w:hAnsiTheme="minorHAnsi" w:cs="Calibri"/>
                <w:color w:val="000000"/>
                <w:sz w:val="20"/>
                <w:szCs w:val="20"/>
                <w:lang w:val="en-AU" w:eastAsia="en-AU" w:bidi="ar-SA"/>
              </w:rPr>
              <w:t>thiadazolurea</w:t>
            </w:r>
          </w:p>
        </w:tc>
        <w:tc>
          <w:tcPr>
            <w:tcW w:w="653" w:type="pct"/>
            <w:tcBorders>
              <w:top w:val="nil"/>
              <w:bottom w:val="nil"/>
            </w:tcBorders>
            <w:vAlign w:val="center"/>
          </w:tcPr>
          <w:p w14:paraId="68BA2CA7"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hideMark/>
          </w:tcPr>
          <w:p w14:paraId="494FE619"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0.01</w:t>
            </w:r>
          </w:p>
        </w:tc>
        <w:tc>
          <w:tcPr>
            <w:tcW w:w="324" w:type="pct"/>
            <w:gridSpan w:val="2"/>
            <w:tcBorders>
              <w:top w:val="nil"/>
              <w:bottom w:val="nil"/>
            </w:tcBorders>
            <w:shd w:val="clear" w:color="auto" w:fill="auto"/>
            <w:noWrap/>
            <w:vAlign w:val="center"/>
            <w:hideMark/>
          </w:tcPr>
          <w:p w14:paraId="193B2859"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0.10</w:t>
            </w:r>
          </w:p>
        </w:tc>
        <w:tc>
          <w:tcPr>
            <w:tcW w:w="275" w:type="pct"/>
            <w:tcBorders>
              <w:top w:val="nil"/>
              <w:bottom w:val="nil"/>
            </w:tcBorders>
            <w:shd w:val="clear" w:color="000000" w:fill="FFFFFF"/>
            <w:noWrap/>
            <w:vAlign w:val="center"/>
            <w:hideMark/>
          </w:tcPr>
          <w:p w14:paraId="0D879AF4"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D706B9" w:rsidRPr="00AA6F75" w14:paraId="421EA1E2" w14:textId="77777777" w:rsidTr="00CC7BC7">
        <w:trPr>
          <w:trHeight w:val="375"/>
        </w:trPr>
        <w:tc>
          <w:tcPr>
            <w:tcW w:w="1266" w:type="pct"/>
            <w:tcBorders>
              <w:top w:val="nil"/>
              <w:bottom w:val="nil"/>
            </w:tcBorders>
            <w:shd w:val="clear" w:color="auto" w:fill="DBE5F1" w:themeFill="accent1" w:themeFillTint="33"/>
            <w:noWrap/>
            <w:vAlign w:val="center"/>
            <w:hideMark/>
          </w:tcPr>
          <w:p w14:paraId="6DEB520F"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Terbuthylazine*</w:t>
            </w:r>
          </w:p>
        </w:tc>
        <w:tc>
          <w:tcPr>
            <w:tcW w:w="2111" w:type="pct"/>
            <w:tcBorders>
              <w:top w:val="nil"/>
              <w:bottom w:val="nil"/>
            </w:tcBorders>
            <w:shd w:val="clear" w:color="auto" w:fill="auto"/>
            <w:noWrap/>
            <w:vAlign w:val="center"/>
            <w:hideMark/>
          </w:tcPr>
          <w:p w14:paraId="77B80561"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PSII herbicide – triazine</w:t>
            </w:r>
          </w:p>
        </w:tc>
        <w:tc>
          <w:tcPr>
            <w:tcW w:w="653" w:type="pct"/>
            <w:tcBorders>
              <w:top w:val="nil"/>
              <w:bottom w:val="nil"/>
            </w:tcBorders>
            <w:vAlign w:val="center"/>
          </w:tcPr>
          <w:p w14:paraId="69B344DC" w14:textId="77777777" w:rsidR="00D706B9" w:rsidRPr="00AA6F75" w:rsidRDefault="00D706B9" w:rsidP="002439C8">
            <w:pPr>
              <w:jc w:val="left"/>
              <w:rPr>
                <w:rFonts w:asciiTheme="minorHAnsi" w:eastAsia="Times New Roman" w:hAnsiTheme="minorHAnsi" w:cs="Calibri"/>
                <w:color w:val="000000"/>
                <w:sz w:val="20"/>
                <w:szCs w:val="20"/>
                <w:highlight w:val="yellow"/>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tcPr>
          <w:p w14:paraId="1D65980C" w14:textId="77777777" w:rsidR="00D706B9" w:rsidRPr="00AA6F75" w:rsidRDefault="00D706B9" w:rsidP="002439C8">
            <w:pPr>
              <w:jc w:val="left"/>
              <w:rPr>
                <w:rFonts w:asciiTheme="minorHAnsi" w:eastAsia="Times New Roman" w:hAnsiTheme="minorHAnsi" w:cs="Calibri"/>
                <w:color w:val="000000"/>
                <w:sz w:val="20"/>
                <w:szCs w:val="20"/>
                <w:highlight w:val="yellow"/>
                <w:lang w:val="en-AU" w:eastAsia="en-AU" w:bidi="ar-SA"/>
              </w:rPr>
            </w:pPr>
          </w:p>
        </w:tc>
        <w:tc>
          <w:tcPr>
            <w:tcW w:w="324" w:type="pct"/>
            <w:gridSpan w:val="2"/>
            <w:tcBorders>
              <w:top w:val="nil"/>
              <w:bottom w:val="nil"/>
            </w:tcBorders>
            <w:shd w:val="clear" w:color="auto" w:fill="auto"/>
            <w:noWrap/>
            <w:vAlign w:val="center"/>
          </w:tcPr>
          <w:p w14:paraId="5D86BBF4" w14:textId="77777777" w:rsidR="00D706B9" w:rsidRPr="00AA6F75" w:rsidRDefault="00D706B9" w:rsidP="002439C8">
            <w:pPr>
              <w:jc w:val="left"/>
              <w:rPr>
                <w:rFonts w:asciiTheme="minorHAnsi" w:eastAsia="Times New Roman" w:hAnsiTheme="minorHAnsi" w:cs="Calibri"/>
                <w:color w:val="000000"/>
                <w:sz w:val="20"/>
                <w:szCs w:val="20"/>
                <w:highlight w:val="yellow"/>
                <w:lang w:val="en-AU" w:eastAsia="en-AU" w:bidi="ar-SA"/>
              </w:rPr>
            </w:pPr>
          </w:p>
        </w:tc>
        <w:tc>
          <w:tcPr>
            <w:tcW w:w="275" w:type="pct"/>
            <w:tcBorders>
              <w:top w:val="nil"/>
              <w:bottom w:val="nil"/>
            </w:tcBorders>
            <w:shd w:val="clear" w:color="000000" w:fill="FFFFFF"/>
            <w:noWrap/>
            <w:vAlign w:val="center"/>
            <w:hideMark/>
          </w:tcPr>
          <w:p w14:paraId="14E5774E" w14:textId="77777777" w:rsidR="00D706B9" w:rsidRPr="00AA6F75" w:rsidRDefault="00D706B9" w:rsidP="002439C8">
            <w:pPr>
              <w:jc w:val="left"/>
              <w:rPr>
                <w:rFonts w:asciiTheme="minorHAnsi" w:eastAsia="Times New Roman" w:hAnsiTheme="minorHAnsi" w:cs="Calibri"/>
                <w:color w:val="000000"/>
                <w:sz w:val="20"/>
                <w:szCs w:val="20"/>
                <w:highlight w:val="yellow"/>
                <w:lang w:val="en-AU" w:eastAsia="en-AU" w:bidi="ar-SA"/>
              </w:rPr>
            </w:pPr>
          </w:p>
        </w:tc>
      </w:tr>
      <w:tr w:rsidR="006C730C" w:rsidRPr="00AA6F75" w14:paraId="76F81650" w14:textId="77777777" w:rsidTr="00CC7BC7">
        <w:trPr>
          <w:trHeight w:val="375"/>
        </w:trPr>
        <w:tc>
          <w:tcPr>
            <w:tcW w:w="1266" w:type="pct"/>
            <w:tcBorders>
              <w:top w:val="nil"/>
              <w:bottom w:val="nil"/>
            </w:tcBorders>
            <w:shd w:val="clear" w:color="000000" w:fill="FFFFFF"/>
            <w:noWrap/>
            <w:vAlign w:val="center"/>
          </w:tcPr>
          <w:p w14:paraId="2C353DEF" w14:textId="77777777" w:rsidR="006C730C" w:rsidRPr="00AA6F75" w:rsidRDefault="006C730C"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Terbutryn</w:t>
            </w:r>
          </w:p>
        </w:tc>
        <w:tc>
          <w:tcPr>
            <w:tcW w:w="2111" w:type="pct"/>
            <w:tcBorders>
              <w:top w:val="nil"/>
              <w:bottom w:val="nil"/>
            </w:tcBorders>
            <w:shd w:val="clear" w:color="auto" w:fill="auto"/>
            <w:vAlign w:val="center"/>
          </w:tcPr>
          <w:p w14:paraId="1195C3B5"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PSII herbicide – triazine</w:t>
            </w:r>
          </w:p>
        </w:tc>
        <w:tc>
          <w:tcPr>
            <w:tcW w:w="653" w:type="pct"/>
            <w:tcBorders>
              <w:top w:val="nil"/>
              <w:bottom w:val="nil"/>
            </w:tcBorders>
            <w:vAlign w:val="center"/>
          </w:tcPr>
          <w:p w14:paraId="3981ADFA"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Of interest</w:t>
            </w:r>
          </w:p>
        </w:tc>
        <w:tc>
          <w:tcPr>
            <w:tcW w:w="372" w:type="pct"/>
            <w:gridSpan w:val="2"/>
            <w:tcBorders>
              <w:top w:val="nil"/>
              <w:bottom w:val="nil"/>
            </w:tcBorders>
            <w:shd w:val="clear" w:color="auto" w:fill="auto"/>
            <w:noWrap/>
            <w:vAlign w:val="center"/>
          </w:tcPr>
          <w:p w14:paraId="3EFC24A4"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0.55</w:t>
            </w:r>
          </w:p>
        </w:tc>
        <w:tc>
          <w:tcPr>
            <w:tcW w:w="324" w:type="pct"/>
            <w:gridSpan w:val="2"/>
            <w:tcBorders>
              <w:top w:val="nil"/>
              <w:bottom w:val="nil"/>
            </w:tcBorders>
            <w:shd w:val="clear" w:color="auto" w:fill="auto"/>
            <w:noWrap/>
            <w:vAlign w:val="center"/>
          </w:tcPr>
          <w:p w14:paraId="6A1672BB"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1.7</w:t>
            </w:r>
          </w:p>
        </w:tc>
        <w:tc>
          <w:tcPr>
            <w:tcW w:w="275" w:type="pct"/>
            <w:tcBorders>
              <w:top w:val="nil"/>
              <w:bottom w:val="nil"/>
            </w:tcBorders>
            <w:shd w:val="clear" w:color="000000" w:fill="FFFFFF"/>
            <w:noWrap/>
            <w:vAlign w:val="center"/>
          </w:tcPr>
          <w:p w14:paraId="7A3C50E3"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D706B9" w:rsidRPr="00AA6F75" w14:paraId="19FE83CE" w14:textId="77777777" w:rsidTr="00CC7BC7">
        <w:trPr>
          <w:trHeight w:val="375"/>
        </w:trPr>
        <w:tc>
          <w:tcPr>
            <w:tcW w:w="1266" w:type="pct"/>
            <w:tcBorders>
              <w:top w:val="nil"/>
              <w:bottom w:val="nil"/>
            </w:tcBorders>
            <w:shd w:val="clear" w:color="000000" w:fill="FFFFFF"/>
            <w:noWrap/>
            <w:vAlign w:val="center"/>
            <w:hideMark/>
          </w:tcPr>
          <w:p w14:paraId="267CF306"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Triclopyr*</w:t>
            </w:r>
          </w:p>
        </w:tc>
        <w:tc>
          <w:tcPr>
            <w:tcW w:w="2111" w:type="pct"/>
            <w:tcBorders>
              <w:top w:val="nil"/>
              <w:bottom w:val="nil"/>
            </w:tcBorders>
            <w:shd w:val="clear" w:color="auto" w:fill="auto"/>
            <w:noWrap/>
            <w:vAlign w:val="center"/>
            <w:hideMark/>
          </w:tcPr>
          <w:p w14:paraId="2283FFAE"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Pyridine carboxylic acid herbicide</w:t>
            </w:r>
          </w:p>
        </w:tc>
        <w:tc>
          <w:tcPr>
            <w:tcW w:w="653" w:type="pct"/>
            <w:tcBorders>
              <w:top w:val="nil"/>
              <w:bottom w:val="nil"/>
            </w:tcBorders>
            <w:vAlign w:val="center"/>
          </w:tcPr>
          <w:p w14:paraId="3CF4692A"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nil"/>
            </w:tcBorders>
            <w:shd w:val="clear" w:color="auto" w:fill="auto"/>
            <w:noWrap/>
            <w:vAlign w:val="center"/>
          </w:tcPr>
          <w:p w14:paraId="07733785"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bottom w:val="nil"/>
            </w:tcBorders>
            <w:shd w:val="clear" w:color="auto" w:fill="auto"/>
            <w:noWrap/>
            <w:vAlign w:val="center"/>
          </w:tcPr>
          <w:p w14:paraId="6A2592D3"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bottom w:val="nil"/>
            </w:tcBorders>
            <w:shd w:val="clear" w:color="000000" w:fill="FFFFFF"/>
            <w:noWrap/>
            <w:vAlign w:val="center"/>
            <w:hideMark/>
          </w:tcPr>
          <w:p w14:paraId="3E7E9A9E"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r>
      <w:tr w:rsidR="006C730C" w:rsidRPr="00AA6F75" w14:paraId="267179D7" w14:textId="77777777" w:rsidTr="00CC7BC7">
        <w:trPr>
          <w:trHeight w:val="375"/>
        </w:trPr>
        <w:tc>
          <w:tcPr>
            <w:tcW w:w="1266" w:type="pct"/>
            <w:tcBorders>
              <w:top w:val="nil"/>
              <w:bottom w:val="nil"/>
            </w:tcBorders>
            <w:shd w:val="clear" w:color="000000" w:fill="FFFFFF"/>
            <w:noWrap/>
            <w:vAlign w:val="center"/>
          </w:tcPr>
          <w:p w14:paraId="54133899" w14:textId="77777777" w:rsidR="006C730C" w:rsidRPr="00AA6F75" w:rsidRDefault="006C730C"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Trifloxysulfuron*</w:t>
            </w:r>
          </w:p>
        </w:tc>
        <w:tc>
          <w:tcPr>
            <w:tcW w:w="2111" w:type="pct"/>
            <w:tcBorders>
              <w:top w:val="nil"/>
              <w:bottom w:val="nil"/>
            </w:tcBorders>
            <w:shd w:val="clear" w:color="auto" w:fill="auto"/>
            <w:vAlign w:val="center"/>
          </w:tcPr>
          <w:p w14:paraId="006F195B" w14:textId="77777777" w:rsidR="006C730C" w:rsidRPr="00AA6F75" w:rsidRDefault="00780FEA"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Herbicide: i</w:t>
            </w:r>
            <w:r w:rsidR="006C730C" w:rsidRPr="00AA6F75">
              <w:rPr>
                <w:rFonts w:asciiTheme="minorHAnsi" w:eastAsia="Times New Roman" w:hAnsiTheme="minorHAnsi" w:cstheme="minorHAnsi"/>
                <w:color w:val="000000"/>
                <w:sz w:val="20"/>
                <w:szCs w:val="20"/>
                <w:lang w:val="en-AU" w:eastAsia="en-AU" w:bidi="ar-SA"/>
              </w:rPr>
              <w:t>nhibition of ALS – sulfonyl urea</w:t>
            </w:r>
          </w:p>
        </w:tc>
        <w:tc>
          <w:tcPr>
            <w:tcW w:w="653" w:type="pct"/>
            <w:tcBorders>
              <w:top w:val="nil"/>
              <w:bottom w:val="nil"/>
            </w:tcBorders>
            <w:vAlign w:val="center"/>
          </w:tcPr>
          <w:p w14:paraId="412C6E62"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Of interest</w:t>
            </w:r>
          </w:p>
        </w:tc>
        <w:tc>
          <w:tcPr>
            <w:tcW w:w="372" w:type="pct"/>
            <w:gridSpan w:val="2"/>
            <w:tcBorders>
              <w:top w:val="nil"/>
              <w:bottom w:val="nil"/>
            </w:tcBorders>
            <w:shd w:val="clear" w:color="auto" w:fill="auto"/>
            <w:noWrap/>
            <w:vAlign w:val="bottom"/>
          </w:tcPr>
          <w:p w14:paraId="60937387"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 </w:t>
            </w:r>
          </w:p>
        </w:tc>
        <w:tc>
          <w:tcPr>
            <w:tcW w:w="324" w:type="pct"/>
            <w:gridSpan w:val="2"/>
            <w:tcBorders>
              <w:top w:val="nil"/>
              <w:bottom w:val="nil"/>
            </w:tcBorders>
            <w:shd w:val="clear" w:color="auto" w:fill="auto"/>
            <w:noWrap/>
            <w:vAlign w:val="bottom"/>
          </w:tcPr>
          <w:p w14:paraId="13C3E3C1"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 </w:t>
            </w:r>
          </w:p>
        </w:tc>
        <w:tc>
          <w:tcPr>
            <w:tcW w:w="275" w:type="pct"/>
            <w:tcBorders>
              <w:top w:val="nil"/>
              <w:bottom w:val="nil"/>
            </w:tcBorders>
            <w:shd w:val="clear" w:color="000000" w:fill="FFFFFF"/>
            <w:noWrap/>
            <w:vAlign w:val="center"/>
          </w:tcPr>
          <w:p w14:paraId="5D051131" w14:textId="77777777" w:rsidR="006C730C" w:rsidRPr="00AA6F75" w:rsidRDefault="006C730C" w:rsidP="002439C8">
            <w:pPr>
              <w:jc w:val="left"/>
              <w:rPr>
                <w:rFonts w:asciiTheme="minorHAnsi" w:eastAsia="Times New Roman" w:hAnsiTheme="minorHAnsi" w:cs="Calibri"/>
                <w:color w:val="000000"/>
                <w:sz w:val="20"/>
                <w:szCs w:val="20"/>
                <w:lang w:val="en-AU" w:eastAsia="en-AU" w:bidi="ar-SA"/>
              </w:rPr>
            </w:pPr>
          </w:p>
        </w:tc>
      </w:tr>
      <w:tr w:rsidR="00D706B9" w:rsidRPr="00AA6F75" w14:paraId="02ABBFF3" w14:textId="77777777" w:rsidTr="00CC7BC7">
        <w:trPr>
          <w:trHeight w:val="375"/>
        </w:trPr>
        <w:tc>
          <w:tcPr>
            <w:tcW w:w="1266" w:type="pct"/>
            <w:tcBorders>
              <w:top w:val="nil"/>
              <w:bottom w:val="single" w:sz="4" w:space="0" w:color="auto"/>
            </w:tcBorders>
            <w:shd w:val="clear" w:color="000000" w:fill="FFFFFF"/>
            <w:noWrap/>
            <w:vAlign w:val="center"/>
            <w:hideMark/>
          </w:tcPr>
          <w:p w14:paraId="6A5BFC4D" w14:textId="77777777" w:rsidR="00D706B9" w:rsidRPr="00AA6F75" w:rsidRDefault="00D706B9" w:rsidP="002439C8">
            <w:pPr>
              <w:jc w:val="left"/>
              <w:rPr>
                <w:rFonts w:asciiTheme="minorHAnsi" w:eastAsia="Times New Roman" w:hAnsiTheme="minorHAnsi" w:cstheme="minorHAnsi"/>
                <w:color w:val="000000"/>
                <w:sz w:val="20"/>
                <w:szCs w:val="20"/>
                <w:lang w:val="en-AU" w:eastAsia="en-AU" w:bidi="ar-SA"/>
              </w:rPr>
            </w:pPr>
            <w:r w:rsidRPr="00AA6F75">
              <w:rPr>
                <w:rFonts w:asciiTheme="minorHAnsi" w:eastAsia="Times New Roman" w:hAnsiTheme="minorHAnsi" w:cstheme="minorHAnsi"/>
                <w:color w:val="000000"/>
                <w:sz w:val="20"/>
                <w:szCs w:val="20"/>
                <w:lang w:val="en-AU" w:eastAsia="en-AU" w:bidi="ar-SA"/>
              </w:rPr>
              <w:t>Trifluralin</w:t>
            </w:r>
          </w:p>
        </w:tc>
        <w:tc>
          <w:tcPr>
            <w:tcW w:w="2111" w:type="pct"/>
            <w:tcBorders>
              <w:top w:val="nil"/>
              <w:bottom w:val="single" w:sz="4" w:space="0" w:color="auto"/>
            </w:tcBorders>
            <w:shd w:val="clear" w:color="auto" w:fill="auto"/>
            <w:vAlign w:val="center"/>
            <w:hideMark/>
          </w:tcPr>
          <w:p w14:paraId="65EB15F3" w14:textId="77777777" w:rsidR="00D706B9" w:rsidRPr="00AA6F75" w:rsidRDefault="00780FEA"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Herbicide</w:t>
            </w:r>
            <w:r w:rsidR="005B06AA" w:rsidRPr="00AA6F75">
              <w:rPr>
                <w:rFonts w:asciiTheme="minorHAnsi" w:eastAsia="Times New Roman" w:hAnsiTheme="minorHAnsi" w:cs="Calibri"/>
                <w:color w:val="000000"/>
                <w:sz w:val="20"/>
                <w:szCs w:val="20"/>
                <w:lang w:val="en-AU" w:eastAsia="en-AU" w:bidi="ar-SA"/>
              </w:rPr>
              <w:t xml:space="preserve"> – </w:t>
            </w:r>
            <w:r w:rsidRPr="00AA6F75">
              <w:rPr>
                <w:rFonts w:asciiTheme="minorHAnsi" w:eastAsia="Times New Roman" w:hAnsiTheme="minorHAnsi" w:cs="Calibri"/>
                <w:color w:val="000000"/>
                <w:sz w:val="20"/>
                <w:szCs w:val="20"/>
                <w:lang w:val="en-AU" w:eastAsia="en-AU" w:bidi="ar-SA"/>
              </w:rPr>
              <w:t>d</w:t>
            </w:r>
            <w:r w:rsidR="00D706B9" w:rsidRPr="00AA6F75">
              <w:rPr>
                <w:rFonts w:asciiTheme="minorHAnsi" w:eastAsia="Times New Roman" w:hAnsiTheme="minorHAnsi" w:cs="Calibri"/>
                <w:color w:val="000000"/>
                <w:sz w:val="20"/>
                <w:szCs w:val="20"/>
                <w:lang w:val="en-AU" w:eastAsia="en-AU" w:bidi="ar-SA"/>
              </w:rPr>
              <w:t>intiroaniline</w:t>
            </w:r>
          </w:p>
        </w:tc>
        <w:tc>
          <w:tcPr>
            <w:tcW w:w="653" w:type="pct"/>
            <w:tcBorders>
              <w:top w:val="nil"/>
              <w:bottom w:val="single" w:sz="4" w:space="0" w:color="auto"/>
            </w:tcBorders>
            <w:vAlign w:val="center"/>
          </w:tcPr>
          <w:p w14:paraId="06B5EE69"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Priority</w:t>
            </w:r>
          </w:p>
        </w:tc>
        <w:tc>
          <w:tcPr>
            <w:tcW w:w="372" w:type="pct"/>
            <w:gridSpan w:val="2"/>
            <w:tcBorders>
              <w:top w:val="nil"/>
              <w:bottom w:val="single" w:sz="4" w:space="0" w:color="auto"/>
            </w:tcBorders>
            <w:shd w:val="clear" w:color="auto" w:fill="auto"/>
            <w:noWrap/>
            <w:vAlign w:val="center"/>
            <w:hideMark/>
          </w:tcPr>
          <w:p w14:paraId="0C87F18A"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324" w:type="pct"/>
            <w:gridSpan w:val="2"/>
            <w:tcBorders>
              <w:top w:val="nil"/>
              <w:bottom w:val="single" w:sz="4" w:space="0" w:color="auto"/>
            </w:tcBorders>
            <w:shd w:val="clear" w:color="auto" w:fill="auto"/>
            <w:noWrap/>
            <w:vAlign w:val="center"/>
            <w:hideMark/>
          </w:tcPr>
          <w:p w14:paraId="5649E1DF"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p>
        </w:tc>
        <w:tc>
          <w:tcPr>
            <w:tcW w:w="275" w:type="pct"/>
            <w:tcBorders>
              <w:top w:val="nil"/>
              <w:bottom w:val="single" w:sz="4" w:space="0" w:color="auto"/>
            </w:tcBorders>
            <w:shd w:val="clear" w:color="000000" w:fill="FFFFFF"/>
            <w:noWrap/>
            <w:vAlign w:val="center"/>
            <w:hideMark/>
          </w:tcPr>
          <w:p w14:paraId="6B6AFE54" w14:textId="77777777" w:rsidR="00D706B9" w:rsidRPr="00AA6F75" w:rsidRDefault="00D706B9" w:rsidP="002439C8">
            <w:pPr>
              <w:jc w:val="left"/>
              <w:rPr>
                <w:rFonts w:asciiTheme="minorHAnsi" w:eastAsia="Times New Roman" w:hAnsiTheme="minorHAnsi" w:cs="Calibri"/>
                <w:color w:val="000000"/>
                <w:sz w:val="20"/>
                <w:szCs w:val="20"/>
                <w:lang w:val="en-AU" w:eastAsia="en-AU" w:bidi="ar-SA"/>
              </w:rPr>
            </w:pPr>
            <w:r w:rsidRPr="00AA6F75">
              <w:rPr>
                <w:rFonts w:asciiTheme="minorHAnsi" w:eastAsia="Times New Roman" w:hAnsiTheme="minorHAnsi" w:cs="Calibri"/>
                <w:color w:val="000000"/>
                <w:sz w:val="20"/>
                <w:szCs w:val="20"/>
                <w:lang w:val="en-AU" w:eastAsia="en-AU" w:bidi="ar-SA"/>
              </w:rPr>
              <w:t>0.2</w:t>
            </w:r>
          </w:p>
        </w:tc>
      </w:tr>
    </w:tbl>
    <w:p w14:paraId="11EF8241" w14:textId="77777777" w:rsidR="00955C32" w:rsidRPr="00780FEA" w:rsidRDefault="0059608E" w:rsidP="002439C8">
      <w:pPr>
        <w:spacing w:line="276" w:lineRule="auto"/>
        <w:jc w:val="left"/>
        <w:rPr>
          <w:sz w:val="18"/>
        </w:rPr>
      </w:pPr>
      <w:r w:rsidRPr="00780FEA">
        <w:rPr>
          <w:sz w:val="18"/>
        </w:rPr>
        <w:t>*</w:t>
      </w:r>
      <w:r w:rsidR="00955C32" w:rsidRPr="00780FEA">
        <w:rPr>
          <w:sz w:val="18"/>
        </w:rPr>
        <w:t xml:space="preserve"> </w:t>
      </w:r>
      <w:r w:rsidRPr="00780FEA">
        <w:rPr>
          <w:sz w:val="18"/>
        </w:rPr>
        <w:t xml:space="preserve">Not currently analysed by </w:t>
      </w:r>
      <w:r w:rsidR="00955C32" w:rsidRPr="00780FEA">
        <w:rPr>
          <w:sz w:val="18"/>
        </w:rPr>
        <w:t>QAEHS</w:t>
      </w:r>
    </w:p>
    <w:p w14:paraId="2C64BB34" w14:textId="77777777" w:rsidR="00955C32" w:rsidRPr="00780FEA" w:rsidRDefault="0059608E" w:rsidP="002439C8">
      <w:pPr>
        <w:spacing w:line="276" w:lineRule="auto"/>
        <w:jc w:val="left"/>
        <w:rPr>
          <w:sz w:val="18"/>
        </w:rPr>
      </w:pPr>
      <w:r w:rsidRPr="00780FEA">
        <w:rPr>
          <w:sz w:val="18"/>
        </w:rPr>
        <w:t>Shaded chemicals are included as part of the Paddock 2 Reef Integrated Monitoring, Modelling and Reporting Program</w:t>
      </w:r>
    </w:p>
    <w:p w14:paraId="2F6E7E3A" w14:textId="77777777" w:rsidR="0059608E" w:rsidRPr="00780FEA" w:rsidRDefault="0059608E" w:rsidP="002439C8">
      <w:pPr>
        <w:spacing w:line="276" w:lineRule="auto"/>
        <w:jc w:val="left"/>
        <w:rPr>
          <w:sz w:val="18"/>
        </w:rPr>
      </w:pPr>
      <w:r w:rsidRPr="00780FEA">
        <w:rPr>
          <w:sz w:val="18"/>
        </w:rPr>
        <w:t>Red text indicates that the sampling rate of atrazine has been assumed</w:t>
      </w:r>
      <w:r w:rsidR="005C069F">
        <w:rPr>
          <w:sz w:val="18"/>
        </w:rPr>
        <w:t>.</w:t>
      </w:r>
    </w:p>
    <w:p w14:paraId="3CED43B9" w14:textId="77777777" w:rsidR="00E31255" w:rsidRDefault="00E31255" w:rsidP="002439C8">
      <w:pPr>
        <w:spacing w:line="276" w:lineRule="auto"/>
        <w:jc w:val="left"/>
        <w:rPr>
          <w:sz w:val="18"/>
        </w:rPr>
      </w:pPr>
    </w:p>
    <w:p w14:paraId="754BE313" w14:textId="77777777" w:rsidR="00E31255" w:rsidRPr="008232E9" w:rsidRDefault="008232E9" w:rsidP="002439C8">
      <w:pPr>
        <w:jc w:val="left"/>
        <w:rPr>
          <w:b/>
          <w:sz w:val="24"/>
        </w:rPr>
      </w:pPr>
      <w:r>
        <w:rPr>
          <w:b/>
          <w:sz w:val="24"/>
        </w:rPr>
        <w:t>A-3.</w:t>
      </w:r>
      <w:r>
        <w:rPr>
          <w:b/>
          <w:sz w:val="24"/>
        </w:rPr>
        <w:tab/>
      </w:r>
      <w:r w:rsidR="00E31255" w:rsidRPr="008232E9">
        <w:rPr>
          <w:b/>
          <w:sz w:val="24"/>
        </w:rPr>
        <w:t xml:space="preserve">Analytical details </w:t>
      </w:r>
    </w:p>
    <w:p w14:paraId="7B534C0E" w14:textId="77777777" w:rsidR="00E31255" w:rsidRDefault="00E31255" w:rsidP="002439C8">
      <w:pPr>
        <w:spacing w:line="276" w:lineRule="auto"/>
        <w:jc w:val="left"/>
        <w:rPr>
          <w:sz w:val="18"/>
        </w:rPr>
      </w:pPr>
    </w:p>
    <w:p w14:paraId="4599B48A" w14:textId="77777777" w:rsidR="00E31255" w:rsidRPr="00CA6794" w:rsidRDefault="00E31255" w:rsidP="002439C8">
      <w:pPr>
        <w:pStyle w:val="Caption"/>
        <w:spacing w:line="276" w:lineRule="auto"/>
        <w:rPr>
          <w:rFonts w:cs="Arial"/>
          <w:b w:val="0"/>
          <w:sz w:val="22"/>
        </w:rPr>
      </w:pPr>
      <w:r w:rsidRPr="00CA6794">
        <w:rPr>
          <w:rFonts w:cs="Arial"/>
          <w:b w:val="0"/>
          <w:sz w:val="22"/>
        </w:rPr>
        <w:t xml:space="preserve">QAEHS undertakes all herbicide analysis of </w:t>
      </w:r>
      <w:r w:rsidR="00F039E6">
        <w:rPr>
          <w:rFonts w:cs="Arial"/>
          <w:b w:val="0"/>
          <w:sz w:val="22"/>
        </w:rPr>
        <w:t>passive and grab samples using L</w:t>
      </w:r>
      <w:r w:rsidRPr="00CA6794">
        <w:rPr>
          <w:rFonts w:cs="Arial"/>
          <w:b w:val="0"/>
          <w:sz w:val="22"/>
        </w:rPr>
        <w:t xml:space="preserve">iquid </w:t>
      </w:r>
      <w:r w:rsidR="00F039E6">
        <w:rPr>
          <w:rFonts w:cs="Arial"/>
          <w:b w:val="0"/>
          <w:sz w:val="22"/>
        </w:rPr>
        <w:t>C</w:t>
      </w:r>
      <w:r w:rsidRPr="00CA6794">
        <w:rPr>
          <w:rFonts w:cs="Arial"/>
          <w:b w:val="0"/>
          <w:sz w:val="22"/>
        </w:rPr>
        <w:t>hromatograp</w:t>
      </w:r>
      <w:r w:rsidR="0078355E">
        <w:rPr>
          <w:rFonts w:cs="Arial"/>
          <w:b w:val="0"/>
          <w:sz w:val="22"/>
        </w:rPr>
        <w:t>hy-</w:t>
      </w:r>
      <w:r w:rsidR="008324EB">
        <w:rPr>
          <w:rFonts w:cs="Arial"/>
          <w:b w:val="0"/>
          <w:sz w:val="22"/>
        </w:rPr>
        <w:t xml:space="preserve">tandem </w:t>
      </w:r>
      <w:r w:rsidR="00F039E6">
        <w:rPr>
          <w:rFonts w:cs="Arial"/>
          <w:b w:val="0"/>
          <w:sz w:val="22"/>
        </w:rPr>
        <w:t>M</w:t>
      </w:r>
      <w:r w:rsidR="0078355E">
        <w:rPr>
          <w:rFonts w:cs="Arial"/>
          <w:b w:val="0"/>
          <w:sz w:val="22"/>
        </w:rPr>
        <w:t xml:space="preserve">ass </w:t>
      </w:r>
      <w:r w:rsidR="00F039E6">
        <w:rPr>
          <w:rFonts w:cs="Arial"/>
          <w:b w:val="0"/>
          <w:sz w:val="22"/>
        </w:rPr>
        <w:t>S</w:t>
      </w:r>
      <w:r w:rsidR="0078355E">
        <w:rPr>
          <w:rFonts w:cs="Arial"/>
          <w:b w:val="0"/>
          <w:sz w:val="22"/>
        </w:rPr>
        <w:t>pectrometry (LC</w:t>
      </w:r>
      <w:r w:rsidR="008324EB">
        <w:rPr>
          <w:rFonts w:cs="Arial"/>
          <w:b w:val="0"/>
          <w:sz w:val="22"/>
        </w:rPr>
        <w:t>-</w:t>
      </w:r>
      <w:r w:rsidR="0078355E">
        <w:rPr>
          <w:rFonts w:cs="Arial"/>
          <w:b w:val="0"/>
          <w:sz w:val="22"/>
        </w:rPr>
        <w:t>MS/MS).</w:t>
      </w:r>
    </w:p>
    <w:p w14:paraId="34AFEAED" w14:textId="77777777" w:rsidR="00E31255" w:rsidRPr="00CA6794" w:rsidRDefault="00E31255" w:rsidP="002439C8">
      <w:pPr>
        <w:pStyle w:val="Caption"/>
        <w:spacing w:line="276" w:lineRule="auto"/>
        <w:rPr>
          <w:rFonts w:cs="Arial"/>
        </w:rPr>
      </w:pPr>
    </w:p>
    <w:p w14:paraId="5BD442F0" w14:textId="1CC5BAF8" w:rsidR="00E31255" w:rsidRPr="00CA6794" w:rsidRDefault="00E31255" w:rsidP="002439C8">
      <w:pPr>
        <w:spacing w:line="276" w:lineRule="auto"/>
        <w:jc w:val="left"/>
        <w:rPr>
          <w:rFonts w:cs="Arial"/>
          <w:szCs w:val="18"/>
          <w:lang w:val="en-AU"/>
        </w:rPr>
      </w:pPr>
      <w:r w:rsidRPr="00CA6794">
        <w:rPr>
          <w:rFonts w:cs="Arial"/>
          <w:szCs w:val="18"/>
          <w:lang w:val="en-AU"/>
        </w:rPr>
        <w:t>ED extracts and grab samples were analysed for herbicides using a Sciex QTRAP 6500+ mass spectrometer (Sciex, Concord, Ontario, Canada) equipped with an electrospray (TurboV) interface coupled to a Shimadzu Nexera HPLC system (Shimadzu Corp., Kyoto, Japan). Separation was achieved using a 2.6 micron 50</w:t>
      </w:r>
      <w:r>
        <w:rPr>
          <w:rFonts w:cs="Arial"/>
          <w:szCs w:val="18"/>
          <w:lang w:val="en-AU"/>
        </w:rPr>
        <w:t xml:space="preserve"> </w:t>
      </w:r>
      <w:r w:rsidRPr="00CA6794">
        <w:rPr>
          <w:rFonts w:cs="Arial"/>
          <w:szCs w:val="18"/>
          <w:lang w:val="en-AU"/>
        </w:rPr>
        <w:t>x</w:t>
      </w:r>
      <w:r>
        <w:rPr>
          <w:rFonts w:cs="Arial"/>
          <w:szCs w:val="18"/>
          <w:lang w:val="en-AU"/>
        </w:rPr>
        <w:t xml:space="preserve"> </w:t>
      </w:r>
      <w:r w:rsidRPr="00CA6794">
        <w:rPr>
          <w:rFonts w:cs="Arial"/>
          <w:szCs w:val="18"/>
          <w:lang w:val="en-AU"/>
        </w:rPr>
        <w:t>2.0mm Phenomenex Biphenyl column (Phenomenex, Torrance, CA) run at 45˚C, and a flow rate of 0.3 mL min</w:t>
      </w:r>
      <w:r w:rsidR="00A209AA" w:rsidRPr="00A209AA">
        <w:rPr>
          <w:rFonts w:cs="Arial"/>
          <w:szCs w:val="18"/>
          <w:vertAlign w:val="superscript"/>
          <w:lang w:val="en-AU"/>
        </w:rPr>
        <w:noBreakHyphen/>
        <w:t>1</w:t>
      </w:r>
      <w:r w:rsidRPr="00CA6794">
        <w:rPr>
          <w:rFonts w:cs="Arial"/>
          <w:szCs w:val="18"/>
          <w:lang w:val="en-AU"/>
        </w:rPr>
        <w:t xml:space="preserve"> with a linear gradient starting at 5% B, ramped to 100% B in 5.2 minutes then held at 100% for 4.3 minutes followed by equilibration at 5% B for 3.5 minutes. (A = 1% methanol in HPLC grade water, B = 95% methanol in HPLC grade water, both containing 0.1% acetic acid). The mass spectrometer was operated in both positive and negative ion multiple reaction-monitoring mode, using nitrogen as the collision gas </w:t>
      </w:r>
      <w:r w:rsidR="00375841">
        <w:rPr>
          <w:rFonts w:cs="Arial"/>
          <w:szCs w:val="18"/>
          <w:lang w:val="en-AU"/>
        </w:rPr>
        <w:t xml:space="preserve">and </w:t>
      </w:r>
      <w:r w:rsidRPr="00CA6794">
        <w:rPr>
          <w:rFonts w:cs="Arial"/>
          <w:szCs w:val="18"/>
          <w:lang w:val="en-AU"/>
        </w:rPr>
        <w:t>monitoring two transitions for each analyte.</w:t>
      </w:r>
    </w:p>
    <w:p w14:paraId="7918DDE8" w14:textId="77777777" w:rsidR="00E31255" w:rsidRPr="00CA6794" w:rsidRDefault="00E31255" w:rsidP="002439C8">
      <w:pPr>
        <w:spacing w:line="276" w:lineRule="auto"/>
        <w:jc w:val="left"/>
        <w:rPr>
          <w:rFonts w:cs="Arial"/>
          <w:sz w:val="18"/>
          <w:szCs w:val="18"/>
          <w:lang w:val="en-AU"/>
        </w:rPr>
      </w:pPr>
    </w:p>
    <w:p w14:paraId="4A05FCA0" w14:textId="77777777" w:rsidR="00E31255" w:rsidRDefault="00E31255" w:rsidP="002439C8">
      <w:pPr>
        <w:spacing w:line="276" w:lineRule="auto"/>
        <w:jc w:val="left"/>
        <w:rPr>
          <w:bCs/>
          <w:szCs w:val="18"/>
        </w:rPr>
      </w:pPr>
      <w:r>
        <w:rPr>
          <w:bCs/>
          <w:szCs w:val="18"/>
        </w:rPr>
        <w:t>Positive results</w:t>
      </w:r>
      <w:r w:rsidRPr="00FA54DF">
        <w:rPr>
          <w:bCs/>
          <w:szCs w:val="18"/>
        </w:rPr>
        <w:t xml:space="preserve"> were confirmed by retention time and by comparing transition intensity ratios between the sample and an appropriate concentration standard from the same run. Samples were reported as positive if the two transitions were present (with peaks having a signal to noise ratio greater than 3), retention time was within 0.15 minutes of the standard and the relative intensity of the confirmation transition was within 20% of the expected value. The value reported was that for the quantitation transition.</w:t>
      </w:r>
    </w:p>
    <w:p w14:paraId="62B95CF7" w14:textId="77777777" w:rsidR="00E31255" w:rsidRDefault="00E31255" w:rsidP="002439C8">
      <w:pPr>
        <w:spacing w:line="276" w:lineRule="auto"/>
        <w:jc w:val="left"/>
        <w:rPr>
          <w:bCs/>
          <w:szCs w:val="18"/>
        </w:rPr>
      </w:pPr>
    </w:p>
    <w:p w14:paraId="7C305D92" w14:textId="77777777" w:rsidR="0059608E" w:rsidRDefault="00E31255" w:rsidP="002439C8">
      <w:pPr>
        <w:spacing w:line="276" w:lineRule="auto"/>
        <w:jc w:val="left"/>
        <w:rPr>
          <w:bCs/>
          <w:szCs w:val="18"/>
        </w:rPr>
      </w:pPr>
      <w:r w:rsidRPr="009E2337">
        <w:rPr>
          <w:bCs/>
          <w:szCs w:val="18"/>
        </w:rPr>
        <w:t xml:space="preserve">Analysis of PDMS extracts for non-polar pesticides was conducted on a Thermo Scientific TSQ Quantum XLS Triple Quadrupole GC-MS/MS. The mass spectrometer was operated in positive ion, multiple reaction monitoring mode, using argon as the collision gas. Prior to introduction into the mass spectrometer, compounds were separated on an Agilent J &amp; W DB5-MS (25m; 0.25mm i.d.; 0.25µm film thickness) column. Samples were injected in </w:t>
      </w:r>
      <w:r>
        <w:rPr>
          <w:bCs/>
          <w:szCs w:val="18"/>
        </w:rPr>
        <w:t>splitless</w:t>
      </w:r>
      <w:r w:rsidRPr="009E2337">
        <w:rPr>
          <w:bCs/>
          <w:szCs w:val="18"/>
        </w:rPr>
        <w:t xml:space="preserve"> mode at 80°C. The GC oven was held at 80°C for 2 minutes and ramped to 180°C at 20°C/minute; held for 0.5 minutes and ramped to 300°C at 10°C/minute and held for 10.5 minutes. The transfer line and ion source were heated at 280°C and 2</w:t>
      </w:r>
      <w:r>
        <w:rPr>
          <w:bCs/>
          <w:szCs w:val="18"/>
        </w:rPr>
        <w:t>7</w:t>
      </w:r>
      <w:r w:rsidRPr="009E2337">
        <w:rPr>
          <w:bCs/>
          <w:szCs w:val="18"/>
        </w:rPr>
        <w:t>0°C respectively. Helium was used as the carrier gas at a rate of 1.0</w:t>
      </w:r>
      <w:r>
        <w:rPr>
          <w:bCs/>
          <w:szCs w:val="18"/>
        </w:rPr>
        <w:t xml:space="preserve"> </w:t>
      </w:r>
      <w:r w:rsidRPr="009E2337">
        <w:rPr>
          <w:bCs/>
          <w:szCs w:val="18"/>
        </w:rPr>
        <w:t>m</w:t>
      </w:r>
      <w:r>
        <w:rPr>
          <w:bCs/>
          <w:szCs w:val="18"/>
        </w:rPr>
        <w:t>L</w:t>
      </w:r>
      <w:r w:rsidRPr="009E2337">
        <w:rPr>
          <w:bCs/>
          <w:szCs w:val="18"/>
        </w:rPr>
        <w:t>/minute. A quantitative and qualitative ion transition was monitored for each compound.</w:t>
      </w:r>
    </w:p>
    <w:p w14:paraId="6682B52E" w14:textId="77777777" w:rsidR="005D5EEF" w:rsidRDefault="005D5EEF" w:rsidP="002439C8">
      <w:pPr>
        <w:spacing w:line="276" w:lineRule="auto"/>
        <w:jc w:val="left"/>
        <w:rPr>
          <w:bCs/>
          <w:szCs w:val="18"/>
        </w:rPr>
      </w:pPr>
    </w:p>
    <w:p w14:paraId="3F6D8B64" w14:textId="77777777" w:rsidR="00F47C7E" w:rsidRDefault="00F47C7E" w:rsidP="002439C8">
      <w:pPr>
        <w:pStyle w:val="Heading1"/>
        <w:jc w:val="left"/>
        <w:sectPr w:rsidR="00F47C7E" w:rsidSect="003B32F7">
          <w:pgSz w:w="11907" w:h="16840" w:code="9"/>
          <w:pgMar w:top="1440" w:right="1440" w:bottom="1440" w:left="1440" w:header="709" w:footer="709" w:gutter="0"/>
          <w:cols w:space="708"/>
          <w:docGrid w:linePitch="360"/>
        </w:sectPr>
      </w:pPr>
      <w:bookmarkStart w:id="658" w:name="_Toc461457785"/>
    </w:p>
    <w:p w14:paraId="68894175" w14:textId="77777777" w:rsidR="00257A4D" w:rsidRDefault="00313970" w:rsidP="002439C8">
      <w:pPr>
        <w:pStyle w:val="Heading7"/>
        <w:numPr>
          <w:ilvl w:val="6"/>
          <w:numId w:val="9"/>
        </w:numPr>
        <w:spacing w:after="240"/>
        <w:ind w:left="425" w:hanging="425"/>
      </w:pPr>
      <w:bookmarkStart w:id="659" w:name="_Ref480726661"/>
      <w:bookmarkStart w:id="660" w:name="_Ref480726694"/>
      <w:r>
        <w:t>Supplemental information on w</w:t>
      </w:r>
      <w:r w:rsidR="00072CDF" w:rsidRPr="00E81161">
        <w:t>ater quality guidelines</w:t>
      </w:r>
      <w:bookmarkEnd w:id="659"/>
      <w:bookmarkEnd w:id="660"/>
    </w:p>
    <w:p w14:paraId="74A1264E" w14:textId="24FBB53C" w:rsidR="00444862" w:rsidRDefault="00444862" w:rsidP="002439C8">
      <w:pPr>
        <w:spacing w:line="276" w:lineRule="auto"/>
        <w:jc w:val="left"/>
        <w:rPr>
          <w:lang w:val="en-AU" w:eastAsia="en-AU"/>
        </w:rPr>
      </w:pPr>
      <w:r>
        <w:rPr>
          <w:lang w:val="en-AU" w:eastAsia="en-AU"/>
        </w:rPr>
        <w:t>W</w:t>
      </w:r>
      <w:r w:rsidRPr="00935C61">
        <w:rPr>
          <w:lang w:val="en-AU" w:eastAsia="en-AU"/>
        </w:rPr>
        <w:t xml:space="preserve">ater quality in Australia is </w:t>
      </w:r>
      <w:r>
        <w:rPr>
          <w:lang w:val="en-AU" w:eastAsia="en-AU"/>
        </w:rPr>
        <w:t xml:space="preserve">currently </w:t>
      </w:r>
      <w:r w:rsidRPr="00935C61">
        <w:rPr>
          <w:lang w:val="en-AU" w:eastAsia="en-AU"/>
        </w:rPr>
        <w:t>managed in accordance with the Australian and New Zealand Guidelines for Fresh and Marine Water Quality</w:t>
      </w:r>
      <w:r w:rsidR="007B5109">
        <w:rPr>
          <w:lang w:val="en-AU" w:eastAsia="en-AU"/>
        </w:rPr>
        <w:t xml:space="preserve"> </w:t>
      </w:r>
      <w:r w:rsidR="007B5109">
        <w:rPr>
          <w:lang w:val="en-AU" w:eastAsia="en-AU"/>
        </w:rPr>
        <w:fldChar w:fldCharType="begin"/>
      </w:r>
      <w:r w:rsidR="007B5109">
        <w:rPr>
          <w:lang w:val="en-AU" w:eastAsia="en-AU"/>
        </w:rPr>
        <w:instrText xml:space="preserve"> ADDIN EN.CITE &lt;EndNote&gt;&lt;Cite&gt;&lt;Author&gt;ANZECC&lt;/Author&gt;&lt;Year&gt;2018&lt;/Year&gt;&lt;RecNum&gt;114&lt;/RecNum&gt;&lt;DisplayText&gt;(ANZECC, 2018)&lt;/DisplayText&gt;&lt;record&gt;&lt;rec-number&gt;114&lt;/rec-number&gt;&lt;foreign-keys&gt;&lt;key app="EN" db-id="xtpvpwz0ufxa2me5tv6v2prn2ez5p9atsvtr" timestamp="1554356650"&gt;114&lt;/key&gt;&lt;/foreign-keys&gt;&lt;ref-type name="Government Document"&gt;46&lt;/ref-type&gt;&lt;contributors&gt;&lt;authors&gt;&lt;author&gt;ANZECC&lt;/author&gt;&lt;/authors&gt;&lt;secondary-authors&gt;&lt;author&gt;Australian and New Zealand Environment and Conservation Council&lt;/author&gt;&lt;/secondary-authors&gt;&lt;/contributors&gt;&lt;titles&gt;&lt;title&gt;Toxicant Default Guideline Values for Water Quality in Aquatic Ecosystems.&lt;/title&gt;&lt;/titles&gt;&lt;dates&gt;&lt;year&gt;2018&lt;/year&gt;&lt;/dates&gt;&lt;publisher&gt;Australian Government&lt;/publisher&gt;&lt;urls&gt;&lt;related-urls&gt;&lt;url&gt;http://waterquality.gov.au/anz-guidelines/guideline-values/default/water-quality-toxicants/search&lt;/url&gt;&lt;/related-urls&gt;&lt;/urls&gt;&lt;/record&gt;&lt;/Cite&gt;&lt;/EndNote&gt;</w:instrText>
      </w:r>
      <w:r w:rsidR="007B5109">
        <w:rPr>
          <w:lang w:val="en-AU" w:eastAsia="en-AU"/>
        </w:rPr>
        <w:fldChar w:fldCharType="separate"/>
      </w:r>
      <w:r w:rsidR="007B5109">
        <w:rPr>
          <w:noProof/>
          <w:lang w:val="en-AU" w:eastAsia="en-AU"/>
        </w:rPr>
        <w:t>(ANZECC, 2018)</w:t>
      </w:r>
      <w:r w:rsidR="007B5109">
        <w:rPr>
          <w:lang w:val="en-AU" w:eastAsia="en-AU"/>
        </w:rPr>
        <w:fldChar w:fldCharType="end"/>
      </w:r>
      <w:r>
        <w:rPr>
          <w:lang w:val="en-AU" w:eastAsia="en-AU"/>
        </w:rPr>
        <w:t xml:space="preserve">. Trigger values are defined for a range of pesticides and an indication of the reliability of the value (low, moderate, high) is given in </w:t>
      </w:r>
      <w:r>
        <w:rPr>
          <w:highlight w:val="yellow"/>
          <w:lang w:val="en-AU" w:eastAsia="en-AU"/>
        </w:rPr>
        <w:fldChar w:fldCharType="begin"/>
      </w:r>
      <w:r>
        <w:rPr>
          <w:highlight w:val="yellow"/>
          <w:lang w:val="en-AU" w:eastAsia="en-AU"/>
        </w:rPr>
        <w:instrText xml:space="preserve"> REF _Ref480726648 \h </w:instrText>
      </w:r>
      <w:r w:rsidR="002439C8">
        <w:rPr>
          <w:highlight w:val="yellow"/>
          <w:lang w:val="en-AU" w:eastAsia="en-AU"/>
        </w:rPr>
        <w:instrText xml:space="preserve"> \* MERGEFORMAT </w:instrText>
      </w:r>
      <w:r>
        <w:rPr>
          <w:highlight w:val="yellow"/>
          <w:lang w:val="en-AU" w:eastAsia="en-AU"/>
        </w:rPr>
      </w:r>
      <w:r>
        <w:rPr>
          <w:highlight w:val="yellow"/>
          <w:lang w:val="en-AU" w:eastAsia="en-AU"/>
        </w:rPr>
        <w:fldChar w:fldCharType="separate"/>
      </w:r>
      <w:r w:rsidR="00251B46">
        <w:t xml:space="preserve">Table </w:t>
      </w:r>
      <w:r w:rsidR="00251B46">
        <w:rPr>
          <w:noProof/>
        </w:rPr>
        <w:t>B</w:t>
      </w:r>
      <w:r w:rsidR="00251B46">
        <w:rPr>
          <w:noProof/>
        </w:rPr>
        <w:noBreakHyphen/>
        <w:t>1</w:t>
      </w:r>
      <w:r>
        <w:rPr>
          <w:highlight w:val="yellow"/>
          <w:lang w:val="en-AU" w:eastAsia="en-AU"/>
        </w:rPr>
        <w:fldChar w:fldCharType="end"/>
      </w:r>
      <w:r w:rsidRPr="00150F01">
        <w:rPr>
          <w:lang w:val="en-AU" w:eastAsia="en-AU"/>
        </w:rPr>
        <w:t xml:space="preserve">. </w:t>
      </w:r>
      <w:r>
        <w:rPr>
          <w:lang w:val="en-AU" w:eastAsia="en-AU"/>
        </w:rPr>
        <w:t>The guidelines paid considerable attention to values derived using the</w:t>
      </w:r>
      <w:r w:rsidRPr="004172A1">
        <w:rPr>
          <w:lang w:val="en-AU" w:eastAsia="en-AU"/>
        </w:rPr>
        <w:t xml:space="preserve"> assessment factor </w:t>
      </w:r>
      <w:r>
        <w:rPr>
          <w:lang w:val="en-AU" w:eastAsia="en-AU"/>
        </w:rPr>
        <w:t xml:space="preserve">approach </w:t>
      </w:r>
      <w:r>
        <w:rPr>
          <w:lang w:val="en-AU" w:eastAsia="en-AU"/>
        </w:rPr>
        <w:fldChar w:fldCharType="begin"/>
      </w:r>
      <w:r w:rsidR="0018079F">
        <w:rPr>
          <w:lang w:val="en-AU" w:eastAsia="en-AU"/>
        </w:rPr>
        <w:instrText xml:space="preserve"> ADDIN EN.CITE &lt;EndNote&gt;&lt;Cite&gt;&lt;Author&gt;Batley&lt;/Author&gt;&lt;Year&gt;2014&lt;/Year&gt;&lt;RecNum&gt;84&lt;/RecNum&gt;&lt;DisplayText&gt;(Batley et al., 2014)&lt;/DisplayText&gt;&lt;record&gt;&lt;rec-number&gt;84&lt;/rec-number&gt;&lt;foreign-keys&gt;&lt;key app="EN" db-id="xtpvpwz0ufxa2me5tv6v2prn2ez5p9atsvtr" timestamp="1539144945"&gt;84&lt;/key&gt;&lt;/foreign-keys&gt;&lt;ref-type name="Report"&gt;27&lt;/ref-type&gt;&lt;contributors&gt;&lt;authors&gt;&lt;author&gt;Batley, G.E.&lt;/author&gt;&lt;author&gt;van Dam, R.&lt;/author&gt;&lt;author&gt;Warne, M.St.J.&lt;/author&gt;&lt;author&gt;Chapman, J.C.&lt;/author&gt;&lt;author&gt;Fox, D.R.&lt;/author&gt;&lt;author&gt;Hickey, C.W. &lt;/author&gt;&lt;author&gt;Stauber, J.L&lt;/author&gt;&lt;/authors&gt;&lt;/contributors&gt;&lt;titles&gt;&lt;title&gt;Revision of the Method for Deriving Water Quality Guideline Values for Toxicants. A Water for a Healthy Country Flagship Report. Prepared for the Council of Australian Government’s Standing Council on Environment and Water (SCEW)&lt;/title&gt;&lt;/titles&gt;&lt;dates&gt;&lt;year&gt;2014&lt;/year&gt;&lt;/dates&gt;&lt;pub-location&gt;CSIRO&lt;/pub-location&gt;&lt;urls&gt;&lt;/urls&gt;&lt;/record&gt;&lt;/Cite&gt;&lt;/EndNote&gt;</w:instrText>
      </w:r>
      <w:r>
        <w:rPr>
          <w:lang w:val="en-AU" w:eastAsia="en-AU"/>
        </w:rPr>
        <w:fldChar w:fldCharType="separate"/>
      </w:r>
      <w:r w:rsidR="00B33845">
        <w:rPr>
          <w:noProof/>
          <w:lang w:val="en-AU" w:eastAsia="en-AU"/>
        </w:rPr>
        <w:t>(Batley et al., 2014)</w:t>
      </w:r>
      <w:r>
        <w:rPr>
          <w:lang w:val="en-AU" w:eastAsia="en-AU"/>
        </w:rPr>
        <w:fldChar w:fldCharType="end"/>
      </w:r>
      <w:r>
        <w:rPr>
          <w:lang w:val="en-AU" w:eastAsia="en-AU"/>
        </w:rPr>
        <w:t>. For several of the</w:t>
      </w:r>
      <w:r w:rsidRPr="00415744">
        <w:rPr>
          <w:lang w:val="en-AU" w:eastAsia="en-AU"/>
        </w:rPr>
        <w:t xml:space="preserve"> </w:t>
      </w:r>
      <w:r>
        <w:rPr>
          <w:lang w:val="en-AU" w:eastAsia="en-AU"/>
        </w:rPr>
        <w:t xml:space="preserve">pesticides </w:t>
      </w:r>
      <w:r w:rsidRPr="00150F01">
        <w:rPr>
          <w:lang w:val="en-AU" w:eastAsia="en-AU"/>
        </w:rPr>
        <w:t xml:space="preserve">detected in this current monitoring year, no </w:t>
      </w:r>
      <w:r>
        <w:rPr>
          <w:lang w:val="en-AU" w:eastAsia="en-AU"/>
        </w:rPr>
        <w:t>trigger values</w:t>
      </w:r>
      <w:r w:rsidRPr="00150F01">
        <w:rPr>
          <w:lang w:val="en-AU" w:eastAsia="en-AU"/>
        </w:rPr>
        <w:t xml:space="preserve"> </w:t>
      </w:r>
      <w:r w:rsidR="00E70022">
        <w:rPr>
          <w:lang w:val="en-AU" w:eastAsia="en-AU"/>
        </w:rPr>
        <w:t xml:space="preserve">were yet </w:t>
      </w:r>
      <w:r w:rsidRPr="00150F01">
        <w:rPr>
          <w:lang w:val="en-AU" w:eastAsia="en-AU"/>
        </w:rPr>
        <w:t>availa</w:t>
      </w:r>
      <w:r>
        <w:rPr>
          <w:lang w:val="en-AU" w:eastAsia="en-AU"/>
        </w:rPr>
        <w:t>ble</w:t>
      </w:r>
      <w:r w:rsidRPr="00150F01">
        <w:rPr>
          <w:lang w:val="en-AU" w:eastAsia="en-AU"/>
        </w:rPr>
        <w:t>.</w:t>
      </w:r>
    </w:p>
    <w:p w14:paraId="65476164" w14:textId="77777777" w:rsidR="00444862" w:rsidRDefault="00444862" w:rsidP="002439C8">
      <w:pPr>
        <w:spacing w:line="276" w:lineRule="auto"/>
        <w:jc w:val="left"/>
        <w:rPr>
          <w:lang w:val="en-AU" w:eastAsia="en-AU"/>
        </w:rPr>
      </w:pPr>
    </w:p>
    <w:p w14:paraId="7E701842" w14:textId="77777777" w:rsidR="00E70022" w:rsidRDefault="00444862" w:rsidP="002439C8">
      <w:pPr>
        <w:spacing w:line="276" w:lineRule="auto"/>
        <w:jc w:val="left"/>
        <w:rPr>
          <w:lang w:val="en-AU" w:eastAsia="en-AU"/>
        </w:rPr>
      </w:pPr>
      <w:r>
        <w:rPr>
          <w:lang w:val="en-AU" w:eastAsia="en-AU"/>
        </w:rPr>
        <w:t xml:space="preserve">The use of species sensitivity distributions (SSDs) is the preferred method of deriving water quality guidelines  </w:t>
      </w:r>
      <w:r>
        <w:rPr>
          <w:lang w:val="en-AU" w:eastAsia="en-AU"/>
        </w:rPr>
        <w:fldChar w:fldCharType="begin"/>
      </w:r>
      <w:r w:rsidR="0058467F">
        <w:rPr>
          <w:lang w:val="en-AU" w:eastAsia="en-AU"/>
        </w:rPr>
        <w:instrText xml:space="preserve"> ADDIN EN.CITE &lt;EndNote&gt;&lt;Cite&gt;&lt;Author&gt;Warne&lt;/Author&gt;&lt;Year&gt;2015&lt;/Year&gt;&lt;RecNum&gt;43&lt;/RecNum&gt;&lt;DisplayText&gt;(Warne et al., 2015)&lt;/DisplayText&gt;&lt;record&gt;&lt;rec-number&gt;43&lt;/rec-number&gt;&lt;foreign-keys&gt;&lt;key app="EN" db-id="xtpvpwz0ufxa2me5tv6v2prn2ez5p9atsvtr" timestamp="1539144944"&gt;43&lt;/key&gt;&lt;/foreign-keys&gt;&lt;ref-type name="Report"&gt;27&lt;/ref-type&gt;&lt;contributors&gt;&lt;authors&gt;&lt;author&gt;Warne, M.St J.&lt;/author&gt;&lt;author&gt;Batley, G.E.&lt;/author&gt;&lt;author&gt;van Dam, R.A.&lt;/author&gt;&lt;author&gt;Chapman, J.C.&lt;/author&gt;&lt;author&gt;Fox, D.R.&lt;/author&gt;&lt;author&gt;Hickey, C.W.&lt;/author&gt;&lt;author&gt;Stauber, J.L.&lt;/author&gt;&lt;/authors&gt;&lt;/contributors&gt;&lt;titles&gt;&lt;title&gt;Revised Method for Deriving Australian and New Zealand Water Quality Guideline Values for Toxicants. Prepared for the Council of Australian Government’s Standing Council on Environment and Water (SCEW)&lt;/title&gt;&lt;/titles&gt;&lt;pages&gt;50 pp&lt;/pages&gt;&lt;dates&gt;&lt;year&gt;2015&lt;/year&gt;&lt;/dates&gt;&lt;pub-location&gt;Department of Science, Information Technology and Innovation, Brisbane&lt;/pub-location&gt;&lt;urls&gt;&lt;/urls&gt;&lt;/record&gt;&lt;/Cite&gt;&lt;/EndNote&gt;</w:instrText>
      </w:r>
      <w:r>
        <w:rPr>
          <w:lang w:val="en-AU" w:eastAsia="en-AU"/>
        </w:rPr>
        <w:fldChar w:fldCharType="separate"/>
      </w:r>
      <w:r w:rsidR="00B33845">
        <w:rPr>
          <w:noProof/>
          <w:lang w:val="en-AU" w:eastAsia="en-AU"/>
        </w:rPr>
        <w:t>(Warne et al., 2015)</w:t>
      </w:r>
      <w:r>
        <w:rPr>
          <w:lang w:val="en-AU" w:eastAsia="en-AU"/>
        </w:rPr>
        <w:fldChar w:fldCharType="end"/>
      </w:r>
      <w:r>
        <w:rPr>
          <w:lang w:val="en-AU" w:eastAsia="en-AU"/>
        </w:rPr>
        <w:t>. A SSD is a model</w:t>
      </w:r>
      <w:r w:rsidRPr="009723BE">
        <w:rPr>
          <w:lang w:val="en-AU" w:eastAsia="en-AU"/>
        </w:rPr>
        <w:t xml:space="preserve"> of the variation in sensitivity of species </w:t>
      </w:r>
      <w:r>
        <w:rPr>
          <w:lang w:val="en-AU" w:eastAsia="en-AU"/>
        </w:rPr>
        <w:t xml:space="preserve">in an ecosystem </w:t>
      </w:r>
      <w:r w:rsidRPr="009723BE">
        <w:rPr>
          <w:lang w:val="en-AU" w:eastAsia="en-AU"/>
        </w:rPr>
        <w:t>to a particular stresso</w:t>
      </w:r>
      <w:r>
        <w:rPr>
          <w:lang w:val="en-AU" w:eastAsia="en-AU"/>
        </w:rPr>
        <w:t xml:space="preserve">r and allows prediction of </w:t>
      </w:r>
      <w:r w:rsidRPr="009723BE">
        <w:rPr>
          <w:lang w:val="en-AU" w:eastAsia="en-AU"/>
        </w:rPr>
        <w:t xml:space="preserve">the percentage of species that is expected to be </w:t>
      </w:r>
      <w:r>
        <w:rPr>
          <w:lang w:val="en-AU" w:eastAsia="en-AU"/>
        </w:rPr>
        <w:t xml:space="preserve">adversely </w:t>
      </w:r>
      <w:r w:rsidRPr="009723BE">
        <w:rPr>
          <w:lang w:val="en-AU" w:eastAsia="en-AU"/>
        </w:rPr>
        <w:t xml:space="preserve">affected at a given environmental </w:t>
      </w:r>
      <w:r>
        <w:rPr>
          <w:lang w:val="en-AU" w:eastAsia="en-AU"/>
        </w:rPr>
        <w:t>stressor level (e.g. pesticide concentration).</w:t>
      </w:r>
      <w:r w:rsidRPr="009723BE">
        <w:rPr>
          <w:lang w:val="en-AU" w:eastAsia="en-AU"/>
        </w:rPr>
        <w:t xml:space="preserve"> </w:t>
      </w:r>
      <w:r>
        <w:rPr>
          <w:lang w:val="en-AU" w:eastAsia="en-AU"/>
        </w:rPr>
        <w:t xml:space="preserve">Under this approach, </w:t>
      </w:r>
      <w:r w:rsidRPr="004172A1">
        <w:rPr>
          <w:lang w:val="en-AU" w:eastAsia="en-AU"/>
        </w:rPr>
        <w:t xml:space="preserve">protective concentrations </w:t>
      </w:r>
      <w:r>
        <w:rPr>
          <w:lang w:val="en-AU" w:eastAsia="en-AU"/>
        </w:rPr>
        <w:t xml:space="preserve">can be defined that typically </w:t>
      </w:r>
      <w:r w:rsidRPr="004172A1">
        <w:rPr>
          <w:lang w:val="en-AU" w:eastAsia="en-AU"/>
        </w:rPr>
        <w:t xml:space="preserve">offer four levels of protection: 99, 95, 90 and 80 per cent of species in the ecosystem being </w:t>
      </w:r>
      <w:r>
        <w:rPr>
          <w:lang w:val="en-AU" w:eastAsia="en-AU"/>
        </w:rPr>
        <w:t xml:space="preserve">protected, referred to as </w:t>
      </w:r>
      <w:r w:rsidRPr="004172A1">
        <w:rPr>
          <w:lang w:val="en-AU" w:eastAsia="en-AU"/>
        </w:rPr>
        <w:t>PC99, PC95, PC90 and PC80, respectively</w:t>
      </w:r>
      <w:r>
        <w:rPr>
          <w:lang w:val="en-AU" w:eastAsia="en-AU"/>
        </w:rPr>
        <w:t xml:space="preserve"> </w:t>
      </w:r>
      <w:r>
        <w:rPr>
          <w:lang w:val="en-AU" w:eastAsia="en-AU"/>
        </w:rPr>
        <w:fldChar w:fldCharType="begin"/>
      </w:r>
      <w:r w:rsidR="0018079F">
        <w:rPr>
          <w:lang w:val="en-AU" w:eastAsia="en-AU"/>
        </w:rPr>
        <w:instrText xml:space="preserve"> ADDIN EN.CITE &lt;EndNote&gt;&lt;Cite&gt;&lt;Author&gt;Batley&lt;/Author&gt;&lt;Year&gt;2014&lt;/Year&gt;&lt;RecNum&gt;84&lt;/RecNum&gt;&lt;DisplayText&gt;(Batley et al., 2014)&lt;/DisplayText&gt;&lt;record&gt;&lt;rec-number&gt;84&lt;/rec-number&gt;&lt;foreign-keys&gt;&lt;key app="EN" db-id="xtpvpwz0ufxa2me5tv6v2prn2ez5p9atsvtr" timestamp="1539144945"&gt;84&lt;/key&gt;&lt;/foreign-keys&gt;&lt;ref-type name="Report"&gt;27&lt;/ref-type&gt;&lt;contributors&gt;&lt;authors&gt;&lt;author&gt;Batley, G.E.&lt;/author&gt;&lt;author&gt;van Dam, R.&lt;/author&gt;&lt;author&gt;Warne, M.St.J.&lt;/author&gt;&lt;author&gt;Chapman, J.C.&lt;/author&gt;&lt;author&gt;Fox, D.R.&lt;/author&gt;&lt;author&gt;Hickey, C.W. &lt;/author&gt;&lt;author&gt;Stauber, J.L&lt;/author&gt;&lt;/authors&gt;&lt;/contributors&gt;&lt;titles&gt;&lt;title&gt;Revision of the Method for Deriving Water Quality Guideline Values for Toxicants. A Water for a Healthy Country Flagship Report. Prepared for the Council of Australian Government’s Standing Council on Environment and Water (SCEW)&lt;/title&gt;&lt;/titles&gt;&lt;dates&gt;&lt;year&gt;2014&lt;/year&gt;&lt;/dates&gt;&lt;pub-location&gt;CSIRO&lt;/pub-location&gt;&lt;urls&gt;&lt;/urls&gt;&lt;/record&gt;&lt;/Cite&gt;&lt;/EndNote&gt;</w:instrText>
      </w:r>
      <w:r>
        <w:rPr>
          <w:lang w:val="en-AU" w:eastAsia="en-AU"/>
        </w:rPr>
        <w:fldChar w:fldCharType="separate"/>
      </w:r>
      <w:r w:rsidR="00B33845">
        <w:rPr>
          <w:noProof/>
          <w:lang w:val="en-AU" w:eastAsia="en-AU"/>
        </w:rPr>
        <w:t>(Batley et al., 2014)</w:t>
      </w:r>
      <w:r>
        <w:rPr>
          <w:lang w:val="en-AU" w:eastAsia="en-AU"/>
        </w:rPr>
        <w:fldChar w:fldCharType="end"/>
      </w:r>
      <w:r>
        <w:rPr>
          <w:lang w:val="en-AU" w:eastAsia="en-AU"/>
        </w:rPr>
        <w:t xml:space="preserve">. </w:t>
      </w:r>
    </w:p>
    <w:p w14:paraId="2D5FA180" w14:textId="77777777" w:rsidR="00E70022" w:rsidRDefault="00E70022" w:rsidP="002439C8">
      <w:pPr>
        <w:spacing w:line="276" w:lineRule="auto"/>
        <w:jc w:val="left"/>
        <w:rPr>
          <w:lang w:val="en-AU" w:eastAsia="en-AU"/>
        </w:rPr>
      </w:pPr>
    </w:p>
    <w:p w14:paraId="48C3795A" w14:textId="145B2F47" w:rsidR="00444862" w:rsidRDefault="00444862" w:rsidP="002439C8">
      <w:pPr>
        <w:spacing w:line="276" w:lineRule="auto"/>
        <w:jc w:val="left"/>
        <w:rPr>
          <w:lang w:val="en-AU" w:eastAsia="en-AU"/>
        </w:rPr>
      </w:pPr>
      <w:r>
        <w:rPr>
          <w:lang w:val="en-AU" w:eastAsia="en-AU"/>
        </w:rPr>
        <w:t xml:space="preserve">Using this approach, </w:t>
      </w:r>
      <w:r w:rsidRPr="004172A1">
        <w:rPr>
          <w:lang w:val="en-AU" w:eastAsia="en-AU"/>
        </w:rPr>
        <w:t xml:space="preserve">marine </w:t>
      </w:r>
      <w:r>
        <w:rPr>
          <w:lang w:val="en-AU" w:eastAsia="en-AU"/>
        </w:rPr>
        <w:t>protective concentrations</w:t>
      </w:r>
      <w:r w:rsidRPr="004172A1">
        <w:rPr>
          <w:lang w:val="en-AU" w:eastAsia="en-AU"/>
        </w:rPr>
        <w:t xml:space="preserve"> </w:t>
      </w:r>
      <w:r>
        <w:rPr>
          <w:lang w:val="en-AU" w:eastAsia="en-AU"/>
        </w:rPr>
        <w:t xml:space="preserve">were </w:t>
      </w:r>
      <w:r w:rsidRPr="004172A1">
        <w:rPr>
          <w:lang w:val="en-AU" w:eastAsia="en-AU"/>
        </w:rPr>
        <w:t xml:space="preserve">derived by the Great Barrier Reef Marine Park Authority </w:t>
      </w:r>
      <w:r>
        <w:rPr>
          <w:lang w:val="en-AU" w:eastAsia="en-AU"/>
        </w:rPr>
        <w:fldChar w:fldCharType="begin"/>
      </w:r>
      <w:r w:rsidR="0018079F">
        <w:rPr>
          <w:lang w:val="en-AU" w:eastAsia="en-AU"/>
        </w:rPr>
        <w:instrText xml:space="preserve"> ADDIN EN.CITE &lt;EndNote&gt;&lt;Cite&gt;&lt;Author&gt;GBRMPA&lt;/Author&gt;&lt;Year&gt;2010&lt;/Year&gt;&lt;RecNum&gt;85&lt;/RecNum&gt;&lt;DisplayText&gt;(GBRMPA, 2010)&lt;/DisplayText&gt;&lt;record&gt;&lt;rec-number&gt;85&lt;/rec-number&gt;&lt;foreign-keys&gt;&lt;key app="EN" db-id="xtpvpwz0ufxa2me5tv6v2prn2ez5p9atsvtr" timestamp="1539144945"&gt;85&lt;/key&gt;&lt;/foreign-keys&gt;&lt;ref-type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2010.&lt;/title&gt;&lt;/titles&gt;&lt;dates&gt;&lt;year&gt;2010&lt;/year&gt;&lt;/dates&gt;&lt;pub-location&gt;Great Barrier Reef Marine Park Authority, Townsville&lt;/pub-location&gt;&lt;urls&gt;&lt;/urls&gt;&lt;/record&gt;&lt;/Cite&gt;&lt;/EndNote&gt;</w:instrText>
      </w:r>
      <w:r>
        <w:rPr>
          <w:lang w:val="en-AU" w:eastAsia="en-AU"/>
        </w:rPr>
        <w:fldChar w:fldCharType="separate"/>
      </w:r>
      <w:r w:rsidR="00B33845">
        <w:rPr>
          <w:noProof/>
          <w:lang w:val="en-AU" w:eastAsia="en-AU"/>
        </w:rPr>
        <w:t>(GBRMPA, 2010)</w:t>
      </w:r>
      <w:r>
        <w:rPr>
          <w:lang w:val="en-AU" w:eastAsia="en-AU"/>
        </w:rPr>
        <w:fldChar w:fldCharType="end"/>
      </w:r>
      <w:r>
        <w:rPr>
          <w:lang w:val="en-AU" w:eastAsia="en-AU"/>
        </w:rPr>
        <w:t xml:space="preserve"> </w:t>
      </w:r>
      <w:r w:rsidRPr="004172A1">
        <w:rPr>
          <w:lang w:val="en-AU" w:eastAsia="en-AU"/>
        </w:rPr>
        <w:t>for tropical species</w:t>
      </w:r>
      <w:r>
        <w:rPr>
          <w:lang w:val="en-AU" w:eastAsia="en-AU"/>
        </w:rPr>
        <w:t xml:space="preserve"> (</w:t>
      </w:r>
      <w:r>
        <w:rPr>
          <w:highlight w:val="yellow"/>
          <w:lang w:val="en-AU" w:eastAsia="en-AU"/>
        </w:rPr>
        <w:fldChar w:fldCharType="begin"/>
      </w:r>
      <w:r>
        <w:rPr>
          <w:lang w:val="en-AU" w:eastAsia="en-AU"/>
        </w:rPr>
        <w:instrText xml:space="preserve"> REF _Ref480726661 \n \h </w:instrText>
      </w:r>
      <w:r w:rsidR="002439C8">
        <w:rPr>
          <w:highlight w:val="yellow"/>
          <w:lang w:val="en-AU" w:eastAsia="en-AU"/>
        </w:rPr>
        <w:instrText xml:space="preserve"> \* MERGEFORMAT </w:instrText>
      </w:r>
      <w:r>
        <w:rPr>
          <w:highlight w:val="yellow"/>
          <w:lang w:val="en-AU" w:eastAsia="en-AU"/>
        </w:rPr>
      </w:r>
      <w:r>
        <w:rPr>
          <w:highlight w:val="yellow"/>
          <w:lang w:val="en-AU" w:eastAsia="en-AU"/>
        </w:rPr>
        <w:fldChar w:fldCharType="separate"/>
      </w:r>
      <w:r w:rsidR="00251B46">
        <w:rPr>
          <w:lang w:val="en-AU" w:eastAsia="en-AU"/>
        </w:rPr>
        <w:t xml:space="preserve">Appendix B </w:t>
      </w:r>
      <w:r>
        <w:rPr>
          <w:highlight w:val="yellow"/>
          <w:lang w:val="en-AU" w:eastAsia="en-AU"/>
        </w:rPr>
        <w:fldChar w:fldCharType="end"/>
      </w:r>
      <w:r>
        <w:rPr>
          <w:highlight w:val="yellow"/>
          <w:lang w:val="en-AU" w:eastAsia="en-AU"/>
        </w:rPr>
        <w:fldChar w:fldCharType="begin"/>
      </w:r>
      <w:r>
        <w:rPr>
          <w:highlight w:val="yellow"/>
          <w:lang w:val="en-AU" w:eastAsia="en-AU"/>
        </w:rPr>
        <w:instrText xml:space="preserve"> REF _Ref480726648 \h </w:instrText>
      </w:r>
      <w:r w:rsidR="002439C8">
        <w:rPr>
          <w:highlight w:val="yellow"/>
          <w:lang w:val="en-AU" w:eastAsia="en-AU"/>
        </w:rPr>
        <w:instrText xml:space="preserve"> \* MERGEFORMAT </w:instrText>
      </w:r>
      <w:r>
        <w:rPr>
          <w:highlight w:val="yellow"/>
          <w:lang w:val="en-AU" w:eastAsia="en-AU"/>
        </w:rPr>
      </w:r>
      <w:r>
        <w:rPr>
          <w:highlight w:val="yellow"/>
          <w:lang w:val="en-AU" w:eastAsia="en-AU"/>
        </w:rPr>
        <w:fldChar w:fldCharType="separate"/>
      </w:r>
      <w:r w:rsidR="00251B46">
        <w:t xml:space="preserve">Table </w:t>
      </w:r>
      <w:r w:rsidR="00251B46">
        <w:rPr>
          <w:noProof/>
        </w:rPr>
        <w:t>B</w:t>
      </w:r>
      <w:r w:rsidR="00251B46">
        <w:rPr>
          <w:noProof/>
        </w:rPr>
        <w:noBreakHyphen/>
        <w:t>1</w:t>
      </w:r>
      <w:r>
        <w:rPr>
          <w:highlight w:val="yellow"/>
          <w:lang w:val="en-AU" w:eastAsia="en-AU"/>
        </w:rPr>
        <w:fldChar w:fldCharType="end"/>
      </w:r>
      <w:r>
        <w:rPr>
          <w:lang w:val="en-AU" w:eastAsia="en-AU"/>
        </w:rPr>
        <w:t>)</w:t>
      </w:r>
      <w:r w:rsidRPr="00150F01">
        <w:rPr>
          <w:lang w:val="en-AU" w:eastAsia="en-AU"/>
        </w:rPr>
        <w:t>.</w:t>
      </w:r>
      <w:r>
        <w:rPr>
          <w:lang w:val="en-AU" w:eastAsia="en-AU"/>
        </w:rPr>
        <w:t xml:space="preserve"> </w:t>
      </w:r>
      <w:r w:rsidRPr="00150F01">
        <w:rPr>
          <w:lang w:val="en-AU" w:eastAsia="en-AU"/>
        </w:rPr>
        <w:t xml:space="preserve">The </w:t>
      </w:r>
      <w:r>
        <w:rPr>
          <w:lang w:val="en-AU" w:eastAsia="en-AU"/>
        </w:rPr>
        <w:t>Great Barrier Reef is considered as a high ecological value (HEV) ecosystem and, therefore, afforded the highest water quality protection level, i.e. protection of at least 99 per cent</w:t>
      </w:r>
      <w:r w:rsidRPr="00150F01">
        <w:rPr>
          <w:lang w:val="en-AU" w:eastAsia="en-AU"/>
        </w:rPr>
        <w:t xml:space="preserve"> of species</w:t>
      </w:r>
      <w:r>
        <w:rPr>
          <w:lang w:val="en-AU" w:eastAsia="en-AU"/>
        </w:rPr>
        <w:t xml:space="preserve"> (PC99)</w:t>
      </w:r>
      <w:r w:rsidRPr="00150F01">
        <w:rPr>
          <w:lang w:val="en-AU" w:eastAsia="en-AU"/>
        </w:rPr>
        <w:t xml:space="preserve">. This level of protection </w:t>
      </w:r>
      <w:r>
        <w:rPr>
          <w:lang w:val="en-AU" w:eastAsia="en-AU"/>
        </w:rPr>
        <w:t>is</w:t>
      </w:r>
      <w:r w:rsidRPr="00150F01">
        <w:rPr>
          <w:lang w:val="en-AU" w:eastAsia="en-AU"/>
        </w:rPr>
        <w:t xml:space="preserve"> judged the most suitable for th</w:t>
      </w:r>
      <w:r>
        <w:rPr>
          <w:lang w:val="en-AU" w:eastAsia="en-AU"/>
        </w:rPr>
        <w:t xml:space="preserve">is </w:t>
      </w:r>
      <w:r w:rsidRPr="00150F01">
        <w:rPr>
          <w:lang w:val="en-AU" w:eastAsia="en-AU"/>
        </w:rPr>
        <w:t xml:space="preserve">World Heritage Area, which is classified as having outstanding </w:t>
      </w:r>
      <w:r>
        <w:rPr>
          <w:lang w:val="en-AU" w:eastAsia="en-AU"/>
        </w:rPr>
        <w:t>universal</w:t>
      </w:r>
      <w:r w:rsidRPr="00150F01">
        <w:rPr>
          <w:lang w:val="en-AU" w:eastAsia="en-AU"/>
        </w:rPr>
        <w:t xml:space="preserve"> value and no change in the indicators of biological diversity beyond the natural variation is recommended</w:t>
      </w:r>
      <w:r>
        <w:rPr>
          <w:lang w:val="en-AU" w:eastAsia="en-AU"/>
        </w:rPr>
        <w:t>.</w:t>
      </w:r>
      <w:r w:rsidRPr="00150F01">
        <w:rPr>
          <w:lang w:val="en-AU" w:eastAsia="en-AU"/>
        </w:rPr>
        <w:t xml:space="preserve"> </w:t>
      </w:r>
    </w:p>
    <w:p w14:paraId="0E1340F9" w14:textId="77777777" w:rsidR="00444862" w:rsidRPr="00444862" w:rsidRDefault="00444862" w:rsidP="002439C8">
      <w:pPr>
        <w:jc w:val="left"/>
        <w:rPr>
          <w:lang w:val="en-AU" w:bidi="ar-SA"/>
        </w:rPr>
      </w:pPr>
    </w:p>
    <w:p w14:paraId="1A3041A6" w14:textId="77777777" w:rsidR="00954FCA" w:rsidRPr="00CB093C" w:rsidRDefault="004A2E7A" w:rsidP="00954FCA">
      <w:pPr>
        <w:pStyle w:val="Caption"/>
        <w:rPr>
          <w:rFonts w:cs="Arial"/>
          <w:i/>
          <w:vanish/>
          <w:color w:val="000000"/>
          <w:specVanish/>
        </w:rPr>
      </w:pPr>
      <w:bookmarkStart w:id="661" w:name="_Ref480726648"/>
      <w:bookmarkStart w:id="662" w:name="_Toc15283228"/>
      <w:bookmarkStart w:id="663" w:name="_Toc527468632"/>
      <w:bookmarkEnd w:id="658"/>
      <w:r>
        <w:t xml:space="preserve">Table </w:t>
      </w:r>
      <w:r w:rsidR="00C91BF5">
        <w:fldChar w:fldCharType="begin"/>
      </w:r>
      <w:r w:rsidR="008C60F9">
        <w:instrText xml:space="preserve"> STYLEREF 7 \s </w:instrText>
      </w:r>
      <w:r w:rsidR="00C91BF5">
        <w:fldChar w:fldCharType="separate"/>
      </w:r>
      <w:r w:rsidR="00251B46">
        <w:rPr>
          <w:noProof/>
        </w:rPr>
        <w:t>B</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251B46">
        <w:rPr>
          <w:noProof/>
        </w:rPr>
        <w:t>1</w:t>
      </w:r>
      <w:r w:rsidR="00C91BF5">
        <w:fldChar w:fldCharType="end"/>
      </w:r>
      <w:bookmarkEnd w:id="661"/>
      <w:r>
        <w:t xml:space="preserve">: </w:t>
      </w:r>
      <w:r w:rsidR="00840E64">
        <w:rPr>
          <w:b w:val="0"/>
        </w:rPr>
        <w:t>W</w:t>
      </w:r>
      <w:r w:rsidR="004638BA" w:rsidRPr="00840E64">
        <w:rPr>
          <w:b w:val="0"/>
        </w:rPr>
        <w:t xml:space="preserve">ater quality </w:t>
      </w:r>
      <w:r w:rsidR="00662785">
        <w:rPr>
          <w:b w:val="0"/>
        </w:rPr>
        <w:t>limits</w:t>
      </w:r>
      <w:r w:rsidR="002118E1">
        <w:rPr>
          <w:b w:val="0"/>
        </w:rPr>
        <w:t xml:space="preserve"> </w:t>
      </w:r>
      <w:r w:rsidR="004638BA" w:rsidRPr="00840E64">
        <w:rPr>
          <w:b w:val="0"/>
        </w:rPr>
        <w:t>available for pesticides</w:t>
      </w:r>
      <w:bookmarkEnd w:id="662"/>
    </w:p>
    <w:p w14:paraId="13B04AAE" w14:textId="7C6745EA" w:rsidR="004638BA" w:rsidRPr="00840E64" w:rsidRDefault="004638BA" w:rsidP="002439C8">
      <w:pPr>
        <w:pStyle w:val="Caption"/>
        <w:keepNext/>
        <w:spacing w:after="120"/>
        <w:rPr>
          <w:b w:val="0"/>
        </w:rPr>
      </w:pPr>
      <w:r w:rsidRPr="00840E64">
        <w:rPr>
          <w:b w:val="0"/>
        </w:rPr>
        <w:t xml:space="preserve"> </w:t>
      </w:r>
      <w:r w:rsidR="00F47C7E">
        <w:rPr>
          <w:b w:val="0"/>
        </w:rPr>
        <w:t>(</w:t>
      </w:r>
      <w:r w:rsidR="002118E1">
        <w:rPr>
          <w:b w:val="0"/>
        </w:rPr>
        <w:t xml:space="preserve">protective concentration </w:t>
      </w:r>
      <w:r w:rsidR="00973579">
        <w:rPr>
          <w:b w:val="0"/>
        </w:rPr>
        <w:t xml:space="preserve">(PC) </w:t>
      </w:r>
      <w:r w:rsidR="002118E1">
        <w:rPr>
          <w:b w:val="0"/>
        </w:rPr>
        <w:t xml:space="preserve">values, </w:t>
      </w:r>
      <w:r w:rsidR="00F47C7E">
        <w:rPr>
          <w:b w:val="0"/>
        </w:rPr>
        <w:t>PC</w:t>
      </w:r>
      <w:r w:rsidR="00D06199">
        <w:rPr>
          <w:b w:val="0"/>
        </w:rPr>
        <w:t>95 and PC</w:t>
      </w:r>
      <w:r w:rsidR="00F47C7E">
        <w:rPr>
          <w:b w:val="0"/>
        </w:rPr>
        <w:t>99</w:t>
      </w:r>
      <w:r w:rsidR="002118E1">
        <w:rPr>
          <w:b w:val="0"/>
        </w:rPr>
        <w:t>,</w:t>
      </w:r>
      <w:r w:rsidR="00F47C7E">
        <w:rPr>
          <w:b w:val="0"/>
        </w:rPr>
        <w:t xml:space="preserve"> will protect </w:t>
      </w:r>
      <w:r w:rsidR="00D06199">
        <w:rPr>
          <w:b w:val="0"/>
        </w:rPr>
        <w:t>95</w:t>
      </w:r>
      <w:r w:rsidR="002118E1">
        <w:rPr>
          <w:b w:val="0"/>
        </w:rPr>
        <w:t>%</w:t>
      </w:r>
      <w:r w:rsidR="00D06199">
        <w:rPr>
          <w:b w:val="0"/>
        </w:rPr>
        <w:t xml:space="preserve"> and </w:t>
      </w:r>
      <w:r w:rsidR="00F47C7E">
        <w:rPr>
          <w:b w:val="0"/>
        </w:rPr>
        <w:t xml:space="preserve">99% of the species in the </w:t>
      </w:r>
      <w:r w:rsidR="005177E0">
        <w:rPr>
          <w:b w:val="0"/>
        </w:rPr>
        <w:t>ecosystem</w:t>
      </w:r>
      <w:r w:rsidR="00D06199">
        <w:rPr>
          <w:b w:val="0"/>
        </w:rPr>
        <w:t>, respectively</w:t>
      </w:r>
      <w:r w:rsidR="00F47C7E">
        <w:rPr>
          <w:b w:val="0"/>
        </w:rPr>
        <w:t>)</w:t>
      </w:r>
      <w:r w:rsidRPr="00840E64">
        <w:rPr>
          <w:b w:val="0"/>
        </w:rPr>
        <w:t xml:space="preserve"> </w:t>
      </w:r>
      <w:r w:rsidR="00A209AA" w:rsidRPr="00A209AA">
        <w:rPr>
          <w:b w:val="0"/>
        </w:rPr>
        <w:t>(ng L</w:t>
      </w:r>
      <w:r w:rsidR="00A209AA" w:rsidRPr="00A209AA">
        <w:rPr>
          <w:b w:val="0"/>
          <w:vertAlign w:val="superscript"/>
        </w:rPr>
        <w:noBreakHyphen/>
        <w:t>1</w:t>
      </w:r>
      <w:r w:rsidRPr="00840E64">
        <w:rPr>
          <w:b w:val="0"/>
        </w:rPr>
        <w:t>)</w:t>
      </w:r>
      <w:r w:rsidR="00CC75AA">
        <w:rPr>
          <w:b w:val="0"/>
        </w:rPr>
        <w:t>.</w:t>
      </w:r>
      <w:bookmarkEnd w:id="663"/>
      <w:r w:rsidR="00CC75AA">
        <w:rPr>
          <w:b w:val="0"/>
        </w:rPr>
        <w:t xml:space="preserve"> </w:t>
      </w:r>
    </w:p>
    <w:tbl>
      <w:tblPr>
        <w:tblStyle w:val="MediumShading2-Accent5"/>
        <w:tblW w:w="5000" w:type="pct"/>
        <w:tblLook w:val="04A0" w:firstRow="1" w:lastRow="0" w:firstColumn="1" w:lastColumn="0" w:noHBand="0" w:noVBand="1"/>
        <w:tblCaption w:val="Water quality limits available for pesticides"/>
        <w:tblDescription w:val="Water quality limits available for pesticides (protective concentration values, PC95 and PC99, will protect 95% and 99% of the species in the ecosystem, respectively) (ng L-1). "/>
      </w:tblPr>
      <w:tblGrid>
        <w:gridCol w:w="1497"/>
        <w:gridCol w:w="1488"/>
        <w:gridCol w:w="3175"/>
        <w:gridCol w:w="1390"/>
        <w:gridCol w:w="2834"/>
        <w:gridCol w:w="1404"/>
        <w:gridCol w:w="148"/>
        <w:gridCol w:w="2024"/>
      </w:tblGrid>
      <w:tr w:rsidR="002118E1" w:rsidRPr="00581507" w14:paraId="471A4CBD" w14:textId="77777777" w:rsidTr="00A209AA">
        <w:trPr>
          <w:cnfStyle w:val="100000000000" w:firstRow="1" w:lastRow="0" w:firstColumn="0" w:lastColumn="0" w:oddVBand="0" w:evenVBand="0" w:oddHBand="0" w:evenHBand="0" w:firstRowFirstColumn="0" w:firstRowLastColumn="0" w:lastRowFirstColumn="0" w:lastRowLastColumn="0"/>
          <w:trHeight w:val="339"/>
          <w:tblHeader/>
        </w:trPr>
        <w:tc>
          <w:tcPr>
            <w:cnfStyle w:val="001000000100" w:firstRow="0" w:lastRow="0" w:firstColumn="1" w:lastColumn="0" w:oddVBand="0" w:evenVBand="0" w:oddHBand="0" w:evenHBand="0" w:firstRowFirstColumn="1" w:firstRowLastColumn="0" w:lastRowFirstColumn="0" w:lastRowLastColumn="0"/>
            <w:tcW w:w="536" w:type="pct"/>
            <w:vMerge w:val="restart"/>
            <w:tcBorders>
              <w:top w:val="single" w:sz="2" w:space="0" w:color="auto"/>
            </w:tcBorders>
            <w:shd w:val="clear" w:color="auto" w:fill="F2F2F2" w:themeFill="background1" w:themeFillShade="F2"/>
            <w:vAlign w:val="center"/>
          </w:tcPr>
          <w:p w14:paraId="6D2DADDB" w14:textId="77777777" w:rsidR="006504D6" w:rsidRPr="002D0872" w:rsidRDefault="006504D6" w:rsidP="002439C8">
            <w:pPr>
              <w:pStyle w:val="Caption"/>
              <w:rPr>
                <w:rFonts w:asciiTheme="minorHAnsi" w:hAnsiTheme="minorHAnsi"/>
                <w:color w:val="auto"/>
                <w:sz w:val="20"/>
                <w:lang w:val="en-AU"/>
              </w:rPr>
            </w:pPr>
            <w:r w:rsidRPr="00581507">
              <w:rPr>
                <w:rFonts w:asciiTheme="minorHAnsi" w:hAnsiTheme="minorHAnsi"/>
                <w:color w:val="auto"/>
                <w:sz w:val="22"/>
                <w:lang w:val="en-AU"/>
              </w:rPr>
              <w:t>Chemical</w:t>
            </w:r>
          </w:p>
        </w:tc>
        <w:tc>
          <w:tcPr>
            <w:tcW w:w="1670" w:type="pct"/>
            <w:gridSpan w:val="2"/>
            <w:tcBorders>
              <w:top w:val="single" w:sz="2" w:space="0" w:color="auto"/>
            </w:tcBorders>
            <w:shd w:val="clear" w:color="auto" w:fill="F2F2F2" w:themeFill="background1" w:themeFillShade="F2"/>
            <w:vAlign w:val="center"/>
          </w:tcPr>
          <w:p w14:paraId="0C7390B0" w14:textId="77777777" w:rsidR="004003F7" w:rsidRPr="002D0872" w:rsidRDefault="0090299F" w:rsidP="002439C8">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olor w:val="auto"/>
                <w:sz w:val="22"/>
                <w:vertAlign w:val="superscript"/>
                <w:lang w:val="en-AU"/>
              </w:rPr>
            </w:pPr>
            <w:r w:rsidRPr="00581507">
              <w:rPr>
                <w:rFonts w:asciiTheme="minorHAnsi" w:hAnsiTheme="minorHAnsi"/>
                <w:color w:val="auto"/>
                <w:sz w:val="22"/>
                <w:lang w:val="en-AU"/>
              </w:rPr>
              <w:t>DES</w:t>
            </w:r>
            <w:r w:rsidR="002118E1" w:rsidRPr="00581507">
              <w:rPr>
                <w:rFonts w:asciiTheme="minorHAnsi" w:hAnsiTheme="minorHAnsi"/>
                <w:color w:val="auto"/>
                <w:sz w:val="22"/>
                <w:lang w:val="en-AU"/>
              </w:rPr>
              <w:t xml:space="preserve"> p</w:t>
            </w:r>
            <w:r w:rsidR="00CE36E8" w:rsidRPr="00581507">
              <w:rPr>
                <w:rFonts w:asciiTheme="minorHAnsi" w:hAnsiTheme="minorHAnsi"/>
                <w:color w:val="auto"/>
                <w:sz w:val="22"/>
                <w:lang w:val="en-AU"/>
              </w:rPr>
              <w:t xml:space="preserve">roposed </w:t>
            </w:r>
            <w:r w:rsidR="00F039E6" w:rsidRPr="00581507">
              <w:rPr>
                <w:rFonts w:asciiTheme="minorHAnsi" w:hAnsiTheme="minorHAnsi"/>
                <w:color w:val="auto"/>
                <w:sz w:val="22"/>
                <w:lang w:val="en-AU"/>
              </w:rPr>
              <w:t>g</w:t>
            </w:r>
            <w:r w:rsidR="008C7DB4" w:rsidRPr="00581507">
              <w:rPr>
                <w:rFonts w:asciiTheme="minorHAnsi" w:hAnsiTheme="minorHAnsi"/>
                <w:color w:val="auto"/>
                <w:sz w:val="22"/>
                <w:lang w:val="en-AU"/>
              </w:rPr>
              <w:t xml:space="preserve">uideline </w:t>
            </w:r>
            <w:r w:rsidR="00F039E6" w:rsidRPr="00581507">
              <w:rPr>
                <w:rFonts w:asciiTheme="minorHAnsi" w:hAnsiTheme="minorHAnsi"/>
                <w:color w:val="auto"/>
                <w:sz w:val="22"/>
                <w:lang w:val="en-AU"/>
              </w:rPr>
              <w:t>v</w:t>
            </w:r>
            <w:r w:rsidR="008C7DB4" w:rsidRPr="00581507">
              <w:rPr>
                <w:rFonts w:asciiTheme="minorHAnsi" w:hAnsiTheme="minorHAnsi"/>
                <w:color w:val="auto"/>
                <w:sz w:val="22"/>
                <w:lang w:val="en-AU"/>
              </w:rPr>
              <w:t>alue</w:t>
            </w:r>
            <w:r w:rsidR="00CE36E8" w:rsidRPr="00581507">
              <w:rPr>
                <w:rFonts w:asciiTheme="minorHAnsi" w:hAnsiTheme="minorHAnsi"/>
                <w:color w:val="auto"/>
                <w:sz w:val="22"/>
                <w:lang w:val="en-AU"/>
              </w:rPr>
              <w:t>s</w:t>
            </w:r>
            <w:r w:rsidR="000A467A" w:rsidRPr="00581507">
              <w:rPr>
                <w:rFonts w:asciiTheme="minorHAnsi" w:hAnsiTheme="minorHAnsi"/>
                <w:color w:val="auto"/>
                <w:sz w:val="22"/>
                <w:lang w:val="en-AU"/>
              </w:rPr>
              <w:t xml:space="preserve"> (</w:t>
            </w:r>
            <w:r w:rsidR="009715F5" w:rsidRPr="00581507">
              <w:rPr>
                <w:rFonts w:asciiTheme="minorHAnsi" w:hAnsiTheme="minorHAnsi" w:cstheme="minorHAnsi"/>
                <w:color w:val="auto"/>
                <w:sz w:val="22"/>
                <w:lang w:val="en-AU" w:eastAsia="en-AU"/>
              </w:rPr>
              <w:t>P</w:t>
            </w:r>
            <w:r w:rsidR="000A467A" w:rsidRPr="00581507">
              <w:rPr>
                <w:rFonts w:asciiTheme="minorHAnsi" w:hAnsiTheme="minorHAnsi"/>
                <w:color w:val="auto"/>
                <w:sz w:val="22"/>
                <w:lang w:val="en-AU"/>
              </w:rPr>
              <w:t>GV</w:t>
            </w:r>
            <w:r w:rsidR="00973579" w:rsidRPr="00581507">
              <w:rPr>
                <w:rFonts w:asciiTheme="minorHAnsi" w:hAnsiTheme="minorHAnsi"/>
                <w:color w:val="auto"/>
                <w:sz w:val="22"/>
                <w:lang w:val="en-AU"/>
              </w:rPr>
              <w:t>s</w:t>
            </w:r>
            <w:r w:rsidR="000A467A" w:rsidRPr="00581507">
              <w:rPr>
                <w:rFonts w:asciiTheme="minorHAnsi" w:hAnsiTheme="minorHAnsi"/>
                <w:color w:val="auto"/>
                <w:sz w:val="22"/>
                <w:lang w:val="en-AU"/>
              </w:rPr>
              <w:t>)</w:t>
            </w:r>
            <w:r w:rsidR="00662785" w:rsidRPr="00581507">
              <w:rPr>
                <w:rFonts w:asciiTheme="minorHAnsi" w:hAnsiTheme="minorHAnsi"/>
                <w:color w:val="auto"/>
                <w:sz w:val="22"/>
                <w:vertAlign w:val="superscript"/>
                <w:lang w:val="en-AU"/>
              </w:rPr>
              <w:t>a</w:t>
            </w:r>
          </w:p>
        </w:tc>
        <w:tc>
          <w:tcPr>
            <w:tcW w:w="1513" w:type="pct"/>
            <w:gridSpan w:val="2"/>
            <w:tcBorders>
              <w:top w:val="single" w:sz="2" w:space="0" w:color="auto"/>
            </w:tcBorders>
            <w:shd w:val="clear" w:color="auto" w:fill="F2F2F2" w:themeFill="background1" w:themeFillShade="F2"/>
            <w:vAlign w:val="center"/>
          </w:tcPr>
          <w:p w14:paraId="48827998" w14:textId="77777777" w:rsidR="006504D6" w:rsidRPr="002D0872" w:rsidRDefault="007B5109" w:rsidP="002439C8">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olor w:val="auto"/>
                <w:sz w:val="20"/>
                <w:lang w:val="en-AU"/>
              </w:rPr>
            </w:pPr>
            <w:r>
              <w:rPr>
                <w:rFonts w:asciiTheme="minorHAnsi" w:hAnsiTheme="minorHAnsi"/>
                <w:color w:val="auto"/>
                <w:sz w:val="22"/>
                <w:lang w:val="en-AU"/>
              </w:rPr>
              <w:t xml:space="preserve">     </w:t>
            </w:r>
            <w:r w:rsidR="006504D6" w:rsidRPr="00581507">
              <w:rPr>
                <w:rFonts w:asciiTheme="minorHAnsi" w:hAnsiTheme="minorHAnsi"/>
                <w:color w:val="auto"/>
                <w:sz w:val="22"/>
                <w:lang w:val="en-AU"/>
              </w:rPr>
              <w:t>ANZECC</w:t>
            </w:r>
            <w:r w:rsidR="00662785" w:rsidRPr="00581507">
              <w:rPr>
                <w:rFonts w:asciiTheme="minorHAnsi" w:hAnsiTheme="minorHAnsi"/>
                <w:color w:val="auto"/>
                <w:sz w:val="22"/>
                <w:vertAlign w:val="superscript"/>
                <w:lang w:val="en-AU"/>
              </w:rPr>
              <w:t>c</w:t>
            </w:r>
          </w:p>
        </w:tc>
        <w:tc>
          <w:tcPr>
            <w:tcW w:w="1282" w:type="pct"/>
            <w:gridSpan w:val="3"/>
            <w:tcBorders>
              <w:top w:val="single" w:sz="2" w:space="0" w:color="auto"/>
            </w:tcBorders>
            <w:shd w:val="clear" w:color="auto" w:fill="F2F2F2" w:themeFill="background1" w:themeFillShade="F2"/>
            <w:vAlign w:val="center"/>
          </w:tcPr>
          <w:p w14:paraId="507F84E6" w14:textId="77777777" w:rsidR="006504D6" w:rsidRPr="002D0872" w:rsidRDefault="006504D6" w:rsidP="002439C8">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olor w:val="auto"/>
                <w:sz w:val="22"/>
                <w:lang w:val="en-AU"/>
              </w:rPr>
            </w:pPr>
            <w:r w:rsidRPr="00581507">
              <w:rPr>
                <w:rFonts w:asciiTheme="minorHAnsi" w:hAnsiTheme="minorHAnsi"/>
                <w:color w:val="auto"/>
                <w:sz w:val="22"/>
                <w:lang w:val="en-AU"/>
              </w:rPr>
              <w:t>GBRMPA</w:t>
            </w:r>
            <w:r w:rsidR="00662785" w:rsidRPr="00581507">
              <w:rPr>
                <w:rFonts w:asciiTheme="minorHAnsi" w:hAnsiTheme="minorHAnsi"/>
                <w:color w:val="auto"/>
                <w:sz w:val="22"/>
                <w:vertAlign w:val="superscript"/>
                <w:lang w:val="en-AU"/>
              </w:rPr>
              <w:t>e</w:t>
            </w:r>
          </w:p>
        </w:tc>
      </w:tr>
      <w:tr w:rsidR="002118E1" w:rsidRPr="00581507" w14:paraId="02170057" w14:textId="77777777" w:rsidTr="00A209AA">
        <w:trPr>
          <w:cnfStyle w:val="100000000000" w:firstRow="1" w:lastRow="0" w:firstColumn="0" w:lastColumn="0" w:oddVBand="0" w:evenVBand="0" w:oddHBand="0" w:evenHBand="0" w:firstRowFirstColumn="0" w:firstRowLastColumn="0" w:lastRowFirstColumn="0" w:lastRowLastColumn="0"/>
          <w:trHeight w:val="35"/>
          <w:tblHeader/>
        </w:trPr>
        <w:tc>
          <w:tcPr>
            <w:cnfStyle w:val="001000000100" w:firstRow="0" w:lastRow="0" w:firstColumn="1" w:lastColumn="0" w:oddVBand="0" w:evenVBand="0" w:oddHBand="0" w:evenHBand="0" w:firstRowFirstColumn="1" w:firstRowLastColumn="0" w:lastRowFirstColumn="0" w:lastRowLastColumn="0"/>
            <w:tcW w:w="536" w:type="pct"/>
            <w:vMerge/>
            <w:tcBorders>
              <w:bottom w:val="single" w:sz="2" w:space="0" w:color="auto"/>
            </w:tcBorders>
            <w:shd w:val="clear" w:color="auto" w:fill="F2F2F2" w:themeFill="background1" w:themeFillShade="F2"/>
            <w:vAlign w:val="center"/>
          </w:tcPr>
          <w:p w14:paraId="56FEB8B0" w14:textId="77777777" w:rsidR="005177E0" w:rsidRPr="00581507" w:rsidRDefault="005177E0" w:rsidP="002439C8">
            <w:pPr>
              <w:pStyle w:val="Caption"/>
              <w:rPr>
                <w:rFonts w:asciiTheme="minorHAnsi" w:hAnsiTheme="minorHAnsi"/>
                <w:color w:val="auto"/>
                <w:sz w:val="20"/>
                <w:lang w:val="en-AU"/>
              </w:rPr>
            </w:pPr>
          </w:p>
        </w:tc>
        <w:tc>
          <w:tcPr>
            <w:tcW w:w="533" w:type="pct"/>
            <w:tcBorders>
              <w:bottom w:val="single" w:sz="2" w:space="0" w:color="auto"/>
            </w:tcBorders>
            <w:shd w:val="clear" w:color="auto" w:fill="F2F2F2" w:themeFill="background1" w:themeFillShade="F2"/>
            <w:vAlign w:val="center"/>
          </w:tcPr>
          <w:p w14:paraId="05002377" w14:textId="77777777" w:rsidR="005177E0" w:rsidRPr="002D0872" w:rsidRDefault="00020E94" w:rsidP="002439C8">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olor w:val="auto"/>
                <w:sz w:val="22"/>
                <w:lang w:val="en-AU"/>
              </w:rPr>
            </w:pPr>
            <w:r w:rsidRPr="00581507">
              <w:rPr>
                <w:rFonts w:asciiTheme="minorHAnsi" w:hAnsiTheme="minorHAnsi"/>
                <w:color w:val="auto"/>
                <w:sz w:val="22"/>
                <w:lang w:val="en-AU"/>
              </w:rPr>
              <w:t>PGV</w:t>
            </w:r>
          </w:p>
        </w:tc>
        <w:tc>
          <w:tcPr>
            <w:tcW w:w="1136" w:type="pct"/>
            <w:tcBorders>
              <w:bottom w:val="single" w:sz="2" w:space="0" w:color="auto"/>
            </w:tcBorders>
            <w:shd w:val="clear" w:color="auto" w:fill="F2F2F2" w:themeFill="background1" w:themeFillShade="F2"/>
            <w:vAlign w:val="center"/>
          </w:tcPr>
          <w:p w14:paraId="715D3271" w14:textId="77777777" w:rsidR="005177E0" w:rsidRPr="002D0872" w:rsidRDefault="005177E0" w:rsidP="002439C8">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olor w:val="auto"/>
                <w:sz w:val="22"/>
                <w:lang w:val="en-AU"/>
              </w:rPr>
            </w:pPr>
            <w:r w:rsidRPr="00581507">
              <w:rPr>
                <w:rFonts w:asciiTheme="minorHAnsi" w:hAnsiTheme="minorHAnsi"/>
                <w:color w:val="auto"/>
                <w:sz w:val="22"/>
                <w:lang w:val="en-AU"/>
              </w:rPr>
              <w:t>Notes</w:t>
            </w:r>
          </w:p>
        </w:tc>
        <w:tc>
          <w:tcPr>
            <w:tcW w:w="498" w:type="pct"/>
            <w:tcBorders>
              <w:bottom w:val="single" w:sz="2" w:space="0" w:color="auto"/>
            </w:tcBorders>
            <w:shd w:val="clear" w:color="auto" w:fill="F2F2F2" w:themeFill="background1" w:themeFillShade="F2"/>
            <w:vAlign w:val="center"/>
          </w:tcPr>
          <w:p w14:paraId="1F650B52" w14:textId="77777777" w:rsidR="005177E0" w:rsidRPr="002D0872" w:rsidRDefault="005177E0" w:rsidP="002439C8">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olor w:val="auto"/>
                <w:sz w:val="22"/>
                <w:lang w:val="en-AU"/>
              </w:rPr>
            </w:pPr>
            <w:r w:rsidRPr="00581507">
              <w:rPr>
                <w:rFonts w:asciiTheme="minorHAnsi" w:hAnsiTheme="minorHAnsi"/>
                <w:color w:val="auto"/>
                <w:sz w:val="22"/>
                <w:lang w:val="en-AU"/>
              </w:rPr>
              <w:t>Trigger Value</w:t>
            </w:r>
          </w:p>
        </w:tc>
        <w:tc>
          <w:tcPr>
            <w:tcW w:w="1014" w:type="pct"/>
            <w:tcBorders>
              <w:bottom w:val="single" w:sz="2" w:space="0" w:color="auto"/>
            </w:tcBorders>
            <w:shd w:val="clear" w:color="auto" w:fill="F2F2F2" w:themeFill="background1" w:themeFillShade="F2"/>
            <w:vAlign w:val="center"/>
          </w:tcPr>
          <w:p w14:paraId="026FFC6B" w14:textId="77777777" w:rsidR="005177E0" w:rsidRPr="002D0872" w:rsidRDefault="005177E0" w:rsidP="002439C8">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olor w:val="auto"/>
                <w:sz w:val="22"/>
                <w:lang w:val="en-AU"/>
              </w:rPr>
            </w:pPr>
            <w:r w:rsidRPr="00581507">
              <w:rPr>
                <w:rFonts w:asciiTheme="minorHAnsi" w:hAnsiTheme="minorHAnsi"/>
                <w:color w:val="auto"/>
                <w:sz w:val="22"/>
                <w:lang w:val="en-AU"/>
              </w:rPr>
              <w:t>Notes</w:t>
            </w:r>
          </w:p>
        </w:tc>
        <w:tc>
          <w:tcPr>
            <w:tcW w:w="556" w:type="pct"/>
            <w:gridSpan w:val="2"/>
            <w:tcBorders>
              <w:bottom w:val="single" w:sz="2" w:space="0" w:color="auto"/>
            </w:tcBorders>
            <w:shd w:val="clear" w:color="auto" w:fill="F2F2F2" w:themeFill="background1" w:themeFillShade="F2"/>
          </w:tcPr>
          <w:p w14:paraId="1D334E1E" w14:textId="77777777" w:rsidR="005177E0" w:rsidRPr="002D0872" w:rsidRDefault="00973579" w:rsidP="002439C8">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olor w:val="auto"/>
                <w:sz w:val="22"/>
                <w:lang w:val="en-AU"/>
              </w:rPr>
            </w:pPr>
            <w:r w:rsidRPr="00581507">
              <w:rPr>
                <w:rFonts w:asciiTheme="minorHAnsi" w:hAnsiTheme="minorHAnsi"/>
                <w:color w:val="auto"/>
                <w:sz w:val="22"/>
                <w:lang w:val="en-AU"/>
              </w:rPr>
              <w:t>PC Value</w:t>
            </w:r>
          </w:p>
        </w:tc>
        <w:tc>
          <w:tcPr>
            <w:tcW w:w="726" w:type="pct"/>
            <w:tcBorders>
              <w:bottom w:val="single" w:sz="2" w:space="0" w:color="auto"/>
            </w:tcBorders>
            <w:shd w:val="clear" w:color="auto" w:fill="F2F2F2" w:themeFill="background1" w:themeFillShade="F2"/>
            <w:vAlign w:val="center"/>
          </w:tcPr>
          <w:p w14:paraId="5448A60C" w14:textId="77777777" w:rsidR="005177E0" w:rsidRPr="002D0872" w:rsidRDefault="005177E0" w:rsidP="002439C8">
            <w:pPr>
              <w:pStyle w:val="Caption"/>
              <w:cnfStyle w:val="100000000000" w:firstRow="1" w:lastRow="0" w:firstColumn="0" w:lastColumn="0" w:oddVBand="0" w:evenVBand="0" w:oddHBand="0" w:evenHBand="0" w:firstRowFirstColumn="0" w:firstRowLastColumn="0" w:lastRowFirstColumn="0" w:lastRowLastColumn="0"/>
              <w:rPr>
                <w:rFonts w:asciiTheme="minorHAnsi" w:hAnsiTheme="minorHAnsi"/>
                <w:color w:val="auto"/>
                <w:sz w:val="22"/>
                <w:lang w:val="en-AU"/>
              </w:rPr>
            </w:pPr>
            <w:r w:rsidRPr="00581507">
              <w:rPr>
                <w:rFonts w:asciiTheme="minorHAnsi" w:hAnsiTheme="minorHAnsi"/>
                <w:color w:val="auto"/>
                <w:sz w:val="22"/>
                <w:lang w:val="en-AU"/>
              </w:rPr>
              <w:t>Notes</w:t>
            </w:r>
          </w:p>
        </w:tc>
      </w:tr>
      <w:tr w:rsidR="00F0210B" w:rsidRPr="00581507" w14:paraId="6CAC0806"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8" w:space="0" w:color="auto"/>
              <w:bottom w:val="single" w:sz="2" w:space="0" w:color="auto"/>
            </w:tcBorders>
            <w:shd w:val="clear" w:color="auto" w:fill="FFFFFF" w:themeFill="background1"/>
            <w:vAlign w:val="center"/>
          </w:tcPr>
          <w:p w14:paraId="4774C540" w14:textId="313ED176" w:rsidR="00F0210B" w:rsidRPr="002D0872" w:rsidRDefault="00FE6E97" w:rsidP="002439C8">
            <w:pPr>
              <w:pStyle w:val="Caption"/>
              <w:rPr>
                <w:rFonts w:asciiTheme="minorHAnsi" w:hAnsiTheme="minorHAnsi"/>
                <w:color w:val="auto"/>
                <w:sz w:val="20"/>
                <w:lang w:val="en-AU"/>
              </w:rPr>
            </w:pPr>
            <w:r>
              <w:rPr>
                <w:rFonts w:asciiTheme="minorHAnsi" w:hAnsiTheme="minorHAnsi"/>
                <w:color w:val="auto"/>
                <w:sz w:val="20"/>
                <w:lang w:val="en-AU"/>
              </w:rPr>
              <w:t>2,4</w:t>
            </w:r>
            <w:r>
              <w:rPr>
                <w:rFonts w:asciiTheme="minorHAnsi" w:hAnsiTheme="minorHAnsi"/>
                <w:color w:val="auto"/>
                <w:sz w:val="20"/>
                <w:lang w:val="en-AU"/>
              </w:rPr>
              <w:noBreakHyphen/>
              <w:t>D</w:t>
            </w:r>
          </w:p>
        </w:tc>
        <w:tc>
          <w:tcPr>
            <w:tcW w:w="533" w:type="pct"/>
            <w:tcBorders>
              <w:top w:val="nil"/>
              <w:bottom w:val="single" w:sz="2" w:space="0" w:color="auto"/>
            </w:tcBorders>
            <w:shd w:val="clear" w:color="auto" w:fill="FFFFFF" w:themeFill="background1"/>
            <w:vAlign w:val="center"/>
          </w:tcPr>
          <w:p w14:paraId="65BFF234" w14:textId="77777777" w:rsidR="00F0210B" w:rsidRPr="005F1879" w:rsidRDefault="001C5A8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1,040</w:t>
            </w:r>
            <w:r w:rsidR="00F0210B" w:rsidRPr="005F1879">
              <w:rPr>
                <w:rFonts w:asciiTheme="minorHAnsi" w:hAnsiTheme="minorHAnsi" w:cstheme="minorHAnsi"/>
                <w:b w:val="0"/>
                <w:sz w:val="20"/>
                <w:lang w:val="en-AU" w:eastAsia="en-AU"/>
              </w:rPr>
              <w:t>,000</w:t>
            </w:r>
          </w:p>
        </w:tc>
        <w:tc>
          <w:tcPr>
            <w:tcW w:w="1136" w:type="pct"/>
            <w:tcBorders>
              <w:top w:val="nil"/>
              <w:bottom w:val="single" w:sz="2" w:space="0" w:color="auto"/>
            </w:tcBorders>
            <w:shd w:val="clear" w:color="auto" w:fill="FFFFFF" w:themeFill="background1"/>
            <w:vAlign w:val="center"/>
          </w:tcPr>
          <w:p w14:paraId="0FBBB073"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low reliability; Marine water</w:t>
            </w:r>
          </w:p>
        </w:tc>
        <w:tc>
          <w:tcPr>
            <w:tcW w:w="498" w:type="pct"/>
            <w:tcBorders>
              <w:top w:val="nil"/>
              <w:bottom w:val="single" w:sz="2" w:space="0" w:color="auto"/>
            </w:tcBorders>
            <w:shd w:val="clear" w:color="auto" w:fill="FFFFFF" w:themeFill="background1"/>
            <w:vAlign w:val="center"/>
          </w:tcPr>
          <w:p w14:paraId="2E6CF369"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nil"/>
              <w:bottom w:val="single" w:sz="2" w:space="0" w:color="auto"/>
            </w:tcBorders>
            <w:shd w:val="clear" w:color="auto" w:fill="FFFFFF" w:themeFill="background1"/>
            <w:vAlign w:val="center"/>
          </w:tcPr>
          <w:p w14:paraId="24C2CF80"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bottom w:val="single" w:sz="2" w:space="0" w:color="auto"/>
            </w:tcBorders>
            <w:shd w:val="clear" w:color="auto" w:fill="FFFFFF" w:themeFill="background1"/>
            <w:vAlign w:val="center"/>
          </w:tcPr>
          <w:p w14:paraId="609F187F"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bottom w:val="single" w:sz="2" w:space="0" w:color="auto"/>
            </w:tcBorders>
            <w:shd w:val="clear" w:color="auto" w:fill="FFFFFF" w:themeFill="background1"/>
            <w:vAlign w:val="center"/>
          </w:tcPr>
          <w:p w14:paraId="527BA66A"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F0210B" w:rsidRPr="00581507" w14:paraId="58778701"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8" w:space="0" w:color="auto"/>
            </w:tcBorders>
            <w:shd w:val="clear" w:color="auto" w:fill="FFFFFF" w:themeFill="background1"/>
            <w:vAlign w:val="center"/>
          </w:tcPr>
          <w:p w14:paraId="1EBCAE04" w14:textId="77777777" w:rsidR="00F0210B" w:rsidRPr="002D0872" w:rsidRDefault="00F0210B" w:rsidP="002439C8">
            <w:pPr>
              <w:pStyle w:val="Caption"/>
              <w:rPr>
                <w:rFonts w:asciiTheme="minorHAnsi" w:hAnsiTheme="minorHAnsi"/>
                <w:color w:val="auto"/>
                <w:sz w:val="20"/>
                <w:lang w:val="en-AU"/>
              </w:rPr>
            </w:pPr>
            <w:r w:rsidRPr="00581507">
              <w:rPr>
                <w:rFonts w:asciiTheme="minorHAnsi" w:hAnsiTheme="minorHAnsi"/>
                <w:color w:val="auto"/>
                <w:sz w:val="20"/>
                <w:lang w:val="en-AU"/>
              </w:rPr>
              <w:t>Ametryn</w:t>
            </w:r>
          </w:p>
        </w:tc>
        <w:tc>
          <w:tcPr>
            <w:tcW w:w="533" w:type="pct"/>
            <w:tcBorders>
              <w:top w:val="single" w:sz="8" w:space="0" w:color="auto"/>
              <w:bottom w:val="nil"/>
            </w:tcBorders>
            <w:shd w:val="clear" w:color="auto" w:fill="FFFFFF" w:themeFill="background1"/>
            <w:vAlign w:val="center"/>
          </w:tcPr>
          <w:p w14:paraId="476C8F38" w14:textId="77777777" w:rsidR="00F0210B" w:rsidRPr="005F1879" w:rsidRDefault="001C5A8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100</w:t>
            </w:r>
          </w:p>
        </w:tc>
        <w:tc>
          <w:tcPr>
            <w:tcW w:w="1136" w:type="pct"/>
            <w:tcBorders>
              <w:top w:val="single" w:sz="8" w:space="0" w:color="auto"/>
              <w:bottom w:val="nil"/>
            </w:tcBorders>
            <w:shd w:val="clear" w:color="auto" w:fill="FFFFFF" w:themeFill="background1"/>
            <w:vAlign w:val="center"/>
          </w:tcPr>
          <w:p w14:paraId="2ABF20ED"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moderate reliability; Marine water</w:t>
            </w:r>
          </w:p>
        </w:tc>
        <w:tc>
          <w:tcPr>
            <w:tcW w:w="498" w:type="pct"/>
            <w:tcBorders>
              <w:top w:val="single" w:sz="8" w:space="0" w:color="auto"/>
              <w:bottom w:val="nil"/>
            </w:tcBorders>
            <w:shd w:val="clear" w:color="auto" w:fill="FFFFFF" w:themeFill="background1"/>
            <w:vAlign w:val="center"/>
          </w:tcPr>
          <w:p w14:paraId="015EE5D0"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8" w:space="0" w:color="auto"/>
              <w:bottom w:val="nil"/>
            </w:tcBorders>
            <w:shd w:val="clear" w:color="auto" w:fill="FFFFFF" w:themeFill="background1"/>
            <w:vAlign w:val="center"/>
          </w:tcPr>
          <w:p w14:paraId="30A31B81"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tcBorders>
            <w:shd w:val="clear" w:color="auto" w:fill="FFFFFF" w:themeFill="background1"/>
            <w:vAlign w:val="center"/>
          </w:tcPr>
          <w:p w14:paraId="7C62ED84"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500</w:t>
            </w:r>
          </w:p>
        </w:tc>
        <w:tc>
          <w:tcPr>
            <w:tcW w:w="779" w:type="pct"/>
            <w:gridSpan w:val="2"/>
            <w:tcBorders>
              <w:top w:val="single" w:sz="2" w:space="0" w:color="auto"/>
            </w:tcBorders>
            <w:shd w:val="clear" w:color="auto" w:fill="FFFFFF" w:themeFill="background1"/>
            <w:vAlign w:val="center"/>
          </w:tcPr>
          <w:p w14:paraId="7A3EDB7F"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Moderate reliability</w:t>
            </w:r>
          </w:p>
        </w:tc>
      </w:tr>
      <w:tr w:rsidR="00F0210B" w:rsidRPr="00581507" w14:paraId="31C3B749"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bottom w:val="single" w:sz="2" w:space="0" w:color="auto"/>
            </w:tcBorders>
            <w:shd w:val="clear" w:color="auto" w:fill="FFFFFF" w:themeFill="background1"/>
            <w:vAlign w:val="center"/>
          </w:tcPr>
          <w:p w14:paraId="7C83128B" w14:textId="77777777" w:rsidR="00F0210B" w:rsidRPr="00581507" w:rsidRDefault="00F0210B" w:rsidP="002439C8">
            <w:pPr>
              <w:pStyle w:val="Caption"/>
              <w:rPr>
                <w:rFonts w:asciiTheme="minorHAnsi" w:hAnsiTheme="minorHAnsi"/>
                <w:color w:val="auto"/>
                <w:sz w:val="20"/>
                <w:lang w:val="en-AU"/>
              </w:rPr>
            </w:pPr>
          </w:p>
        </w:tc>
        <w:tc>
          <w:tcPr>
            <w:tcW w:w="533" w:type="pct"/>
            <w:tcBorders>
              <w:top w:val="nil"/>
              <w:bottom w:val="single" w:sz="2" w:space="0" w:color="auto"/>
            </w:tcBorders>
            <w:shd w:val="clear" w:color="auto" w:fill="FFFFFF" w:themeFill="background1"/>
            <w:vAlign w:val="center"/>
          </w:tcPr>
          <w:p w14:paraId="4B6B4EE3"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136" w:type="pct"/>
            <w:tcBorders>
              <w:top w:val="nil"/>
              <w:bottom w:val="single" w:sz="2" w:space="0" w:color="auto"/>
            </w:tcBorders>
            <w:shd w:val="clear" w:color="auto" w:fill="FFFFFF" w:themeFill="background1"/>
            <w:vAlign w:val="center"/>
          </w:tcPr>
          <w:p w14:paraId="6EBE45FC"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nil"/>
              <w:bottom w:val="single" w:sz="2" w:space="0" w:color="auto"/>
            </w:tcBorders>
            <w:shd w:val="clear" w:color="auto" w:fill="FFFFFF" w:themeFill="background1"/>
            <w:vAlign w:val="center"/>
          </w:tcPr>
          <w:p w14:paraId="148FC77D"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nil"/>
              <w:bottom w:val="single" w:sz="2" w:space="0" w:color="auto"/>
            </w:tcBorders>
            <w:shd w:val="clear" w:color="auto" w:fill="FFFFFF" w:themeFill="background1"/>
            <w:vAlign w:val="center"/>
          </w:tcPr>
          <w:p w14:paraId="6AE4D276"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bottom w:val="single" w:sz="2" w:space="0" w:color="auto"/>
            </w:tcBorders>
            <w:shd w:val="clear" w:color="auto" w:fill="FFFFFF" w:themeFill="background1"/>
            <w:vAlign w:val="center"/>
          </w:tcPr>
          <w:p w14:paraId="676AE0B7"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1,000</w:t>
            </w:r>
          </w:p>
        </w:tc>
        <w:tc>
          <w:tcPr>
            <w:tcW w:w="779" w:type="pct"/>
            <w:gridSpan w:val="2"/>
            <w:tcBorders>
              <w:bottom w:val="single" w:sz="2" w:space="0" w:color="auto"/>
            </w:tcBorders>
            <w:shd w:val="clear" w:color="auto" w:fill="FFFFFF" w:themeFill="background1"/>
            <w:vAlign w:val="center"/>
          </w:tcPr>
          <w:p w14:paraId="0A3BC365"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PC95; Moderate reliability</w:t>
            </w:r>
          </w:p>
        </w:tc>
      </w:tr>
      <w:tr w:rsidR="00F0210B" w:rsidRPr="00581507" w14:paraId="1627232D"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8" w:space="0" w:color="auto"/>
            </w:tcBorders>
            <w:shd w:val="clear" w:color="auto" w:fill="FFFFFF" w:themeFill="background1"/>
            <w:vAlign w:val="center"/>
          </w:tcPr>
          <w:p w14:paraId="3C5B2AD6" w14:textId="77777777" w:rsidR="00F0210B" w:rsidRPr="002D0872" w:rsidRDefault="00F0210B" w:rsidP="002439C8">
            <w:pPr>
              <w:pStyle w:val="Caption"/>
              <w:rPr>
                <w:rFonts w:asciiTheme="minorHAnsi" w:hAnsiTheme="minorHAnsi"/>
                <w:color w:val="auto"/>
                <w:sz w:val="20"/>
                <w:lang w:val="en-AU"/>
              </w:rPr>
            </w:pPr>
            <w:r w:rsidRPr="00581507">
              <w:rPr>
                <w:rFonts w:asciiTheme="minorHAnsi" w:hAnsiTheme="minorHAnsi"/>
                <w:color w:val="auto"/>
                <w:sz w:val="20"/>
                <w:lang w:val="en-AU"/>
              </w:rPr>
              <w:t>Atrazine</w:t>
            </w:r>
          </w:p>
        </w:tc>
        <w:tc>
          <w:tcPr>
            <w:tcW w:w="533" w:type="pct"/>
            <w:tcBorders>
              <w:bottom w:val="nil"/>
            </w:tcBorders>
            <w:shd w:val="clear" w:color="auto" w:fill="FFFFFF" w:themeFill="background1"/>
            <w:vAlign w:val="center"/>
          </w:tcPr>
          <w:p w14:paraId="108719E1" w14:textId="77777777" w:rsidR="00F0210B" w:rsidRPr="005F1879"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w:t>
            </w:r>
          </w:p>
        </w:tc>
        <w:tc>
          <w:tcPr>
            <w:tcW w:w="1136" w:type="pct"/>
            <w:tcBorders>
              <w:bottom w:val="nil"/>
            </w:tcBorders>
            <w:shd w:val="clear" w:color="auto" w:fill="FFFFFF" w:themeFill="background1"/>
            <w:vAlign w:val="center"/>
          </w:tcPr>
          <w:p w14:paraId="29F880D1"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bottom w:val="nil"/>
            </w:tcBorders>
            <w:shd w:val="clear" w:color="auto" w:fill="FFFFFF" w:themeFill="background1"/>
            <w:vAlign w:val="center"/>
          </w:tcPr>
          <w:p w14:paraId="3D728E9E"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700</w:t>
            </w:r>
          </w:p>
        </w:tc>
        <w:tc>
          <w:tcPr>
            <w:tcW w:w="1014" w:type="pct"/>
            <w:tcBorders>
              <w:bottom w:val="nil"/>
            </w:tcBorders>
            <w:shd w:val="clear" w:color="auto" w:fill="FFFFFF" w:themeFill="background1"/>
            <w:vAlign w:val="center"/>
          </w:tcPr>
          <w:p w14:paraId="6ED6222E"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Fresh water</w:t>
            </w:r>
          </w:p>
        </w:tc>
        <w:tc>
          <w:tcPr>
            <w:tcW w:w="503" w:type="pct"/>
            <w:tcBorders>
              <w:bottom w:val="nil"/>
            </w:tcBorders>
            <w:shd w:val="clear" w:color="auto" w:fill="FFFFFF" w:themeFill="background1"/>
            <w:vAlign w:val="center"/>
          </w:tcPr>
          <w:p w14:paraId="27EA364C"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600</w:t>
            </w:r>
          </w:p>
        </w:tc>
        <w:tc>
          <w:tcPr>
            <w:tcW w:w="779" w:type="pct"/>
            <w:gridSpan w:val="2"/>
            <w:tcBorders>
              <w:bottom w:val="nil"/>
            </w:tcBorders>
            <w:shd w:val="clear" w:color="auto" w:fill="FFFFFF" w:themeFill="background1"/>
            <w:vAlign w:val="center"/>
          </w:tcPr>
          <w:p w14:paraId="5F31D78D"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Moderate reliability</w:t>
            </w:r>
          </w:p>
        </w:tc>
      </w:tr>
      <w:tr w:rsidR="00F0210B" w:rsidRPr="00581507" w14:paraId="20E6DB97"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shd w:val="clear" w:color="auto" w:fill="FFFFFF" w:themeFill="background1"/>
            <w:vAlign w:val="center"/>
          </w:tcPr>
          <w:p w14:paraId="767D3ED9" w14:textId="77777777" w:rsidR="00F0210B" w:rsidRPr="00581507" w:rsidRDefault="00F0210B" w:rsidP="002439C8">
            <w:pPr>
              <w:pStyle w:val="Caption"/>
              <w:rPr>
                <w:rFonts w:asciiTheme="minorHAnsi" w:hAnsiTheme="minorHAnsi"/>
                <w:color w:val="auto"/>
                <w:sz w:val="20"/>
                <w:lang w:val="en-AU"/>
              </w:rPr>
            </w:pPr>
          </w:p>
        </w:tc>
        <w:tc>
          <w:tcPr>
            <w:tcW w:w="533" w:type="pct"/>
            <w:tcBorders>
              <w:top w:val="nil"/>
              <w:bottom w:val="nil"/>
            </w:tcBorders>
            <w:shd w:val="clear" w:color="auto" w:fill="FFFFFF" w:themeFill="background1"/>
            <w:vAlign w:val="center"/>
          </w:tcPr>
          <w:p w14:paraId="3DE1124E"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136" w:type="pct"/>
            <w:tcBorders>
              <w:top w:val="nil"/>
              <w:bottom w:val="nil"/>
            </w:tcBorders>
            <w:shd w:val="clear" w:color="auto" w:fill="FFFFFF" w:themeFill="background1"/>
            <w:vAlign w:val="center"/>
          </w:tcPr>
          <w:p w14:paraId="7E87FD65"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nil"/>
              <w:bottom w:val="nil"/>
            </w:tcBorders>
            <w:shd w:val="clear" w:color="auto" w:fill="FFFFFF" w:themeFill="background1"/>
            <w:vAlign w:val="center"/>
          </w:tcPr>
          <w:p w14:paraId="4210FB56"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1,300</w:t>
            </w:r>
          </w:p>
        </w:tc>
        <w:tc>
          <w:tcPr>
            <w:tcW w:w="1014" w:type="pct"/>
            <w:tcBorders>
              <w:top w:val="nil"/>
              <w:bottom w:val="nil"/>
            </w:tcBorders>
            <w:shd w:val="clear" w:color="auto" w:fill="FFFFFF" w:themeFill="background1"/>
            <w:vAlign w:val="center"/>
          </w:tcPr>
          <w:p w14:paraId="2086DE99"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w:t>
            </w:r>
            <w:r w:rsidR="00233FC5" w:rsidRPr="00581507">
              <w:rPr>
                <w:rFonts w:asciiTheme="minorHAnsi" w:hAnsiTheme="minorHAnsi" w:cstheme="minorHAnsi"/>
                <w:b w:val="0"/>
                <w:sz w:val="20"/>
                <w:lang w:val="en-AU" w:eastAsia="en-AU"/>
              </w:rPr>
              <w:t>5</w:t>
            </w:r>
            <w:r w:rsidRPr="00581507">
              <w:rPr>
                <w:rFonts w:asciiTheme="minorHAnsi" w:hAnsiTheme="minorHAnsi" w:cstheme="minorHAnsi"/>
                <w:b w:val="0"/>
                <w:sz w:val="20"/>
                <w:lang w:val="en-AU" w:eastAsia="en-AU"/>
              </w:rPr>
              <w:t>; Fresh water</w:t>
            </w:r>
          </w:p>
        </w:tc>
        <w:tc>
          <w:tcPr>
            <w:tcW w:w="503" w:type="pct"/>
            <w:tcBorders>
              <w:top w:val="nil"/>
              <w:bottom w:val="nil"/>
            </w:tcBorders>
            <w:shd w:val="clear" w:color="auto" w:fill="FFFFFF" w:themeFill="background1"/>
            <w:vAlign w:val="center"/>
          </w:tcPr>
          <w:p w14:paraId="71164A94"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1,400</w:t>
            </w:r>
          </w:p>
        </w:tc>
        <w:tc>
          <w:tcPr>
            <w:tcW w:w="779" w:type="pct"/>
            <w:gridSpan w:val="2"/>
            <w:tcBorders>
              <w:top w:val="nil"/>
              <w:bottom w:val="nil"/>
            </w:tcBorders>
            <w:shd w:val="clear" w:color="auto" w:fill="FFFFFF" w:themeFill="background1"/>
            <w:vAlign w:val="center"/>
          </w:tcPr>
          <w:p w14:paraId="7F37F60A"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PC95; Moderate reliability</w:t>
            </w:r>
          </w:p>
        </w:tc>
      </w:tr>
      <w:tr w:rsidR="00CC75AA" w:rsidRPr="00581507" w14:paraId="63FB96FF"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bottom w:val="single" w:sz="2" w:space="0" w:color="auto"/>
            </w:tcBorders>
            <w:shd w:val="clear" w:color="auto" w:fill="FFFFFF" w:themeFill="background1"/>
            <w:vAlign w:val="center"/>
          </w:tcPr>
          <w:p w14:paraId="5382F05E" w14:textId="77777777" w:rsidR="00CC75AA" w:rsidRPr="00581507" w:rsidRDefault="00CC75AA" w:rsidP="002439C8">
            <w:pPr>
              <w:pStyle w:val="Caption"/>
              <w:rPr>
                <w:rFonts w:asciiTheme="minorHAnsi" w:hAnsiTheme="minorHAnsi" w:cstheme="minorHAnsi"/>
                <w:color w:val="auto"/>
                <w:sz w:val="20"/>
                <w:lang w:val="en-AU" w:eastAsia="en-AU"/>
              </w:rPr>
            </w:pPr>
          </w:p>
        </w:tc>
        <w:tc>
          <w:tcPr>
            <w:tcW w:w="533" w:type="pct"/>
            <w:tcBorders>
              <w:top w:val="nil"/>
              <w:bottom w:val="single" w:sz="2" w:space="0" w:color="auto"/>
            </w:tcBorders>
            <w:shd w:val="clear" w:color="auto" w:fill="FFFFFF" w:themeFill="background1"/>
            <w:vAlign w:val="center"/>
          </w:tcPr>
          <w:p w14:paraId="614C2F0C"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136" w:type="pct"/>
            <w:tcBorders>
              <w:top w:val="nil"/>
              <w:bottom w:val="single" w:sz="2" w:space="0" w:color="auto"/>
            </w:tcBorders>
            <w:shd w:val="clear" w:color="auto" w:fill="FFFFFF" w:themeFill="background1"/>
            <w:vAlign w:val="center"/>
          </w:tcPr>
          <w:p w14:paraId="42B5C496"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nil"/>
              <w:bottom w:val="single" w:sz="2" w:space="0" w:color="auto"/>
            </w:tcBorders>
            <w:shd w:val="clear" w:color="auto" w:fill="FFFFFF" w:themeFill="background1"/>
            <w:vAlign w:val="center"/>
          </w:tcPr>
          <w:p w14:paraId="5243978A"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ID</w:t>
            </w:r>
          </w:p>
        </w:tc>
        <w:tc>
          <w:tcPr>
            <w:tcW w:w="1014" w:type="pct"/>
            <w:tcBorders>
              <w:top w:val="nil"/>
              <w:bottom w:val="single" w:sz="2" w:space="0" w:color="auto"/>
            </w:tcBorders>
            <w:shd w:val="clear" w:color="auto" w:fill="FFFFFF" w:themeFill="background1"/>
            <w:vAlign w:val="center"/>
          </w:tcPr>
          <w:p w14:paraId="06197C4D"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PC99/95; Marine water</w:t>
            </w:r>
          </w:p>
        </w:tc>
        <w:tc>
          <w:tcPr>
            <w:tcW w:w="503" w:type="pct"/>
            <w:tcBorders>
              <w:top w:val="nil"/>
              <w:bottom w:val="single" w:sz="2" w:space="0" w:color="auto"/>
            </w:tcBorders>
            <w:shd w:val="clear" w:color="auto" w:fill="FFFFFF" w:themeFill="background1"/>
            <w:vAlign w:val="center"/>
          </w:tcPr>
          <w:p w14:paraId="1AC2506B"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nil"/>
              <w:bottom w:val="single" w:sz="2" w:space="0" w:color="auto"/>
            </w:tcBorders>
            <w:shd w:val="clear" w:color="auto" w:fill="FFFFFF" w:themeFill="background1"/>
            <w:vAlign w:val="center"/>
          </w:tcPr>
          <w:p w14:paraId="2B93E66C"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F0210B" w:rsidRPr="00581507" w14:paraId="50FAE9A6"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8" w:space="0" w:color="auto"/>
              <w:bottom w:val="single" w:sz="2" w:space="0" w:color="auto"/>
            </w:tcBorders>
            <w:shd w:val="clear" w:color="auto" w:fill="FFFFFF" w:themeFill="background1"/>
            <w:vAlign w:val="center"/>
          </w:tcPr>
          <w:p w14:paraId="45DCA5B4" w14:textId="77777777" w:rsidR="00F0210B" w:rsidRPr="002D0872" w:rsidRDefault="00F0210B" w:rsidP="002439C8">
            <w:pPr>
              <w:pStyle w:val="Caption"/>
              <w:rPr>
                <w:rFonts w:asciiTheme="minorHAnsi" w:hAnsiTheme="minorHAnsi"/>
                <w:color w:val="auto"/>
                <w:sz w:val="20"/>
                <w:lang w:val="en-AU"/>
              </w:rPr>
            </w:pPr>
            <w:r w:rsidRPr="00581507">
              <w:rPr>
                <w:rFonts w:asciiTheme="minorHAnsi" w:hAnsiTheme="minorHAnsi"/>
                <w:color w:val="auto"/>
                <w:sz w:val="20"/>
                <w:lang w:val="en-AU"/>
              </w:rPr>
              <w:t>Brom</w:t>
            </w:r>
            <w:r w:rsidR="003363A0" w:rsidRPr="00581507">
              <w:rPr>
                <w:rFonts w:asciiTheme="minorHAnsi" w:hAnsiTheme="minorHAnsi"/>
                <w:color w:val="auto"/>
                <w:sz w:val="20"/>
                <w:lang w:val="en-AU"/>
              </w:rPr>
              <w:t>a</w:t>
            </w:r>
            <w:r w:rsidRPr="00581507">
              <w:rPr>
                <w:rFonts w:asciiTheme="minorHAnsi" w:hAnsiTheme="minorHAnsi"/>
                <w:color w:val="auto"/>
                <w:sz w:val="20"/>
                <w:lang w:val="en-AU"/>
              </w:rPr>
              <w:t>cil</w:t>
            </w:r>
          </w:p>
        </w:tc>
        <w:tc>
          <w:tcPr>
            <w:tcW w:w="533" w:type="pct"/>
            <w:tcBorders>
              <w:bottom w:val="single" w:sz="2" w:space="0" w:color="auto"/>
            </w:tcBorders>
            <w:shd w:val="clear" w:color="auto" w:fill="FFFFFF" w:themeFill="background1"/>
            <w:vAlign w:val="center"/>
          </w:tcPr>
          <w:p w14:paraId="3CCDC7E7" w14:textId="77777777" w:rsidR="00F0210B" w:rsidRPr="002D0872"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230</w:t>
            </w:r>
          </w:p>
        </w:tc>
        <w:tc>
          <w:tcPr>
            <w:tcW w:w="1136" w:type="pct"/>
            <w:tcBorders>
              <w:bottom w:val="single" w:sz="2" w:space="0" w:color="auto"/>
            </w:tcBorders>
            <w:shd w:val="clear" w:color="auto" w:fill="FFFFFF" w:themeFill="background1"/>
            <w:vAlign w:val="center"/>
          </w:tcPr>
          <w:p w14:paraId="3D7AB6C5"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F1879">
              <w:rPr>
                <w:rFonts w:asciiTheme="minorHAnsi" w:hAnsiTheme="minorHAnsi" w:cstheme="minorHAnsi"/>
                <w:b w:val="0"/>
                <w:sz w:val="20"/>
                <w:lang w:val="en-AU" w:eastAsia="en-AU"/>
              </w:rPr>
              <w:t xml:space="preserve">PC99; moderate </w:t>
            </w:r>
            <w:r w:rsidRPr="00581507">
              <w:rPr>
                <w:rFonts w:asciiTheme="minorHAnsi" w:hAnsiTheme="minorHAnsi" w:cstheme="minorHAnsi"/>
                <w:b w:val="0"/>
                <w:sz w:val="20"/>
                <w:lang w:val="en-AU" w:eastAsia="en-AU"/>
              </w:rPr>
              <w:t>reliability; Marine water</w:t>
            </w:r>
          </w:p>
        </w:tc>
        <w:tc>
          <w:tcPr>
            <w:tcW w:w="498" w:type="pct"/>
            <w:tcBorders>
              <w:bottom w:val="single" w:sz="2" w:space="0" w:color="auto"/>
            </w:tcBorders>
            <w:shd w:val="clear" w:color="auto" w:fill="FFFFFF" w:themeFill="background1"/>
            <w:vAlign w:val="center"/>
          </w:tcPr>
          <w:p w14:paraId="27C272D8"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bottom w:val="single" w:sz="2" w:space="0" w:color="auto"/>
            </w:tcBorders>
            <w:shd w:val="clear" w:color="auto" w:fill="FFFFFF" w:themeFill="background1"/>
            <w:vAlign w:val="center"/>
          </w:tcPr>
          <w:p w14:paraId="69BC82B0"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bottom w:val="single" w:sz="2" w:space="0" w:color="auto"/>
            </w:tcBorders>
            <w:shd w:val="clear" w:color="auto" w:fill="FFFFFF" w:themeFill="background1"/>
            <w:vAlign w:val="center"/>
          </w:tcPr>
          <w:p w14:paraId="7FEE78F1"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bottom w:val="single" w:sz="2" w:space="0" w:color="auto"/>
            </w:tcBorders>
            <w:shd w:val="clear" w:color="auto" w:fill="FFFFFF" w:themeFill="background1"/>
            <w:vAlign w:val="center"/>
          </w:tcPr>
          <w:p w14:paraId="7AA2C20A"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F0210B" w:rsidRPr="00581507" w14:paraId="20C23C9B"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2" w:space="0" w:color="auto"/>
            </w:tcBorders>
            <w:shd w:val="clear" w:color="auto" w:fill="FFFFFF" w:themeFill="background1"/>
            <w:vAlign w:val="center"/>
          </w:tcPr>
          <w:p w14:paraId="44E2746C" w14:textId="77777777" w:rsidR="00F0210B" w:rsidRPr="002D0872" w:rsidRDefault="00F0210B" w:rsidP="002439C8">
            <w:pPr>
              <w:pStyle w:val="Caption"/>
              <w:rPr>
                <w:rFonts w:asciiTheme="minorHAnsi" w:hAnsiTheme="minorHAnsi"/>
                <w:color w:val="auto"/>
                <w:sz w:val="20"/>
                <w:lang w:val="en-AU"/>
              </w:rPr>
            </w:pPr>
            <w:r w:rsidRPr="00581507">
              <w:rPr>
                <w:rFonts w:asciiTheme="minorHAnsi" w:hAnsiTheme="minorHAnsi"/>
                <w:color w:val="auto"/>
                <w:sz w:val="20"/>
                <w:lang w:val="en-AU"/>
              </w:rPr>
              <w:t>Chlorpyrifos</w:t>
            </w:r>
          </w:p>
        </w:tc>
        <w:tc>
          <w:tcPr>
            <w:tcW w:w="533" w:type="pct"/>
            <w:tcBorders>
              <w:top w:val="single" w:sz="2" w:space="0" w:color="auto"/>
              <w:bottom w:val="nil"/>
            </w:tcBorders>
            <w:shd w:val="clear" w:color="auto" w:fill="FFFFFF" w:themeFill="background1"/>
            <w:vAlign w:val="center"/>
          </w:tcPr>
          <w:p w14:paraId="3E993B63" w14:textId="77777777" w:rsidR="00F0210B" w:rsidRPr="005F1879"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w:t>
            </w:r>
          </w:p>
        </w:tc>
        <w:tc>
          <w:tcPr>
            <w:tcW w:w="1136" w:type="pct"/>
            <w:tcBorders>
              <w:top w:val="single" w:sz="2" w:space="0" w:color="auto"/>
              <w:bottom w:val="nil"/>
            </w:tcBorders>
            <w:shd w:val="clear" w:color="auto" w:fill="FFFFFF" w:themeFill="background1"/>
            <w:vAlign w:val="center"/>
          </w:tcPr>
          <w:p w14:paraId="17880AE0"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single" w:sz="2" w:space="0" w:color="auto"/>
              <w:bottom w:val="nil"/>
            </w:tcBorders>
            <w:shd w:val="clear" w:color="auto" w:fill="FFFFFF" w:themeFill="background1"/>
            <w:vAlign w:val="center"/>
          </w:tcPr>
          <w:p w14:paraId="5915F8E8"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0.5</w:t>
            </w:r>
          </w:p>
        </w:tc>
        <w:tc>
          <w:tcPr>
            <w:tcW w:w="1014" w:type="pct"/>
            <w:tcBorders>
              <w:top w:val="single" w:sz="2" w:space="0" w:color="auto"/>
              <w:bottom w:val="nil"/>
            </w:tcBorders>
            <w:shd w:val="clear" w:color="auto" w:fill="FFFFFF" w:themeFill="background1"/>
            <w:vAlign w:val="center"/>
          </w:tcPr>
          <w:p w14:paraId="3AFACBB3"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Marine water</w:t>
            </w:r>
          </w:p>
        </w:tc>
        <w:tc>
          <w:tcPr>
            <w:tcW w:w="503" w:type="pct"/>
            <w:tcBorders>
              <w:top w:val="single" w:sz="2" w:space="0" w:color="auto"/>
            </w:tcBorders>
            <w:shd w:val="clear" w:color="auto" w:fill="FFFFFF" w:themeFill="background1"/>
            <w:vAlign w:val="center"/>
          </w:tcPr>
          <w:p w14:paraId="42656FB0"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0.5</w:t>
            </w:r>
          </w:p>
        </w:tc>
        <w:tc>
          <w:tcPr>
            <w:tcW w:w="779" w:type="pct"/>
            <w:gridSpan w:val="2"/>
            <w:tcBorders>
              <w:top w:val="single" w:sz="2" w:space="0" w:color="auto"/>
            </w:tcBorders>
            <w:shd w:val="clear" w:color="auto" w:fill="FFFFFF" w:themeFill="background1"/>
            <w:vAlign w:val="center"/>
          </w:tcPr>
          <w:p w14:paraId="487A8EB9"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High reliability</w:t>
            </w:r>
          </w:p>
        </w:tc>
      </w:tr>
      <w:tr w:rsidR="00F0210B" w:rsidRPr="00581507" w14:paraId="6AAAFE47"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shd w:val="clear" w:color="auto" w:fill="FFFFFF" w:themeFill="background1"/>
            <w:vAlign w:val="center"/>
          </w:tcPr>
          <w:p w14:paraId="569BC147" w14:textId="77777777" w:rsidR="00F0210B" w:rsidRPr="00581507" w:rsidRDefault="00F0210B" w:rsidP="002439C8">
            <w:pPr>
              <w:pStyle w:val="Caption"/>
              <w:rPr>
                <w:rFonts w:asciiTheme="minorHAnsi" w:hAnsiTheme="minorHAnsi"/>
                <w:color w:val="auto"/>
                <w:sz w:val="20"/>
                <w:lang w:val="en-AU"/>
              </w:rPr>
            </w:pPr>
          </w:p>
        </w:tc>
        <w:tc>
          <w:tcPr>
            <w:tcW w:w="533" w:type="pct"/>
            <w:tcBorders>
              <w:top w:val="nil"/>
              <w:bottom w:val="nil"/>
            </w:tcBorders>
            <w:shd w:val="clear" w:color="auto" w:fill="FFFFFF" w:themeFill="background1"/>
            <w:vAlign w:val="center"/>
          </w:tcPr>
          <w:p w14:paraId="305298C3"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136" w:type="pct"/>
            <w:tcBorders>
              <w:top w:val="nil"/>
              <w:bottom w:val="nil"/>
            </w:tcBorders>
            <w:shd w:val="clear" w:color="auto" w:fill="FFFFFF" w:themeFill="background1"/>
            <w:vAlign w:val="center"/>
          </w:tcPr>
          <w:p w14:paraId="6BBB2DC1"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nil"/>
              <w:bottom w:val="nil"/>
            </w:tcBorders>
            <w:shd w:val="clear" w:color="auto" w:fill="FFFFFF" w:themeFill="background1"/>
            <w:vAlign w:val="center"/>
          </w:tcPr>
          <w:p w14:paraId="06D738CE"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9</w:t>
            </w:r>
          </w:p>
        </w:tc>
        <w:tc>
          <w:tcPr>
            <w:tcW w:w="1014" w:type="pct"/>
            <w:tcBorders>
              <w:top w:val="nil"/>
              <w:bottom w:val="nil"/>
            </w:tcBorders>
            <w:shd w:val="clear" w:color="auto" w:fill="FFFFFF" w:themeFill="background1"/>
            <w:vAlign w:val="center"/>
          </w:tcPr>
          <w:p w14:paraId="09AAFBB3"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PC95; Marine water</w:t>
            </w:r>
          </w:p>
        </w:tc>
        <w:tc>
          <w:tcPr>
            <w:tcW w:w="503" w:type="pct"/>
            <w:tcBorders>
              <w:bottom w:val="nil"/>
            </w:tcBorders>
            <w:shd w:val="clear" w:color="auto" w:fill="FFFFFF" w:themeFill="background1"/>
            <w:vAlign w:val="center"/>
          </w:tcPr>
          <w:p w14:paraId="7F86B2BA"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9</w:t>
            </w:r>
          </w:p>
        </w:tc>
        <w:tc>
          <w:tcPr>
            <w:tcW w:w="779" w:type="pct"/>
            <w:gridSpan w:val="2"/>
            <w:tcBorders>
              <w:bottom w:val="nil"/>
            </w:tcBorders>
            <w:shd w:val="clear" w:color="auto" w:fill="FFFFFF" w:themeFill="background1"/>
            <w:vAlign w:val="center"/>
          </w:tcPr>
          <w:p w14:paraId="6D838C51"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PC95; High reliability</w:t>
            </w:r>
          </w:p>
        </w:tc>
      </w:tr>
      <w:tr w:rsidR="00F0210B" w:rsidRPr="00581507" w14:paraId="35F976B4"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bottom w:val="single" w:sz="4" w:space="0" w:color="auto"/>
            </w:tcBorders>
            <w:shd w:val="clear" w:color="auto" w:fill="FFFFFF" w:themeFill="background1"/>
            <w:vAlign w:val="center"/>
          </w:tcPr>
          <w:p w14:paraId="3CE9D790" w14:textId="77777777" w:rsidR="00F0210B" w:rsidRPr="00581507" w:rsidRDefault="00F0210B" w:rsidP="002439C8">
            <w:pPr>
              <w:pStyle w:val="Caption"/>
              <w:rPr>
                <w:rFonts w:asciiTheme="minorHAnsi" w:hAnsiTheme="minorHAnsi"/>
                <w:color w:val="auto"/>
                <w:sz w:val="20"/>
                <w:lang w:val="en-AU"/>
              </w:rPr>
            </w:pPr>
          </w:p>
        </w:tc>
        <w:tc>
          <w:tcPr>
            <w:tcW w:w="533" w:type="pct"/>
            <w:tcBorders>
              <w:top w:val="nil"/>
              <w:bottom w:val="single" w:sz="4" w:space="0" w:color="auto"/>
            </w:tcBorders>
            <w:shd w:val="clear" w:color="auto" w:fill="FFFFFF" w:themeFill="background1"/>
            <w:vAlign w:val="center"/>
          </w:tcPr>
          <w:p w14:paraId="71FF8D1F"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136" w:type="pct"/>
            <w:tcBorders>
              <w:top w:val="nil"/>
              <w:bottom w:val="single" w:sz="4" w:space="0" w:color="auto"/>
            </w:tcBorders>
            <w:shd w:val="clear" w:color="auto" w:fill="FFFFFF" w:themeFill="background1"/>
            <w:vAlign w:val="center"/>
          </w:tcPr>
          <w:p w14:paraId="73D5C7FC"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nil"/>
              <w:bottom w:val="single" w:sz="4" w:space="0" w:color="auto"/>
            </w:tcBorders>
            <w:shd w:val="clear" w:color="auto" w:fill="FFFFFF" w:themeFill="background1"/>
            <w:vAlign w:val="center"/>
          </w:tcPr>
          <w:p w14:paraId="6B65F3C6"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0.04</w:t>
            </w:r>
          </w:p>
        </w:tc>
        <w:tc>
          <w:tcPr>
            <w:tcW w:w="1014" w:type="pct"/>
            <w:tcBorders>
              <w:top w:val="nil"/>
              <w:bottom w:val="single" w:sz="4" w:space="0" w:color="auto"/>
            </w:tcBorders>
            <w:shd w:val="clear" w:color="auto" w:fill="FFFFFF" w:themeFill="background1"/>
            <w:vAlign w:val="center"/>
          </w:tcPr>
          <w:p w14:paraId="4145DC0E" w14:textId="77777777" w:rsidR="00F0210B"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Fresh</w:t>
            </w:r>
            <w:r w:rsidR="00F0210B" w:rsidRPr="00581507">
              <w:rPr>
                <w:rFonts w:asciiTheme="minorHAnsi" w:hAnsiTheme="minorHAnsi" w:cstheme="minorHAnsi"/>
                <w:b w:val="0"/>
                <w:sz w:val="20"/>
                <w:lang w:val="en-AU" w:eastAsia="en-AU"/>
              </w:rPr>
              <w:t>water</w:t>
            </w:r>
          </w:p>
        </w:tc>
        <w:tc>
          <w:tcPr>
            <w:tcW w:w="503" w:type="pct"/>
            <w:tcBorders>
              <w:top w:val="nil"/>
              <w:bottom w:val="single" w:sz="4" w:space="0" w:color="auto"/>
            </w:tcBorders>
            <w:shd w:val="clear" w:color="auto" w:fill="FFFFFF" w:themeFill="background1"/>
            <w:vAlign w:val="center"/>
          </w:tcPr>
          <w:p w14:paraId="3017D8EF"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nil"/>
              <w:bottom w:val="single" w:sz="4" w:space="0" w:color="auto"/>
            </w:tcBorders>
            <w:shd w:val="clear" w:color="auto" w:fill="FFFFFF" w:themeFill="background1"/>
            <w:vAlign w:val="center"/>
          </w:tcPr>
          <w:p w14:paraId="1DEA061E"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F0210B" w:rsidRPr="00581507" w14:paraId="45894962"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4" w:space="0" w:color="auto"/>
            </w:tcBorders>
            <w:shd w:val="clear" w:color="auto" w:fill="FFFFFF" w:themeFill="background1"/>
            <w:vAlign w:val="center"/>
          </w:tcPr>
          <w:p w14:paraId="3E4BAE02" w14:textId="77777777" w:rsidR="00F0210B" w:rsidRPr="002D0872" w:rsidRDefault="00F0210B" w:rsidP="002439C8">
            <w:pPr>
              <w:pStyle w:val="Caption"/>
              <w:rPr>
                <w:rFonts w:asciiTheme="minorHAnsi" w:hAnsiTheme="minorHAnsi"/>
                <w:color w:val="auto"/>
                <w:sz w:val="20"/>
                <w:lang w:val="en-AU"/>
              </w:rPr>
            </w:pPr>
            <w:r w:rsidRPr="00581507">
              <w:rPr>
                <w:rFonts w:asciiTheme="minorHAnsi" w:hAnsiTheme="minorHAnsi"/>
                <w:color w:val="auto"/>
                <w:sz w:val="20"/>
                <w:lang w:val="en-AU"/>
              </w:rPr>
              <w:t>Diuron</w:t>
            </w:r>
          </w:p>
        </w:tc>
        <w:tc>
          <w:tcPr>
            <w:tcW w:w="533" w:type="pct"/>
            <w:tcBorders>
              <w:top w:val="single" w:sz="4" w:space="0" w:color="auto"/>
              <w:bottom w:val="nil"/>
            </w:tcBorders>
            <w:shd w:val="clear" w:color="auto" w:fill="FFFFFF" w:themeFill="background1"/>
            <w:vAlign w:val="center"/>
          </w:tcPr>
          <w:p w14:paraId="785F5BAA"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430</w:t>
            </w:r>
            <w:r w:rsidR="00662785" w:rsidRPr="005F1879">
              <w:rPr>
                <w:rFonts w:asciiTheme="minorHAnsi" w:hAnsiTheme="minorHAnsi" w:cstheme="minorHAnsi"/>
                <w:b w:val="0"/>
                <w:sz w:val="20"/>
                <w:vertAlign w:val="superscript"/>
                <w:lang w:val="en-AU" w:eastAsia="en-AU"/>
              </w:rPr>
              <w:t>b</w:t>
            </w:r>
          </w:p>
        </w:tc>
        <w:tc>
          <w:tcPr>
            <w:tcW w:w="1136" w:type="pct"/>
            <w:tcBorders>
              <w:top w:val="single" w:sz="4" w:space="0" w:color="auto"/>
              <w:bottom w:val="nil"/>
            </w:tcBorders>
            <w:shd w:val="clear" w:color="auto" w:fill="FFFFFF" w:themeFill="background1"/>
            <w:vAlign w:val="center"/>
          </w:tcPr>
          <w:p w14:paraId="7D4C79E5"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very high reliability; Marine water</w:t>
            </w:r>
          </w:p>
        </w:tc>
        <w:tc>
          <w:tcPr>
            <w:tcW w:w="498" w:type="pct"/>
            <w:tcBorders>
              <w:top w:val="single" w:sz="4" w:space="0" w:color="auto"/>
              <w:bottom w:val="nil"/>
            </w:tcBorders>
            <w:shd w:val="clear" w:color="auto" w:fill="FFFFFF" w:themeFill="background1"/>
            <w:vAlign w:val="center"/>
          </w:tcPr>
          <w:p w14:paraId="79ED512E"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200</w:t>
            </w:r>
            <w:r w:rsidR="00662785" w:rsidRPr="00581507">
              <w:rPr>
                <w:rFonts w:asciiTheme="minorHAnsi" w:hAnsiTheme="minorHAnsi" w:cstheme="minorHAnsi"/>
                <w:b w:val="0"/>
                <w:sz w:val="20"/>
                <w:vertAlign w:val="superscript"/>
                <w:lang w:val="en-AU" w:eastAsia="en-AU"/>
              </w:rPr>
              <w:t>d</w:t>
            </w:r>
          </w:p>
        </w:tc>
        <w:tc>
          <w:tcPr>
            <w:tcW w:w="1014" w:type="pct"/>
            <w:tcBorders>
              <w:top w:val="single" w:sz="4" w:space="0" w:color="auto"/>
              <w:bottom w:val="nil"/>
            </w:tcBorders>
            <w:shd w:val="clear" w:color="auto" w:fill="FFFFFF" w:themeFill="background1"/>
            <w:vAlign w:val="center"/>
          </w:tcPr>
          <w:p w14:paraId="20504FD1" w14:textId="77777777" w:rsidR="00F0210B"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IWL; low reliability; Fresh</w:t>
            </w:r>
            <w:r w:rsidR="00F0210B" w:rsidRPr="00581507">
              <w:rPr>
                <w:rFonts w:asciiTheme="minorHAnsi" w:hAnsiTheme="minorHAnsi" w:cstheme="minorHAnsi"/>
                <w:b w:val="0"/>
                <w:sz w:val="20"/>
                <w:lang w:val="en-AU" w:eastAsia="en-AU"/>
              </w:rPr>
              <w:t>water</w:t>
            </w:r>
          </w:p>
        </w:tc>
        <w:tc>
          <w:tcPr>
            <w:tcW w:w="503" w:type="pct"/>
            <w:tcBorders>
              <w:top w:val="single" w:sz="4" w:space="0" w:color="auto"/>
              <w:bottom w:val="nil"/>
            </w:tcBorders>
            <w:shd w:val="clear" w:color="auto" w:fill="FFFFFF" w:themeFill="background1"/>
            <w:vAlign w:val="center"/>
          </w:tcPr>
          <w:p w14:paraId="4412D360"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900</w:t>
            </w:r>
          </w:p>
        </w:tc>
        <w:tc>
          <w:tcPr>
            <w:tcW w:w="779" w:type="pct"/>
            <w:gridSpan w:val="2"/>
            <w:tcBorders>
              <w:top w:val="single" w:sz="4" w:space="0" w:color="auto"/>
              <w:bottom w:val="nil"/>
            </w:tcBorders>
            <w:shd w:val="clear" w:color="auto" w:fill="FFFFFF" w:themeFill="background1"/>
            <w:vAlign w:val="center"/>
          </w:tcPr>
          <w:p w14:paraId="2143EA89" w14:textId="77777777" w:rsidR="00F0210B" w:rsidRPr="00581507" w:rsidRDefault="00F0210B"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moderate reliability</w:t>
            </w:r>
          </w:p>
        </w:tc>
      </w:tr>
      <w:tr w:rsidR="00F0210B" w:rsidRPr="00581507" w14:paraId="4A8F24FF"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bottom w:val="single" w:sz="8" w:space="0" w:color="auto"/>
            </w:tcBorders>
            <w:shd w:val="clear" w:color="auto" w:fill="FFFFFF" w:themeFill="background1"/>
            <w:vAlign w:val="center"/>
          </w:tcPr>
          <w:p w14:paraId="3ED1169C" w14:textId="77777777" w:rsidR="00F0210B" w:rsidRPr="00581507" w:rsidRDefault="00F0210B" w:rsidP="002439C8">
            <w:pPr>
              <w:pStyle w:val="Caption"/>
              <w:rPr>
                <w:rFonts w:asciiTheme="minorHAnsi" w:hAnsiTheme="minorHAnsi"/>
                <w:color w:val="auto"/>
                <w:sz w:val="20"/>
                <w:lang w:val="en-AU"/>
              </w:rPr>
            </w:pPr>
          </w:p>
        </w:tc>
        <w:tc>
          <w:tcPr>
            <w:tcW w:w="533" w:type="pct"/>
            <w:tcBorders>
              <w:top w:val="nil"/>
              <w:bottom w:val="single" w:sz="8" w:space="0" w:color="auto"/>
            </w:tcBorders>
            <w:shd w:val="clear" w:color="auto" w:fill="FFFFFF" w:themeFill="background1"/>
            <w:vAlign w:val="center"/>
          </w:tcPr>
          <w:p w14:paraId="765D28A0"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136" w:type="pct"/>
            <w:tcBorders>
              <w:top w:val="nil"/>
              <w:bottom w:val="single" w:sz="8" w:space="0" w:color="auto"/>
            </w:tcBorders>
            <w:shd w:val="clear" w:color="auto" w:fill="FFFFFF" w:themeFill="background1"/>
            <w:vAlign w:val="center"/>
          </w:tcPr>
          <w:p w14:paraId="6EEC66AD"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nil"/>
              <w:bottom w:val="single" w:sz="8" w:space="0" w:color="auto"/>
            </w:tcBorders>
            <w:shd w:val="clear" w:color="auto" w:fill="FFFFFF" w:themeFill="background1"/>
            <w:vAlign w:val="center"/>
          </w:tcPr>
          <w:p w14:paraId="7E2BF20E"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1,800</w:t>
            </w:r>
            <w:r w:rsidR="00662785" w:rsidRPr="00581507">
              <w:rPr>
                <w:rFonts w:asciiTheme="minorHAnsi" w:hAnsiTheme="minorHAnsi" w:cstheme="minorHAnsi"/>
                <w:b w:val="0"/>
                <w:sz w:val="20"/>
                <w:vertAlign w:val="superscript"/>
                <w:lang w:val="en-AU" w:eastAsia="en-AU"/>
              </w:rPr>
              <w:t>d</w:t>
            </w:r>
          </w:p>
        </w:tc>
        <w:tc>
          <w:tcPr>
            <w:tcW w:w="1014" w:type="pct"/>
            <w:tcBorders>
              <w:top w:val="nil"/>
              <w:bottom w:val="single" w:sz="8" w:space="0" w:color="auto"/>
            </w:tcBorders>
            <w:shd w:val="clear" w:color="auto" w:fill="FFFFFF" w:themeFill="background1"/>
            <w:vAlign w:val="center"/>
          </w:tcPr>
          <w:p w14:paraId="76F202FC"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 xml:space="preserve">IWL; low reliability; Marine water </w:t>
            </w:r>
          </w:p>
        </w:tc>
        <w:tc>
          <w:tcPr>
            <w:tcW w:w="503" w:type="pct"/>
            <w:tcBorders>
              <w:top w:val="nil"/>
              <w:bottom w:val="single" w:sz="2" w:space="0" w:color="auto"/>
            </w:tcBorders>
            <w:shd w:val="clear" w:color="auto" w:fill="FFFFFF" w:themeFill="background1"/>
            <w:vAlign w:val="center"/>
          </w:tcPr>
          <w:p w14:paraId="3D698026"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1,600</w:t>
            </w:r>
          </w:p>
        </w:tc>
        <w:tc>
          <w:tcPr>
            <w:tcW w:w="779" w:type="pct"/>
            <w:gridSpan w:val="2"/>
            <w:tcBorders>
              <w:top w:val="nil"/>
              <w:bottom w:val="single" w:sz="2" w:space="0" w:color="auto"/>
            </w:tcBorders>
            <w:shd w:val="clear" w:color="auto" w:fill="FFFFFF" w:themeFill="background1"/>
            <w:vAlign w:val="center"/>
          </w:tcPr>
          <w:p w14:paraId="1365FC5D" w14:textId="77777777" w:rsidR="00F0210B" w:rsidRPr="00581507" w:rsidRDefault="00F0210B"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PC95; moderate reliability</w:t>
            </w:r>
          </w:p>
        </w:tc>
      </w:tr>
      <w:tr w:rsidR="002118E1" w:rsidRPr="00581507" w14:paraId="2A2A6B68"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bottom w:val="single" w:sz="8" w:space="0" w:color="auto"/>
            </w:tcBorders>
            <w:shd w:val="clear" w:color="auto" w:fill="FFFFFF" w:themeFill="background1"/>
            <w:vAlign w:val="center"/>
          </w:tcPr>
          <w:p w14:paraId="708B20BA"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Fipronil</w:t>
            </w:r>
          </w:p>
        </w:tc>
        <w:tc>
          <w:tcPr>
            <w:tcW w:w="533" w:type="pct"/>
            <w:tcBorders>
              <w:top w:val="nil"/>
              <w:bottom w:val="single" w:sz="8" w:space="0" w:color="auto"/>
            </w:tcBorders>
            <w:shd w:val="clear" w:color="auto" w:fill="FFFFFF" w:themeFill="background1"/>
            <w:vAlign w:val="center"/>
          </w:tcPr>
          <w:p w14:paraId="24737476"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3.</w:t>
            </w:r>
            <w:r w:rsidR="00A9131E" w:rsidRPr="005F1879">
              <w:rPr>
                <w:rFonts w:asciiTheme="minorHAnsi" w:hAnsiTheme="minorHAnsi" w:cstheme="minorHAnsi"/>
                <w:b w:val="0"/>
                <w:sz w:val="20"/>
                <w:lang w:val="en-AU" w:eastAsia="en-AU"/>
              </w:rPr>
              <w:t>4</w:t>
            </w:r>
          </w:p>
        </w:tc>
        <w:tc>
          <w:tcPr>
            <w:tcW w:w="1136" w:type="pct"/>
            <w:tcBorders>
              <w:top w:val="nil"/>
              <w:bottom w:val="single" w:sz="8" w:space="0" w:color="auto"/>
            </w:tcBorders>
            <w:shd w:val="clear" w:color="auto" w:fill="FFFFFF" w:themeFill="background1"/>
            <w:vAlign w:val="center"/>
          </w:tcPr>
          <w:p w14:paraId="7C479420"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moderate reliability; Marine water</w:t>
            </w:r>
          </w:p>
        </w:tc>
        <w:tc>
          <w:tcPr>
            <w:tcW w:w="498" w:type="pct"/>
            <w:tcBorders>
              <w:top w:val="nil"/>
              <w:bottom w:val="single" w:sz="8" w:space="0" w:color="auto"/>
            </w:tcBorders>
            <w:shd w:val="clear" w:color="auto" w:fill="FFFFFF" w:themeFill="background1"/>
            <w:vAlign w:val="center"/>
          </w:tcPr>
          <w:p w14:paraId="610A97D8"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nil"/>
              <w:bottom w:val="single" w:sz="8" w:space="0" w:color="auto"/>
            </w:tcBorders>
            <w:shd w:val="clear" w:color="auto" w:fill="FFFFFF" w:themeFill="background1"/>
            <w:vAlign w:val="center"/>
          </w:tcPr>
          <w:p w14:paraId="6E701BFF"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nil"/>
              <w:bottom w:val="single" w:sz="2" w:space="0" w:color="auto"/>
            </w:tcBorders>
            <w:shd w:val="clear" w:color="auto" w:fill="FFFFFF" w:themeFill="background1"/>
            <w:vAlign w:val="center"/>
          </w:tcPr>
          <w:p w14:paraId="5DEF005E"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nil"/>
              <w:bottom w:val="single" w:sz="2" w:space="0" w:color="auto"/>
            </w:tcBorders>
            <w:shd w:val="clear" w:color="auto" w:fill="FFFFFF" w:themeFill="background1"/>
            <w:vAlign w:val="center"/>
          </w:tcPr>
          <w:p w14:paraId="34EE045E"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DA631C" w:rsidRPr="00581507" w14:paraId="0F93D3E5"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bottom w:val="single" w:sz="8" w:space="0" w:color="auto"/>
            </w:tcBorders>
            <w:shd w:val="clear" w:color="auto" w:fill="FFFFFF" w:themeFill="background1"/>
            <w:vAlign w:val="center"/>
          </w:tcPr>
          <w:p w14:paraId="386745C8"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Fluometuron</w:t>
            </w:r>
          </w:p>
        </w:tc>
        <w:tc>
          <w:tcPr>
            <w:tcW w:w="533" w:type="pct"/>
            <w:tcBorders>
              <w:top w:val="nil"/>
              <w:bottom w:val="single" w:sz="8" w:space="0" w:color="auto"/>
            </w:tcBorders>
            <w:shd w:val="clear" w:color="auto" w:fill="FFFFFF" w:themeFill="background1"/>
            <w:vAlign w:val="center"/>
          </w:tcPr>
          <w:p w14:paraId="6CECCAB1" w14:textId="77777777" w:rsidR="00DA631C" w:rsidRPr="005F1879"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20,0</w:t>
            </w:r>
            <w:r w:rsidR="00DA631C" w:rsidRPr="005F1879">
              <w:rPr>
                <w:rFonts w:asciiTheme="minorHAnsi" w:hAnsiTheme="minorHAnsi" w:cstheme="minorHAnsi"/>
                <w:b w:val="0"/>
                <w:sz w:val="20"/>
                <w:lang w:val="en-AU" w:eastAsia="en-AU"/>
              </w:rPr>
              <w:t>00</w:t>
            </w:r>
          </w:p>
        </w:tc>
        <w:tc>
          <w:tcPr>
            <w:tcW w:w="1136" w:type="pct"/>
            <w:tcBorders>
              <w:top w:val="nil"/>
              <w:bottom w:val="single" w:sz="8" w:space="0" w:color="auto"/>
            </w:tcBorders>
            <w:shd w:val="clear" w:color="auto" w:fill="FFFFFF" w:themeFill="background1"/>
            <w:vAlign w:val="center"/>
          </w:tcPr>
          <w:p w14:paraId="5328DB9D"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moderate reliability; Marine water</w:t>
            </w:r>
          </w:p>
        </w:tc>
        <w:tc>
          <w:tcPr>
            <w:tcW w:w="498" w:type="pct"/>
            <w:tcBorders>
              <w:top w:val="nil"/>
              <w:bottom w:val="single" w:sz="8" w:space="0" w:color="auto"/>
            </w:tcBorders>
            <w:shd w:val="clear" w:color="auto" w:fill="FFFFFF" w:themeFill="background1"/>
            <w:vAlign w:val="center"/>
          </w:tcPr>
          <w:p w14:paraId="617E04DA"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nil"/>
              <w:bottom w:val="single" w:sz="8" w:space="0" w:color="auto"/>
            </w:tcBorders>
            <w:shd w:val="clear" w:color="auto" w:fill="FFFFFF" w:themeFill="background1"/>
            <w:vAlign w:val="center"/>
          </w:tcPr>
          <w:p w14:paraId="3A8D11D6"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nil"/>
              <w:bottom w:val="single" w:sz="2" w:space="0" w:color="auto"/>
            </w:tcBorders>
            <w:shd w:val="clear" w:color="auto" w:fill="FFFFFF" w:themeFill="background1"/>
            <w:vAlign w:val="center"/>
          </w:tcPr>
          <w:p w14:paraId="50F21522"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nil"/>
              <w:bottom w:val="single" w:sz="2" w:space="0" w:color="auto"/>
            </w:tcBorders>
            <w:shd w:val="clear" w:color="auto" w:fill="FFFFFF" w:themeFill="background1"/>
            <w:vAlign w:val="center"/>
          </w:tcPr>
          <w:p w14:paraId="7221A3BF"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DA631C" w:rsidRPr="00581507" w14:paraId="38927D97"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bottom w:val="single" w:sz="8" w:space="0" w:color="auto"/>
            </w:tcBorders>
            <w:shd w:val="clear" w:color="auto" w:fill="FFFFFF" w:themeFill="background1"/>
            <w:vAlign w:val="center"/>
          </w:tcPr>
          <w:p w14:paraId="3534B542"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Fluroxypyr</w:t>
            </w:r>
          </w:p>
        </w:tc>
        <w:tc>
          <w:tcPr>
            <w:tcW w:w="533" w:type="pct"/>
            <w:tcBorders>
              <w:top w:val="nil"/>
              <w:bottom w:val="single" w:sz="8" w:space="0" w:color="auto"/>
            </w:tcBorders>
            <w:shd w:val="clear" w:color="auto" w:fill="FFFFFF" w:themeFill="background1"/>
            <w:vAlign w:val="center"/>
          </w:tcPr>
          <w:p w14:paraId="421A803D" w14:textId="77777777" w:rsidR="00DA631C" w:rsidRPr="005F1879"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87</w:t>
            </w:r>
            <w:r w:rsidR="00DA631C" w:rsidRPr="005F1879">
              <w:rPr>
                <w:rFonts w:asciiTheme="minorHAnsi" w:hAnsiTheme="minorHAnsi" w:cstheme="minorHAnsi"/>
                <w:b w:val="0"/>
                <w:sz w:val="20"/>
                <w:lang w:val="en-AU" w:eastAsia="en-AU"/>
              </w:rPr>
              <w:t>,000</w:t>
            </w:r>
          </w:p>
        </w:tc>
        <w:tc>
          <w:tcPr>
            <w:tcW w:w="1136" w:type="pct"/>
            <w:tcBorders>
              <w:top w:val="nil"/>
              <w:bottom w:val="single" w:sz="8" w:space="0" w:color="auto"/>
            </w:tcBorders>
            <w:shd w:val="clear" w:color="auto" w:fill="FFFFFF" w:themeFill="background1"/>
            <w:vAlign w:val="center"/>
          </w:tcPr>
          <w:p w14:paraId="0DB68725"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moderate reliability; Marine water</w:t>
            </w:r>
          </w:p>
        </w:tc>
        <w:tc>
          <w:tcPr>
            <w:tcW w:w="498" w:type="pct"/>
            <w:tcBorders>
              <w:top w:val="nil"/>
              <w:bottom w:val="single" w:sz="8" w:space="0" w:color="auto"/>
            </w:tcBorders>
            <w:shd w:val="clear" w:color="auto" w:fill="FFFFFF" w:themeFill="background1"/>
            <w:vAlign w:val="center"/>
          </w:tcPr>
          <w:p w14:paraId="2E6B47E5"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nil"/>
              <w:bottom w:val="single" w:sz="8" w:space="0" w:color="auto"/>
            </w:tcBorders>
            <w:shd w:val="clear" w:color="auto" w:fill="FFFFFF" w:themeFill="background1"/>
            <w:vAlign w:val="center"/>
          </w:tcPr>
          <w:p w14:paraId="64B1F188"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nil"/>
              <w:bottom w:val="single" w:sz="2" w:space="0" w:color="auto"/>
            </w:tcBorders>
            <w:shd w:val="clear" w:color="auto" w:fill="FFFFFF" w:themeFill="background1"/>
            <w:vAlign w:val="center"/>
          </w:tcPr>
          <w:p w14:paraId="198BEA57"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nil"/>
              <w:bottom w:val="single" w:sz="2" w:space="0" w:color="auto"/>
            </w:tcBorders>
            <w:shd w:val="clear" w:color="auto" w:fill="FFFFFF" w:themeFill="background1"/>
            <w:vAlign w:val="center"/>
          </w:tcPr>
          <w:p w14:paraId="27A9CFB8"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DA631C" w:rsidRPr="00581507" w14:paraId="20B76B8C"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8" w:space="0" w:color="auto"/>
              <w:bottom w:val="single" w:sz="8" w:space="0" w:color="auto"/>
            </w:tcBorders>
            <w:shd w:val="clear" w:color="auto" w:fill="FFFFFF" w:themeFill="background1"/>
            <w:vAlign w:val="center"/>
          </w:tcPr>
          <w:p w14:paraId="66E8E916"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Haloxyfop</w:t>
            </w:r>
          </w:p>
        </w:tc>
        <w:tc>
          <w:tcPr>
            <w:tcW w:w="533" w:type="pct"/>
            <w:tcBorders>
              <w:top w:val="single" w:sz="8" w:space="0" w:color="auto"/>
              <w:bottom w:val="single" w:sz="8" w:space="0" w:color="auto"/>
            </w:tcBorders>
            <w:shd w:val="clear" w:color="auto" w:fill="FFFFFF" w:themeFill="background1"/>
            <w:vAlign w:val="center"/>
          </w:tcPr>
          <w:p w14:paraId="1042EC07" w14:textId="77777777" w:rsidR="00DA631C" w:rsidRPr="005F1879"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589</w:t>
            </w:r>
            <w:r w:rsidR="00DA631C" w:rsidRPr="005F1879">
              <w:rPr>
                <w:rFonts w:asciiTheme="minorHAnsi" w:hAnsiTheme="minorHAnsi" w:cstheme="minorHAnsi"/>
                <w:b w:val="0"/>
                <w:sz w:val="20"/>
                <w:lang w:val="en-AU" w:eastAsia="en-AU"/>
              </w:rPr>
              <w:t>,000</w:t>
            </w:r>
          </w:p>
        </w:tc>
        <w:tc>
          <w:tcPr>
            <w:tcW w:w="1136" w:type="pct"/>
            <w:tcBorders>
              <w:top w:val="single" w:sz="8" w:space="0" w:color="auto"/>
              <w:bottom w:val="single" w:sz="8" w:space="0" w:color="auto"/>
            </w:tcBorders>
            <w:shd w:val="clear" w:color="auto" w:fill="FFFFFF" w:themeFill="background1"/>
            <w:vAlign w:val="center"/>
          </w:tcPr>
          <w:p w14:paraId="726585C2"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low reliability; Marine water</w:t>
            </w:r>
          </w:p>
        </w:tc>
        <w:tc>
          <w:tcPr>
            <w:tcW w:w="498" w:type="pct"/>
            <w:tcBorders>
              <w:top w:val="single" w:sz="8" w:space="0" w:color="auto"/>
              <w:bottom w:val="single" w:sz="8" w:space="0" w:color="auto"/>
            </w:tcBorders>
            <w:shd w:val="clear" w:color="auto" w:fill="FFFFFF" w:themeFill="background1"/>
            <w:vAlign w:val="center"/>
          </w:tcPr>
          <w:p w14:paraId="3BC94CAD"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8" w:space="0" w:color="auto"/>
              <w:bottom w:val="single" w:sz="8" w:space="0" w:color="auto"/>
            </w:tcBorders>
            <w:shd w:val="clear" w:color="auto" w:fill="FFFFFF" w:themeFill="background1"/>
            <w:vAlign w:val="center"/>
          </w:tcPr>
          <w:p w14:paraId="348F6396"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bottom w:val="single" w:sz="2" w:space="0" w:color="auto"/>
            </w:tcBorders>
            <w:shd w:val="clear" w:color="auto" w:fill="FFFFFF" w:themeFill="background1"/>
            <w:vAlign w:val="center"/>
          </w:tcPr>
          <w:p w14:paraId="7BEC4A0E"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single" w:sz="2" w:space="0" w:color="auto"/>
              <w:bottom w:val="single" w:sz="2" w:space="0" w:color="auto"/>
            </w:tcBorders>
            <w:shd w:val="clear" w:color="auto" w:fill="FFFFFF" w:themeFill="background1"/>
            <w:vAlign w:val="center"/>
          </w:tcPr>
          <w:p w14:paraId="32E1EFC0"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DA631C" w:rsidRPr="00581507" w14:paraId="777BDC64"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8" w:space="0" w:color="auto"/>
              <w:bottom w:val="single" w:sz="8" w:space="0" w:color="auto"/>
            </w:tcBorders>
            <w:shd w:val="clear" w:color="auto" w:fill="FFFFFF" w:themeFill="background1"/>
            <w:vAlign w:val="center"/>
          </w:tcPr>
          <w:p w14:paraId="37A5A8AF"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Hexazinone</w:t>
            </w:r>
          </w:p>
        </w:tc>
        <w:tc>
          <w:tcPr>
            <w:tcW w:w="533" w:type="pct"/>
            <w:tcBorders>
              <w:top w:val="single" w:sz="8" w:space="0" w:color="auto"/>
              <w:bottom w:val="single" w:sz="8" w:space="0" w:color="auto"/>
            </w:tcBorders>
            <w:shd w:val="clear" w:color="auto" w:fill="FFFFFF" w:themeFill="background1"/>
            <w:vAlign w:val="center"/>
          </w:tcPr>
          <w:p w14:paraId="69451EB5"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1,</w:t>
            </w:r>
            <w:r w:rsidR="00A9131E" w:rsidRPr="005F1879">
              <w:rPr>
                <w:rFonts w:asciiTheme="minorHAnsi" w:hAnsiTheme="minorHAnsi" w:cstheme="minorHAnsi"/>
                <w:b w:val="0"/>
                <w:sz w:val="20"/>
                <w:lang w:val="en-AU" w:eastAsia="en-AU"/>
              </w:rPr>
              <w:t>8</w:t>
            </w:r>
            <w:r w:rsidRPr="00581507">
              <w:rPr>
                <w:rFonts w:asciiTheme="minorHAnsi" w:hAnsiTheme="minorHAnsi" w:cstheme="minorHAnsi"/>
                <w:b w:val="0"/>
                <w:sz w:val="20"/>
                <w:lang w:val="en-AU" w:eastAsia="en-AU"/>
              </w:rPr>
              <w:t>00</w:t>
            </w:r>
          </w:p>
        </w:tc>
        <w:tc>
          <w:tcPr>
            <w:tcW w:w="1136" w:type="pct"/>
            <w:tcBorders>
              <w:top w:val="single" w:sz="8" w:space="0" w:color="auto"/>
              <w:bottom w:val="single" w:sz="8" w:space="0" w:color="auto"/>
            </w:tcBorders>
            <w:shd w:val="clear" w:color="auto" w:fill="FFFFFF" w:themeFill="background1"/>
            <w:vAlign w:val="center"/>
          </w:tcPr>
          <w:p w14:paraId="1BB7FD7E"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 xml:space="preserve">PC99; </w:t>
            </w:r>
            <w:r w:rsidR="00A9131E" w:rsidRPr="00581507">
              <w:rPr>
                <w:rFonts w:asciiTheme="minorHAnsi" w:hAnsiTheme="minorHAnsi" w:cstheme="minorHAnsi"/>
                <w:b w:val="0"/>
                <w:sz w:val="20"/>
                <w:lang w:val="en-AU" w:eastAsia="en-AU"/>
              </w:rPr>
              <w:t>low</w:t>
            </w:r>
            <w:r w:rsidRPr="00581507">
              <w:rPr>
                <w:rFonts w:asciiTheme="minorHAnsi" w:hAnsiTheme="minorHAnsi" w:cstheme="minorHAnsi"/>
                <w:b w:val="0"/>
                <w:sz w:val="20"/>
                <w:lang w:val="en-AU" w:eastAsia="en-AU"/>
              </w:rPr>
              <w:t xml:space="preserve"> reliability; Marine water</w:t>
            </w:r>
          </w:p>
        </w:tc>
        <w:tc>
          <w:tcPr>
            <w:tcW w:w="498" w:type="pct"/>
            <w:tcBorders>
              <w:top w:val="single" w:sz="8" w:space="0" w:color="auto"/>
              <w:bottom w:val="single" w:sz="8" w:space="0" w:color="auto"/>
            </w:tcBorders>
            <w:shd w:val="clear" w:color="auto" w:fill="FFFFFF" w:themeFill="background1"/>
            <w:vAlign w:val="center"/>
          </w:tcPr>
          <w:p w14:paraId="7C848849"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8" w:space="0" w:color="auto"/>
              <w:bottom w:val="single" w:sz="8" w:space="0" w:color="auto"/>
            </w:tcBorders>
            <w:shd w:val="clear" w:color="auto" w:fill="FFFFFF" w:themeFill="background1"/>
            <w:vAlign w:val="center"/>
          </w:tcPr>
          <w:p w14:paraId="036D5D99"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bottom w:val="single" w:sz="2" w:space="0" w:color="auto"/>
            </w:tcBorders>
            <w:shd w:val="clear" w:color="auto" w:fill="FFFFFF" w:themeFill="background1"/>
            <w:vAlign w:val="center"/>
          </w:tcPr>
          <w:p w14:paraId="15AC5A7A"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1,200</w:t>
            </w:r>
          </w:p>
        </w:tc>
        <w:tc>
          <w:tcPr>
            <w:tcW w:w="779" w:type="pct"/>
            <w:gridSpan w:val="2"/>
            <w:tcBorders>
              <w:top w:val="single" w:sz="2" w:space="0" w:color="auto"/>
              <w:bottom w:val="single" w:sz="2" w:space="0" w:color="auto"/>
            </w:tcBorders>
            <w:shd w:val="clear" w:color="auto" w:fill="FFFFFF" w:themeFill="background1"/>
            <w:vAlign w:val="center"/>
          </w:tcPr>
          <w:p w14:paraId="1017AE06"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Low reliability</w:t>
            </w:r>
          </w:p>
        </w:tc>
      </w:tr>
      <w:tr w:rsidR="00DA631C" w:rsidRPr="00581507" w14:paraId="2B05393B"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8" w:space="0" w:color="auto"/>
              <w:bottom w:val="single" w:sz="8" w:space="0" w:color="auto"/>
            </w:tcBorders>
            <w:shd w:val="clear" w:color="auto" w:fill="FFFFFF" w:themeFill="background1"/>
            <w:vAlign w:val="center"/>
          </w:tcPr>
          <w:p w14:paraId="65C2DBB7"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Imazapic</w:t>
            </w:r>
          </w:p>
        </w:tc>
        <w:tc>
          <w:tcPr>
            <w:tcW w:w="533" w:type="pct"/>
            <w:tcBorders>
              <w:top w:val="single" w:sz="8" w:space="0" w:color="auto"/>
              <w:bottom w:val="single" w:sz="8" w:space="0" w:color="auto"/>
            </w:tcBorders>
            <w:shd w:val="clear" w:color="auto" w:fill="FFFFFF" w:themeFill="background1"/>
            <w:vAlign w:val="center"/>
          </w:tcPr>
          <w:p w14:paraId="7F73F130" w14:textId="77777777" w:rsidR="00DA631C" w:rsidRPr="005F1879"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49</w:t>
            </w:r>
          </w:p>
        </w:tc>
        <w:tc>
          <w:tcPr>
            <w:tcW w:w="1136" w:type="pct"/>
            <w:tcBorders>
              <w:top w:val="single" w:sz="8" w:space="0" w:color="auto"/>
              <w:bottom w:val="single" w:sz="8" w:space="0" w:color="auto"/>
            </w:tcBorders>
            <w:shd w:val="clear" w:color="auto" w:fill="FFFFFF" w:themeFill="background1"/>
            <w:vAlign w:val="center"/>
          </w:tcPr>
          <w:p w14:paraId="1DF8CC5B"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 xml:space="preserve">PC99; </w:t>
            </w:r>
            <w:r w:rsidR="00A9131E" w:rsidRPr="00581507">
              <w:rPr>
                <w:rFonts w:asciiTheme="minorHAnsi" w:hAnsiTheme="minorHAnsi" w:cstheme="minorHAnsi"/>
                <w:b w:val="0"/>
                <w:sz w:val="20"/>
                <w:lang w:val="en-AU" w:eastAsia="en-AU"/>
              </w:rPr>
              <w:t xml:space="preserve">very </w:t>
            </w:r>
            <w:r w:rsidRPr="00581507">
              <w:rPr>
                <w:rFonts w:asciiTheme="minorHAnsi" w:hAnsiTheme="minorHAnsi" w:cstheme="minorHAnsi"/>
                <w:b w:val="0"/>
                <w:sz w:val="20"/>
                <w:lang w:val="en-AU" w:eastAsia="en-AU"/>
              </w:rPr>
              <w:t>low reliability; Marine water</w:t>
            </w:r>
          </w:p>
        </w:tc>
        <w:tc>
          <w:tcPr>
            <w:tcW w:w="498" w:type="pct"/>
            <w:tcBorders>
              <w:top w:val="single" w:sz="8" w:space="0" w:color="auto"/>
              <w:bottom w:val="single" w:sz="8" w:space="0" w:color="auto"/>
            </w:tcBorders>
            <w:shd w:val="clear" w:color="auto" w:fill="FFFFFF" w:themeFill="background1"/>
            <w:vAlign w:val="center"/>
          </w:tcPr>
          <w:p w14:paraId="6CC473BB"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8" w:space="0" w:color="auto"/>
              <w:bottom w:val="single" w:sz="8" w:space="0" w:color="auto"/>
            </w:tcBorders>
            <w:shd w:val="clear" w:color="auto" w:fill="FFFFFF" w:themeFill="background1"/>
            <w:vAlign w:val="center"/>
          </w:tcPr>
          <w:p w14:paraId="4798C15F"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bottom w:val="single" w:sz="2" w:space="0" w:color="auto"/>
            </w:tcBorders>
            <w:shd w:val="clear" w:color="auto" w:fill="FFFFFF" w:themeFill="background1"/>
            <w:vAlign w:val="center"/>
          </w:tcPr>
          <w:p w14:paraId="4A3F3DD7"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single" w:sz="2" w:space="0" w:color="auto"/>
              <w:bottom w:val="single" w:sz="2" w:space="0" w:color="auto"/>
            </w:tcBorders>
            <w:shd w:val="clear" w:color="auto" w:fill="FFFFFF" w:themeFill="background1"/>
            <w:vAlign w:val="center"/>
          </w:tcPr>
          <w:p w14:paraId="77344342"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DA631C" w:rsidRPr="00581507" w14:paraId="4FC468D1"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8" w:space="0" w:color="auto"/>
              <w:bottom w:val="single" w:sz="8" w:space="0" w:color="auto"/>
            </w:tcBorders>
            <w:shd w:val="clear" w:color="auto" w:fill="FFFFFF" w:themeFill="background1"/>
            <w:vAlign w:val="center"/>
          </w:tcPr>
          <w:p w14:paraId="027168D3"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Imidacloprid</w:t>
            </w:r>
          </w:p>
        </w:tc>
        <w:tc>
          <w:tcPr>
            <w:tcW w:w="533" w:type="pct"/>
            <w:tcBorders>
              <w:top w:val="single" w:sz="8" w:space="0" w:color="auto"/>
              <w:bottom w:val="single" w:sz="8" w:space="0" w:color="auto"/>
            </w:tcBorders>
            <w:shd w:val="clear" w:color="auto" w:fill="FFFFFF" w:themeFill="background1"/>
            <w:vAlign w:val="center"/>
          </w:tcPr>
          <w:p w14:paraId="53CF18B4" w14:textId="77777777" w:rsidR="00DA631C" w:rsidRPr="002D0872" w:rsidRDefault="002D0872"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Pr>
                <w:rFonts w:asciiTheme="minorHAnsi" w:hAnsiTheme="minorHAnsi" w:cstheme="minorHAnsi"/>
                <w:b w:val="0"/>
                <w:sz w:val="20"/>
                <w:lang w:val="en-AU" w:eastAsia="en-AU"/>
              </w:rPr>
              <w:t>57</w:t>
            </w:r>
          </w:p>
        </w:tc>
        <w:tc>
          <w:tcPr>
            <w:tcW w:w="1136" w:type="pct"/>
            <w:tcBorders>
              <w:top w:val="single" w:sz="8" w:space="0" w:color="auto"/>
              <w:bottom w:val="single" w:sz="8" w:space="0" w:color="auto"/>
            </w:tcBorders>
            <w:shd w:val="clear" w:color="auto" w:fill="FFFFFF" w:themeFill="background1"/>
            <w:vAlign w:val="center"/>
          </w:tcPr>
          <w:p w14:paraId="4AF3981F" w14:textId="77777777" w:rsidR="00DA631C" w:rsidRPr="002D0872"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PC99; moderate reliability; Marine water</w:t>
            </w:r>
          </w:p>
        </w:tc>
        <w:tc>
          <w:tcPr>
            <w:tcW w:w="498" w:type="pct"/>
            <w:tcBorders>
              <w:top w:val="single" w:sz="8" w:space="0" w:color="auto"/>
              <w:bottom w:val="single" w:sz="8" w:space="0" w:color="auto"/>
            </w:tcBorders>
            <w:shd w:val="clear" w:color="auto" w:fill="FFFFFF" w:themeFill="background1"/>
            <w:vAlign w:val="center"/>
          </w:tcPr>
          <w:p w14:paraId="7E1FA8DC" w14:textId="77777777" w:rsidR="00DA631C" w:rsidRPr="005F1879"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8" w:space="0" w:color="auto"/>
              <w:bottom w:val="single" w:sz="8" w:space="0" w:color="auto"/>
            </w:tcBorders>
            <w:shd w:val="clear" w:color="auto" w:fill="FFFFFF" w:themeFill="background1"/>
            <w:vAlign w:val="center"/>
          </w:tcPr>
          <w:p w14:paraId="1F9E0AB1"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bottom w:val="single" w:sz="2" w:space="0" w:color="auto"/>
            </w:tcBorders>
            <w:shd w:val="clear" w:color="auto" w:fill="FFFFFF" w:themeFill="background1"/>
            <w:vAlign w:val="center"/>
          </w:tcPr>
          <w:p w14:paraId="0D0CEB11"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single" w:sz="2" w:space="0" w:color="auto"/>
              <w:bottom w:val="single" w:sz="2" w:space="0" w:color="auto"/>
            </w:tcBorders>
            <w:shd w:val="clear" w:color="auto" w:fill="FFFFFF" w:themeFill="background1"/>
            <w:vAlign w:val="center"/>
          </w:tcPr>
          <w:p w14:paraId="43A29895"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DA631C" w:rsidRPr="00581507" w14:paraId="6AE691E9"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8" w:space="0" w:color="auto"/>
              <w:bottom w:val="single" w:sz="2" w:space="0" w:color="auto"/>
            </w:tcBorders>
            <w:shd w:val="clear" w:color="auto" w:fill="FFFFFF" w:themeFill="background1"/>
            <w:vAlign w:val="center"/>
          </w:tcPr>
          <w:p w14:paraId="3CF5E7DA"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MCPA</w:t>
            </w:r>
          </w:p>
        </w:tc>
        <w:tc>
          <w:tcPr>
            <w:tcW w:w="533" w:type="pct"/>
            <w:tcBorders>
              <w:top w:val="nil"/>
              <w:bottom w:val="single" w:sz="2" w:space="0" w:color="auto"/>
            </w:tcBorders>
            <w:shd w:val="clear" w:color="auto" w:fill="FFFFFF" w:themeFill="background1"/>
            <w:vAlign w:val="center"/>
          </w:tcPr>
          <w:p w14:paraId="40CC6C70" w14:textId="77777777" w:rsidR="00DA631C" w:rsidRPr="005F1879"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1,000</w:t>
            </w:r>
          </w:p>
        </w:tc>
        <w:tc>
          <w:tcPr>
            <w:tcW w:w="1136" w:type="pct"/>
            <w:tcBorders>
              <w:top w:val="nil"/>
              <w:bottom w:val="single" w:sz="2" w:space="0" w:color="auto"/>
            </w:tcBorders>
            <w:shd w:val="clear" w:color="auto" w:fill="FFFFFF" w:themeFill="background1"/>
            <w:vAlign w:val="center"/>
          </w:tcPr>
          <w:p w14:paraId="7D68E125"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 xml:space="preserve">PC99; </w:t>
            </w:r>
            <w:r w:rsidR="00A9131E" w:rsidRPr="00581507">
              <w:rPr>
                <w:rFonts w:asciiTheme="minorHAnsi" w:hAnsiTheme="minorHAnsi" w:cstheme="minorHAnsi"/>
                <w:b w:val="0"/>
                <w:sz w:val="20"/>
                <w:lang w:val="en-AU" w:eastAsia="en-AU"/>
              </w:rPr>
              <w:t xml:space="preserve">low </w:t>
            </w:r>
            <w:r w:rsidRPr="00581507">
              <w:rPr>
                <w:rFonts w:asciiTheme="minorHAnsi" w:hAnsiTheme="minorHAnsi" w:cstheme="minorHAnsi"/>
                <w:b w:val="0"/>
                <w:sz w:val="20"/>
                <w:lang w:val="en-AU" w:eastAsia="en-AU"/>
              </w:rPr>
              <w:t>reliability; Marine water</w:t>
            </w:r>
          </w:p>
        </w:tc>
        <w:tc>
          <w:tcPr>
            <w:tcW w:w="498" w:type="pct"/>
            <w:tcBorders>
              <w:top w:val="nil"/>
              <w:bottom w:val="single" w:sz="2" w:space="0" w:color="auto"/>
            </w:tcBorders>
            <w:shd w:val="clear" w:color="auto" w:fill="FFFFFF" w:themeFill="background1"/>
            <w:vAlign w:val="center"/>
          </w:tcPr>
          <w:p w14:paraId="3B924E30"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nil"/>
              <w:bottom w:val="single" w:sz="2" w:space="0" w:color="auto"/>
            </w:tcBorders>
            <w:shd w:val="clear" w:color="auto" w:fill="FFFFFF" w:themeFill="background1"/>
            <w:vAlign w:val="center"/>
          </w:tcPr>
          <w:p w14:paraId="76CE6A1D"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bottom w:val="single" w:sz="2" w:space="0" w:color="auto"/>
            </w:tcBorders>
            <w:shd w:val="clear" w:color="auto" w:fill="FFFFFF" w:themeFill="background1"/>
            <w:vAlign w:val="center"/>
          </w:tcPr>
          <w:p w14:paraId="67C9E334"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bottom w:val="single" w:sz="2" w:space="0" w:color="auto"/>
            </w:tcBorders>
            <w:shd w:val="clear" w:color="auto" w:fill="FFFFFF" w:themeFill="background1"/>
            <w:vAlign w:val="center"/>
          </w:tcPr>
          <w:p w14:paraId="471E27B8"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A9131E" w:rsidRPr="00581507" w14:paraId="4D095313"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shd w:val="clear" w:color="auto" w:fill="auto"/>
          </w:tcPr>
          <w:p w14:paraId="2A789035" w14:textId="77777777" w:rsidR="00A9131E" w:rsidRPr="002D0872" w:rsidRDefault="00A9131E" w:rsidP="002439C8">
            <w:pPr>
              <w:pStyle w:val="Caption"/>
              <w:rPr>
                <w:rFonts w:asciiTheme="minorHAnsi" w:hAnsiTheme="minorHAnsi"/>
                <w:color w:val="auto"/>
                <w:sz w:val="20"/>
                <w:lang w:val="en-AU"/>
              </w:rPr>
            </w:pPr>
            <w:r w:rsidRPr="00581507">
              <w:rPr>
                <w:rFonts w:asciiTheme="minorHAnsi" w:hAnsiTheme="minorHAnsi"/>
                <w:color w:val="auto"/>
                <w:sz w:val="20"/>
                <w:lang w:val="en-AU"/>
              </w:rPr>
              <w:t>Metolachlor</w:t>
            </w:r>
          </w:p>
        </w:tc>
        <w:tc>
          <w:tcPr>
            <w:tcW w:w="533" w:type="pct"/>
            <w:shd w:val="clear" w:color="auto" w:fill="auto"/>
          </w:tcPr>
          <w:p w14:paraId="6E40FEC4" w14:textId="77777777" w:rsidR="00A9131E" w:rsidRPr="002D0872"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Marine data n.a.</w:t>
            </w:r>
          </w:p>
        </w:tc>
        <w:tc>
          <w:tcPr>
            <w:tcW w:w="1136" w:type="pct"/>
            <w:shd w:val="clear" w:color="auto" w:fill="auto"/>
          </w:tcPr>
          <w:p w14:paraId="4E7AAA46" w14:textId="77777777" w:rsidR="00A9131E" w:rsidRPr="005F1879"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498" w:type="pct"/>
            <w:shd w:val="clear" w:color="auto" w:fill="auto"/>
          </w:tcPr>
          <w:p w14:paraId="52E3300C" w14:textId="77777777" w:rsidR="00A9131E" w:rsidRPr="00581507"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20</w:t>
            </w:r>
            <w:r w:rsidRPr="00581507">
              <w:rPr>
                <w:rFonts w:asciiTheme="minorHAnsi" w:hAnsiTheme="minorHAnsi" w:cstheme="minorHAnsi"/>
                <w:b w:val="0"/>
                <w:sz w:val="20"/>
                <w:vertAlign w:val="superscript"/>
                <w:lang w:val="en-AU" w:eastAsia="en-AU"/>
              </w:rPr>
              <w:t>d</w:t>
            </w:r>
          </w:p>
        </w:tc>
        <w:tc>
          <w:tcPr>
            <w:tcW w:w="1014" w:type="pct"/>
            <w:shd w:val="clear" w:color="auto" w:fill="auto"/>
          </w:tcPr>
          <w:p w14:paraId="70B7166C" w14:textId="77777777" w:rsidR="00A9131E" w:rsidRPr="00581507"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IWL, low reliability; Freshwater</w:t>
            </w:r>
          </w:p>
        </w:tc>
        <w:tc>
          <w:tcPr>
            <w:tcW w:w="503" w:type="pct"/>
            <w:shd w:val="clear" w:color="auto" w:fill="auto"/>
          </w:tcPr>
          <w:p w14:paraId="3AE413D0" w14:textId="77777777" w:rsidR="00A9131E" w:rsidRPr="00581507"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shd w:val="clear" w:color="auto" w:fill="auto"/>
          </w:tcPr>
          <w:p w14:paraId="5AD8DFAA" w14:textId="77777777" w:rsidR="00A9131E" w:rsidRPr="00581507"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A9131E" w:rsidRPr="00581507" w14:paraId="7BEAA7F5"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shd w:val="clear" w:color="auto" w:fill="auto"/>
          </w:tcPr>
          <w:p w14:paraId="79C4E354" w14:textId="77777777" w:rsidR="00A9131E" w:rsidRPr="00581507" w:rsidRDefault="00A9131E" w:rsidP="002439C8">
            <w:pPr>
              <w:pStyle w:val="Caption"/>
              <w:rPr>
                <w:rFonts w:asciiTheme="minorHAnsi" w:hAnsiTheme="minorHAnsi"/>
                <w:color w:val="auto"/>
                <w:sz w:val="20"/>
                <w:lang w:val="en-AU"/>
              </w:rPr>
            </w:pPr>
          </w:p>
        </w:tc>
        <w:tc>
          <w:tcPr>
            <w:tcW w:w="533" w:type="pct"/>
            <w:shd w:val="clear" w:color="auto" w:fill="auto"/>
          </w:tcPr>
          <w:p w14:paraId="11520F25" w14:textId="77777777" w:rsidR="00A9131E" w:rsidRPr="00581507"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bCs w:val="0"/>
                <w:sz w:val="20"/>
                <w:lang w:val="en-AU" w:eastAsia="en-AU"/>
              </w:rPr>
              <w:t>Freshwater: 16</w:t>
            </w:r>
          </w:p>
        </w:tc>
        <w:tc>
          <w:tcPr>
            <w:tcW w:w="1136" w:type="pct"/>
            <w:shd w:val="clear" w:color="auto" w:fill="auto"/>
          </w:tcPr>
          <w:p w14:paraId="141BBB36" w14:textId="77777777" w:rsidR="00A9131E" w:rsidRPr="00581507"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498" w:type="pct"/>
            <w:shd w:val="clear" w:color="auto" w:fill="auto"/>
          </w:tcPr>
          <w:p w14:paraId="06E9C603" w14:textId="77777777" w:rsidR="00A9131E" w:rsidRPr="00581507"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20</w:t>
            </w:r>
            <w:r w:rsidRPr="00581507">
              <w:rPr>
                <w:rFonts w:asciiTheme="minorHAnsi" w:hAnsiTheme="minorHAnsi" w:cstheme="minorHAnsi"/>
                <w:b w:val="0"/>
                <w:sz w:val="20"/>
                <w:vertAlign w:val="superscript"/>
                <w:lang w:val="en-AU" w:eastAsia="en-AU"/>
              </w:rPr>
              <w:t>d</w:t>
            </w:r>
          </w:p>
        </w:tc>
        <w:tc>
          <w:tcPr>
            <w:tcW w:w="1014" w:type="pct"/>
            <w:shd w:val="clear" w:color="auto" w:fill="auto"/>
          </w:tcPr>
          <w:p w14:paraId="515E07D4" w14:textId="77777777" w:rsidR="00A9131E" w:rsidRPr="00581507"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IWL, low reliability; Marine water</w:t>
            </w:r>
          </w:p>
        </w:tc>
        <w:tc>
          <w:tcPr>
            <w:tcW w:w="503" w:type="pct"/>
            <w:shd w:val="clear" w:color="auto" w:fill="auto"/>
          </w:tcPr>
          <w:p w14:paraId="1F5F2656" w14:textId="77777777" w:rsidR="00A9131E" w:rsidRPr="00581507"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shd w:val="clear" w:color="auto" w:fill="auto"/>
          </w:tcPr>
          <w:p w14:paraId="204E6E50" w14:textId="77777777" w:rsidR="00A9131E" w:rsidRPr="00581507"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A9131E" w:rsidRPr="00581507" w14:paraId="7B798FA7"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2" w:space="0" w:color="auto"/>
              <w:bottom w:val="single" w:sz="4" w:space="0" w:color="auto"/>
            </w:tcBorders>
            <w:shd w:val="clear" w:color="auto" w:fill="auto"/>
          </w:tcPr>
          <w:p w14:paraId="743A6B58" w14:textId="77777777" w:rsidR="00A9131E" w:rsidRPr="002D0872" w:rsidRDefault="00A9131E" w:rsidP="002439C8">
            <w:pPr>
              <w:pStyle w:val="Caption"/>
              <w:rPr>
                <w:rFonts w:asciiTheme="minorHAnsi" w:hAnsiTheme="minorHAnsi"/>
                <w:color w:val="auto"/>
                <w:sz w:val="20"/>
                <w:lang w:val="en-AU"/>
              </w:rPr>
            </w:pPr>
            <w:r w:rsidRPr="00581507">
              <w:rPr>
                <w:rFonts w:asciiTheme="minorHAnsi" w:hAnsiTheme="minorHAnsi"/>
                <w:color w:val="auto"/>
                <w:sz w:val="20"/>
                <w:lang w:val="en-AU"/>
              </w:rPr>
              <w:t>Metribuzin</w:t>
            </w:r>
          </w:p>
        </w:tc>
        <w:tc>
          <w:tcPr>
            <w:tcW w:w="533" w:type="pct"/>
            <w:tcBorders>
              <w:top w:val="single" w:sz="2" w:space="0" w:color="auto"/>
              <w:bottom w:val="single" w:sz="4" w:space="0" w:color="auto"/>
            </w:tcBorders>
            <w:shd w:val="clear" w:color="auto" w:fill="auto"/>
          </w:tcPr>
          <w:p w14:paraId="00350D3A" w14:textId="77777777" w:rsidR="00A9131E" w:rsidRPr="002D0872"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2,000</w:t>
            </w:r>
          </w:p>
        </w:tc>
        <w:tc>
          <w:tcPr>
            <w:tcW w:w="1136" w:type="pct"/>
            <w:tcBorders>
              <w:top w:val="single" w:sz="2" w:space="0" w:color="auto"/>
              <w:bottom w:val="single" w:sz="4" w:space="0" w:color="auto"/>
            </w:tcBorders>
            <w:shd w:val="clear" w:color="auto" w:fill="auto"/>
          </w:tcPr>
          <w:p w14:paraId="0E492019" w14:textId="77777777" w:rsidR="00A9131E" w:rsidRPr="005F1879"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F1879">
              <w:rPr>
                <w:rFonts w:asciiTheme="minorHAnsi" w:hAnsiTheme="minorHAnsi" w:cstheme="minorHAnsi"/>
                <w:b w:val="0"/>
                <w:sz w:val="20"/>
                <w:lang w:val="en-AU" w:eastAsia="en-AU"/>
              </w:rPr>
              <w:t>PC99; moderate reliability; Marine water</w:t>
            </w:r>
          </w:p>
        </w:tc>
        <w:tc>
          <w:tcPr>
            <w:tcW w:w="498" w:type="pct"/>
            <w:tcBorders>
              <w:top w:val="single" w:sz="2" w:space="0" w:color="auto"/>
              <w:bottom w:val="single" w:sz="4" w:space="0" w:color="auto"/>
            </w:tcBorders>
            <w:shd w:val="clear" w:color="auto" w:fill="auto"/>
          </w:tcPr>
          <w:p w14:paraId="26611123" w14:textId="77777777" w:rsidR="00A9131E" w:rsidRPr="00581507"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2" w:space="0" w:color="auto"/>
              <w:bottom w:val="single" w:sz="4" w:space="0" w:color="auto"/>
            </w:tcBorders>
            <w:shd w:val="clear" w:color="auto" w:fill="auto"/>
          </w:tcPr>
          <w:p w14:paraId="74DB3A71" w14:textId="77777777" w:rsidR="00A9131E" w:rsidRPr="00581507"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bottom w:val="single" w:sz="4" w:space="0" w:color="auto"/>
            </w:tcBorders>
            <w:shd w:val="clear" w:color="auto" w:fill="auto"/>
          </w:tcPr>
          <w:p w14:paraId="195E0574" w14:textId="77777777" w:rsidR="00A9131E" w:rsidRPr="00581507"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single" w:sz="2" w:space="0" w:color="auto"/>
              <w:bottom w:val="single" w:sz="4" w:space="0" w:color="auto"/>
            </w:tcBorders>
            <w:shd w:val="clear" w:color="auto" w:fill="auto"/>
          </w:tcPr>
          <w:p w14:paraId="4703E51E" w14:textId="77777777" w:rsidR="00A9131E" w:rsidRPr="00581507"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662785" w:rsidRPr="00581507" w14:paraId="598B93C6"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4" w:space="0" w:color="auto"/>
              <w:bottom w:val="single" w:sz="2" w:space="0" w:color="auto"/>
            </w:tcBorders>
            <w:shd w:val="clear" w:color="auto" w:fill="FFFFFF" w:themeFill="background1"/>
            <w:vAlign w:val="center"/>
          </w:tcPr>
          <w:p w14:paraId="0188FF1F" w14:textId="77777777" w:rsidR="00662785" w:rsidRPr="002D0872" w:rsidRDefault="00662785" w:rsidP="002439C8">
            <w:pPr>
              <w:pStyle w:val="Caption"/>
              <w:rPr>
                <w:rFonts w:asciiTheme="minorHAnsi" w:hAnsiTheme="minorHAnsi"/>
                <w:color w:val="auto"/>
                <w:sz w:val="20"/>
                <w:lang w:val="en-AU"/>
              </w:rPr>
            </w:pPr>
            <w:r w:rsidRPr="00581507">
              <w:rPr>
                <w:rFonts w:asciiTheme="minorHAnsi" w:hAnsiTheme="minorHAnsi"/>
                <w:color w:val="auto"/>
                <w:sz w:val="20"/>
                <w:lang w:val="en-AU"/>
              </w:rPr>
              <w:t>Metsulfuron methyl</w:t>
            </w:r>
          </w:p>
        </w:tc>
        <w:tc>
          <w:tcPr>
            <w:tcW w:w="533" w:type="pct"/>
            <w:tcBorders>
              <w:top w:val="single" w:sz="4" w:space="0" w:color="auto"/>
              <w:bottom w:val="single" w:sz="2" w:space="0" w:color="auto"/>
            </w:tcBorders>
            <w:shd w:val="clear" w:color="auto" w:fill="FFFFFF" w:themeFill="background1"/>
            <w:vAlign w:val="center"/>
          </w:tcPr>
          <w:p w14:paraId="7FAFE8B4" w14:textId="77777777" w:rsidR="00662785" w:rsidRPr="00581507" w:rsidRDefault="00115AAD"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Marine data</w:t>
            </w:r>
            <w:r w:rsidR="00A9131E" w:rsidRPr="005F1879">
              <w:rPr>
                <w:rFonts w:asciiTheme="minorHAnsi" w:hAnsiTheme="minorHAnsi" w:cstheme="minorHAnsi"/>
                <w:b w:val="0"/>
                <w:sz w:val="20"/>
                <w:lang w:val="en-AU" w:eastAsia="en-AU"/>
              </w:rPr>
              <w:t xml:space="preserve"> n.a.</w:t>
            </w:r>
          </w:p>
          <w:p w14:paraId="1A7F342F" w14:textId="77777777" w:rsidR="00115AAD" w:rsidRPr="00581507" w:rsidRDefault="00115AAD" w:rsidP="002439C8">
            <w:pPr>
              <w:jc w:val="left"/>
              <w:cnfStyle w:val="000000000000" w:firstRow="0" w:lastRow="0" w:firstColumn="0" w:lastColumn="0" w:oddVBand="0" w:evenVBand="0" w:oddHBand="0" w:evenHBand="0" w:firstRowFirstColumn="0" w:firstRowLastColumn="0" w:lastRowFirstColumn="0" w:lastRowLastColumn="0"/>
              <w:rPr>
                <w:lang w:val="en-AU" w:eastAsia="en-AU"/>
              </w:rPr>
            </w:pPr>
            <w:r w:rsidRPr="00581507">
              <w:rPr>
                <w:rFonts w:asciiTheme="minorHAnsi" w:hAnsiTheme="minorHAnsi" w:cstheme="minorHAnsi"/>
                <w:bCs/>
                <w:sz w:val="20"/>
                <w:szCs w:val="18"/>
                <w:lang w:val="en-AU" w:eastAsia="en-AU"/>
              </w:rPr>
              <w:t>Freshwater</w:t>
            </w:r>
            <w:r w:rsidRPr="00581507">
              <w:rPr>
                <w:rFonts w:asciiTheme="minorHAnsi" w:hAnsiTheme="minorHAnsi" w:cstheme="minorHAnsi"/>
                <w:bCs/>
                <w:sz w:val="20"/>
                <w:lang w:val="en-AU" w:eastAsia="en-AU"/>
              </w:rPr>
              <w:t>:</w:t>
            </w:r>
            <w:r w:rsidRPr="00581507">
              <w:rPr>
                <w:rFonts w:asciiTheme="minorHAnsi" w:hAnsiTheme="minorHAnsi" w:cstheme="minorHAnsi"/>
                <w:bCs/>
                <w:sz w:val="20"/>
                <w:szCs w:val="18"/>
                <w:lang w:val="en-AU" w:eastAsia="en-AU"/>
              </w:rPr>
              <w:t xml:space="preserve"> </w:t>
            </w:r>
            <w:r w:rsidR="00A9131E" w:rsidRPr="00581507">
              <w:rPr>
                <w:rFonts w:asciiTheme="minorHAnsi" w:hAnsiTheme="minorHAnsi" w:cstheme="minorHAnsi"/>
                <w:bCs/>
                <w:sz w:val="20"/>
                <w:lang w:val="en-AU" w:eastAsia="en-AU"/>
              </w:rPr>
              <w:t>4.7</w:t>
            </w:r>
          </w:p>
        </w:tc>
        <w:tc>
          <w:tcPr>
            <w:tcW w:w="1136" w:type="pct"/>
            <w:tcBorders>
              <w:top w:val="single" w:sz="4" w:space="0" w:color="auto"/>
              <w:bottom w:val="single" w:sz="2" w:space="0" w:color="auto"/>
            </w:tcBorders>
            <w:shd w:val="clear" w:color="auto" w:fill="FFFFFF" w:themeFill="background1"/>
            <w:vAlign w:val="center"/>
          </w:tcPr>
          <w:p w14:paraId="1D01B895" w14:textId="77777777" w:rsidR="00662785" w:rsidRPr="00581507" w:rsidRDefault="00662785"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single" w:sz="4" w:space="0" w:color="auto"/>
              <w:bottom w:val="single" w:sz="2" w:space="0" w:color="auto"/>
            </w:tcBorders>
            <w:shd w:val="clear" w:color="auto" w:fill="FFFFFF" w:themeFill="background1"/>
            <w:vAlign w:val="center"/>
          </w:tcPr>
          <w:p w14:paraId="6612E6DF" w14:textId="77777777" w:rsidR="00662785" w:rsidRPr="00581507" w:rsidRDefault="00662785"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4" w:space="0" w:color="auto"/>
              <w:bottom w:val="single" w:sz="2" w:space="0" w:color="auto"/>
            </w:tcBorders>
            <w:shd w:val="clear" w:color="auto" w:fill="FFFFFF" w:themeFill="background1"/>
            <w:vAlign w:val="center"/>
          </w:tcPr>
          <w:p w14:paraId="7E2FE26F" w14:textId="77777777" w:rsidR="00662785" w:rsidRPr="00581507" w:rsidRDefault="00662785"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4" w:space="0" w:color="auto"/>
              <w:bottom w:val="single" w:sz="2" w:space="0" w:color="auto"/>
            </w:tcBorders>
            <w:shd w:val="clear" w:color="auto" w:fill="FFFFFF" w:themeFill="background1"/>
            <w:vAlign w:val="center"/>
          </w:tcPr>
          <w:p w14:paraId="0E0EABF9" w14:textId="77777777" w:rsidR="00662785" w:rsidRPr="00581507" w:rsidRDefault="00662785"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single" w:sz="4" w:space="0" w:color="auto"/>
              <w:bottom w:val="single" w:sz="2" w:space="0" w:color="auto"/>
            </w:tcBorders>
            <w:shd w:val="clear" w:color="auto" w:fill="FFFFFF" w:themeFill="background1"/>
            <w:vAlign w:val="center"/>
          </w:tcPr>
          <w:p w14:paraId="63E81572" w14:textId="77777777" w:rsidR="00662785" w:rsidRPr="00581507" w:rsidRDefault="00662785"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DA631C" w:rsidRPr="00581507" w14:paraId="7F2E85CC"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2" w:space="0" w:color="auto"/>
              <w:bottom w:val="single" w:sz="2" w:space="0" w:color="auto"/>
            </w:tcBorders>
            <w:shd w:val="clear" w:color="auto" w:fill="FFFFFF" w:themeFill="background1"/>
            <w:vAlign w:val="center"/>
          </w:tcPr>
          <w:p w14:paraId="5AB0F935"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Pendimethalin</w:t>
            </w:r>
          </w:p>
        </w:tc>
        <w:tc>
          <w:tcPr>
            <w:tcW w:w="533" w:type="pct"/>
            <w:tcBorders>
              <w:top w:val="single" w:sz="2" w:space="0" w:color="auto"/>
              <w:bottom w:val="single" w:sz="2" w:space="0" w:color="auto"/>
            </w:tcBorders>
            <w:shd w:val="clear" w:color="auto" w:fill="FFFFFF" w:themeFill="background1"/>
            <w:vAlign w:val="center"/>
          </w:tcPr>
          <w:p w14:paraId="52553DC5" w14:textId="77777777" w:rsidR="00DA631C" w:rsidRPr="005F1879"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240</w:t>
            </w:r>
          </w:p>
        </w:tc>
        <w:tc>
          <w:tcPr>
            <w:tcW w:w="1136" w:type="pct"/>
            <w:tcBorders>
              <w:top w:val="single" w:sz="2" w:space="0" w:color="auto"/>
              <w:bottom w:val="single" w:sz="2" w:space="0" w:color="auto"/>
            </w:tcBorders>
            <w:shd w:val="clear" w:color="auto" w:fill="FFFFFF" w:themeFill="background1"/>
            <w:vAlign w:val="center"/>
          </w:tcPr>
          <w:p w14:paraId="2B2F8E67"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moderate reliability; Marine water</w:t>
            </w:r>
          </w:p>
        </w:tc>
        <w:tc>
          <w:tcPr>
            <w:tcW w:w="498" w:type="pct"/>
            <w:tcBorders>
              <w:top w:val="single" w:sz="2" w:space="0" w:color="auto"/>
              <w:bottom w:val="single" w:sz="2" w:space="0" w:color="auto"/>
            </w:tcBorders>
            <w:shd w:val="clear" w:color="auto" w:fill="FFFFFF" w:themeFill="background1"/>
            <w:vAlign w:val="center"/>
          </w:tcPr>
          <w:p w14:paraId="5A76C51B"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2" w:space="0" w:color="auto"/>
              <w:bottom w:val="single" w:sz="2" w:space="0" w:color="auto"/>
            </w:tcBorders>
            <w:shd w:val="clear" w:color="auto" w:fill="FFFFFF" w:themeFill="background1"/>
            <w:vAlign w:val="center"/>
          </w:tcPr>
          <w:p w14:paraId="197485C9"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bottom w:val="single" w:sz="2" w:space="0" w:color="auto"/>
            </w:tcBorders>
            <w:shd w:val="clear" w:color="auto" w:fill="FFFFFF" w:themeFill="background1"/>
            <w:vAlign w:val="center"/>
          </w:tcPr>
          <w:p w14:paraId="263D35DB"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single" w:sz="2" w:space="0" w:color="auto"/>
              <w:bottom w:val="single" w:sz="2" w:space="0" w:color="auto"/>
            </w:tcBorders>
            <w:shd w:val="clear" w:color="auto" w:fill="FFFFFF" w:themeFill="background1"/>
            <w:vAlign w:val="center"/>
          </w:tcPr>
          <w:p w14:paraId="1547D120"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3363A0" w:rsidRPr="00581507" w14:paraId="4C96295E"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2" w:space="0" w:color="auto"/>
              <w:bottom w:val="single" w:sz="2" w:space="0" w:color="auto"/>
            </w:tcBorders>
            <w:shd w:val="clear" w:color="auto" w:fill="FFFFFF" w:themeFill="background1"/>
            <w:vAlign w:val="center"/>
          </w:tcPr>
          <w:p w14:paraId="36CFE6C2" w14:textId="77777777" w:rsidR="003363A0" w:rsidRPr="002D0872" w:rsidRDefault="003363A0" w:rsidP="002439C8">
            <w:pPr>
              <w:pStyle w:val="Caption"/>
              <w:rPr>
                <w:rFonts w:asciiTheme="minorHAnsi" w:hAnsiTheme="minorHAnsi"/>
                <w:color w:val="auto"/>
                <w:sz w:val="20"/>
                <w:lang w:val="en-AU"/>
              </w:rPr>
            </w:pPr>
            <w:r w:rsidRPr="00581507">
              <w:rPr>
                <w:rFonts w:asciiTheme="minorHAnsi" w:hAnsiTheme="minorHAnsi"/>
                <w:color w:val="auto"/>
                <w:sz w:val="20"/>
                <w:lang w:val="en-AU"/>
              </w:rPr>
              <w:t>Prometryn</w:t>
            </w:r>
          </w:p>
        </w:tc>
        <w:tc>
          <w:tcPr>
            <w:tcW w:w="533" w:type="pct"/>
            <w:tcBorders>
              <w:top w:val="single" w:sz="2" w:space="0" w:color="auto"/>
              <w:bottom w:val="single" w:sz="2" w:space="0" w:color="auto"/>
            </w:tcBorders>
            <w:shd w:val="clear" w:color="auto" w:fill="FFFFFF" w:themeFill="background1"/>
            <w:vAlign w:val="center"/>
          </w:tcPr>
          <w:p w14:paraId="60D47FDC" w14:textId="77777777" w:rsidR="003363A0" w:rsidRPr="005F1879"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110</w:t>
            </w:r>
          </w:p>
        </w:tc>
        <w:tc>
          <w:tcPr>
            <w:tcW w:w="1136" w:type="pct"/>
            <w:tcBorders>
              <w:top w:val="single" w:sz="2" w:space="0" w:color="auto"/>
              <w:bottom w:val="single" w:sz="2" w:space="0" w:color="auto"/>
            </w:tcBorders>
            <w:shd w:val="clear" w:color="auto" w:fill="FFFFFF" w:themeFill="background1"/>
            <w:vAlign w:val="center"/>
          </w:tcPr>
          <w:p w14:paraId="5339FD87" w14:textId="77777777" w:rsidR="003363A0" w:rsidRPr="00581507"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moderate reliability; Marine water</w:t>
            </w:r>
          </w:p>
        </w:tc>
        <w:tc>
          <w:tcPr>
            <w:tcW w:w="498" w:type="pct"/>
            <w:tcBorders>
              <w:top w:val="single" w:sz="2" w:space="0" w:color="auto"/>
              <w:bottom w:val="single" w:sz="2" w:space="0" w:color="auto"/>
            </w:tcBorders>
            <w:shd w:val="clear" w:color="auto" w:fill="FFFFFF" w:themeFill="background1"/>
            <w:vAlign w:val="center"/>
          </w:tcPr>
          <w:p w14:paraId="72BFFF61" w14:textId="77777777" w:rsidR="003363A0" w:rsidRPr="00581507" w:rsidRDefault="003363A0"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2" w:space="0" w:color="auto"/>
              <w:bottom w:val="single" w:sz="2" w:space="0" w:color="auto"/>
            </w:tcBorders>
            <w:shd w:val="clear" w:color="auto" w:fill="FFFFFF" w:themeFill="background1"/>
            <w:vAlign w:val="center"/>
          </w:tcPr>
          <w:p w14:paraId="4AB51630" w14:textId="77777777" w:rsidR="003363A0" w:rsidRPr="00581507" w:rsidRDefault="003363A0"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bottom w:val="single" w:sz="2" w:space="0" w:color="auto"/>
            </w:tcBorders>
            <w:shd w:val="clear" w:color="auto" w:fill="FFFFFF" w:themeFill="background1"/>
            <w:vAlign w:val="center"/>
          </w:tcPr>
          <w:p w14:paraId="20210349" w14:textId="77777777" w:rsidR="003363A0" w:rsidRPr="00581507" w:rsidRDefault="003363A0"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single" w:sz="2" w:space="0" w:color="auto"/>
              <w:bottom w:val="single" w:sz="2" w:space="0" w:color="auto"/>
            </w:tcBorders>
            <w:shd w:val="clear" w:color="auto" w:fill="FFFFFF" w:themeFill="background1"/>
            <w:vAlign w:val="center"/>
          </w:tcPr>
          <w:p w14:paraId="2D87C4D0" w14:textId="77777777" w:rsidR="003363A0" w:rsidRPr="00581507" w:rsidRDefault="003363A0"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DA631C" w:rsidRPr="00581507" w14:paraId="691AAD77"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2" w:space="0" w:color="auto"/>
              <w:bottom w:val="single" w:sz="2" w:space="0" w:color="auto"/>
            </w:tcBorders>
            <w:shd w:val="clear" w:color="auto" w:fill="FFFFFF" w:themeFill="background1"/>
            <w:vAlign w:val="center"/>
          </w:tcPr>
          <w:p w14:paraId="37BDD1C4"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Propazine</w:t>
            </w:r>
          </w:p>
        </w:tc>
        <w:tc>
          <w:tcPr>
            <w:tcW w:w="533" w:type="pct"/>
            <w:tcBorders>
              <w:top w:val="single" w:sz="2" w:space="0" w:color="auto"/>
              <w:bottom w:val="single" w:sz="2" w:space="0" w:color="auto"/>
            </w:tcBorders>
            <w:shd w:val="clear" w:color="auto" w:fill="FFFFFF" w:themeFill="background1"/>
            <w:vAlign w:val="center"/>
          </w:tcPr>
          <w:p w14:paraId="08252526" w14:textId="77777777" w:rsidR="00DA631C" w:rsidRPr="005F1879" w:rsidRDefault="00A9131E"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2,200</w:t>
            </w:r>
          </w:p>
        </w:tc>
        <w:tc>
          <w:tcPr>
            <w:tcW w:w="1136" w:type="pct"/>
            <w:tcBorders>
              <w:top w:val="single" w:sz="2" w:space="0" w:color="auto"/>
              <w:bottom w:val="single" w:sz="2" w:space="0" w:color="auto"/>
            </w:tcBorders>
            <w:shd w:val="clear" w:color="auto" w:fill="FFFFFF" w:themeFill="background1"/>
            <w:vAlign w:val="center"/>
          </w:tcPr>
          <w:p w14:paraId="140EC739"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 xml:space="preserve">PC99; </w:t>
            </w:r>
            <w:r w:rsidR="00A9131E" w:rsidRPr="00581507">
              <w:rPr>
                <w:rFonts w:asciiTheme="minorHAnsi" w:hAnsiTheme="minorHAnsi" w:cstheme="minorHAnsi"/>
                <w:b w:val="0"/>
                <w:sz w:val="20"/>
                <w:lang w:val="en-AU" w:eastAsia="en-AU"/>
              </w:rPr>
              <w:t>low</w:t>
            </w:r>
            <w:r w:rsidRPr="00581507">
              <w:rPr>
                <w:rFonts w:asciiTheme="minorHAnsi" w:hAnsiTheme="minorHAnsi" w:cstheme="minorHAnsi"/>
                <w:b w:val="0"/>
                <w:sz w:val="20"/>
                <w:lang w:val="en-AU" w:eastAsia="en-AU"/>
              </w:rPr>
              <w:t xml:space="preserve"> reliability; Marine water</w:t>
            </w:r>
          </w:p>
        </w:tc>
        <w:tc>
          <w:tcPr>
            <w:tcW w:w="498" w:type="pct"/>
            <w:tcBorders>
              <w:top w:val="single" w:sz="2" w:space="0" w:color="auto"/>
              <w:bottom w:val="single" w:sz="2" w:space="0" w:color="auto"/>
            </w:tcBorders>
            <w:shd w:val="clear" w:color="auto" w:fill="FFFFFF" w:themeFill="background1"/>
            <w:vAlign w:val="center"/>
          </w:tcPr>
          <w:p w14:paraId="15FD93D3"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2" w:space="0" w:color="auto"/>
              <w:bottom w:val="single" w:sz="2" w:space="0" w:color="auto"/>
            </w:tcBorders>
            <w:shd w:val="clear" w:color="auto" w:fill="FFFFFF" w:themeFill="background1"/>
            <w:vAlign w:val="center"/>
          </w:tcPr>
          <w:p w14:paraId="3C1CCF62"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bottom w:val="single" w:sz="2" w:space="0" w:color="auto"/>
            </w:tcBorders>
            <w:shd w:val="clear" w:color="auto" w:fill="FFFFFF" w:themeFill="background1"/>
            <w:vAlign w:val="center"/>
          </w:tcPr>
          <w:p w14:paraId="384CB240"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single" w:sz="2" w:space="0" w:color="auto"/>
              <w:bottom w:val="single" w:sz="2" w:space="0" w:color="auto"/>
            </w:tcBorders>
            <w:shd w:val="clear" w:color="auto" w:fill="FFFFFF" w:themeFill="background1"/>
            <w:vAlign w:val="center"/>
          </w:tcPr>
          <w:p w14:paraId="715F1E4F"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DA631C" w:rsidRPr="00581507" w14:paraId="6CDC3C45"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2" w:space="0" w:color="auto"/>
              <w:bottom w:val="single" w:sz="2" w:space="0" w:color="auto"/>
            </w:tcBorders>
            <w:shd w:val="clear" w:color="auto" w:fill="FFFFFF" w:themeFill="background1"/>
            <w:vAlign w:val="center"/>
          </w:tcPr>
          <w:p w14:paraId="3F7D964E"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Propiconazole</w:t>
            </w:r>
          </w:p>
        </w:tc>
        <w:tc>
          <w:tcPr>
            <w:tcW w:w="533" w:type="pct"/>
            <w:tcBorders>
              <w:top w:val="single" w:sz="2" w:space="0" w:color="auto"/>
              <w:bottom w:val="single" w:sz="2" w:space="0" w:color="auto"/>
            </w:tcBorders>
            <w:shd w:val="clear" w:color="auto" w:fill="FFFFFF" w:themeFill="background1"/>
            <w:vAlign w:val="center"/>
          </w:tcPr>
          <w:p w14:paraId="4FFC13A3" w14:textId="77777777" w:rsidR="00DA631C" w:rsidRPr="005F1879" w:rsidRDefault="00A9131E"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2,100</w:t>
            </w:r>
          </w:p>
        </w:tc>
        <w:tc>
          <w:tcPr>
            <w:tcW w:w="1136" w:type="pct"/>
            <w:tcBorders>
              <w:top w:val="single" w:sz="2" w:space="0" w:color="auto"/>
              <w:bottom w:val="single" w:sz="2" w:space="0" w:color="auto"/>
            </w:tcBorders>
            <w:shd w:val="clear" w:color="auto" w:fill="FFFFFF" w:themeFill="background1"/>
            <w:vAlign w:val="center"/>
          </w:tcPr>
          <w:p w14:paraId="148A443C"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moderate reliability; Marine water</w:t>
            </w:r>
          </w:p>
        </w:tc>
        <w:tc>
          <w:tcPr>
            <w:tcW w:w="498" w:type="pct"/>
            <w:tcBorders>
              <w:top w:val="single" w:sz="2" w:space="0" w:color="auto"/>
              <w:bottom w:val="single" w:sz="2" w:space="0" w:color="auto"/>
            </w:tcBorders>
            <w:shd w:val="clear" w:color="auto" w:fill="FFFFFF" w:themeFill="background1"/>
            <w:vAlign w:val="center"/>
          </w:tcPr>
          <w:p w14:paraId="17687A7B"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2" w:space="0" w:color="auto"/>
              <w:bottom w:val="single" w:sz="2" w:space="0" w:color="auto"/>
            </w:tcBorders>
            <w:shd w:val="clear" w:color="auto" w:fill="FFFFFF" w:themeFill="background1"/>
            <w:vAlign w:val="center"/>
          </w:tcPr>
          <w:p w14:paraId="1E2F7B81"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bottom w:val="single" w:sz="2" w:space="0" w:color="auto"/>
            </w:tcBorders>
            <w:shd w:val="clear" w:color="auto" w:fill="FFFFFF" w:themeFill="background1"/>
            <w:vAlign w:val="center"/>
          </w:tcPr>
          <w:p w14:paraId="1EA1CDE5"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single" w:sz="2" w:space="0" w:color="auto"/>
              <w:bottom w:val="single" w:sz="2" w:space="0" w:color="auto"/>
            </w:tcBorders>
            <w:shd w:val="clear" w:color="auto" w:fill="FFFFFF" w:themeFill="background1"/>
            <w:vAlign w:val="center"/>
          </w:tcPr>
          <w:p w14:paraId="40648F5A"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DA631C" w:rsidRPr="00581507" w14:paraId="0D1B7987"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8" w:space="0" w:color="auto"/>
            </w:tcBorders>
            <w:shd w:val="clear" w:color="auto" w:fill="FFFFFF" w:themeFill="background1"/>
            <w:vAlign w:val="center"/>
          </w:tcPr>
          <w:p w14:paraId="58011555"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Simazine</w:t>
            </w:r>
          </w:p>
        </w:tc>
        <w:tc>
          <w:tcPr>
            <w:tcW w:w="533" w:type="pct"/>
            <w:tcBorders>
              <w:top w:val="single" w:sz="8" w:space="0" w:color="auto"/>
              <w:bottom w:val="nil"/>
            </w:tcBorders>
            <w:shd w:val="clear" w:color="auto" w:fill="FFFFFF" w:themeFill="background1"/>
            <w:vAlign w:val="center"/>
          </w:tcPr>
          <w:p w14:paraId="3C9C37DE" w14:textId="77777777" w:rsidR="00DA631C"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2</w:t>
            </w:r>
            <w:r w:rsidR="00A9131E" w:rsidRPr="005F1879">
              <w:rPr>
                <w:rFonts w:asciiTheme="minorHAnsi" w:hAnsiTheme="minorHAnsi" w:cstheme="minorHAnsi"/>
                <w:b w:val="0"/>
                <w:sz w:val="20"/>
                <w:lang w:val="en-AU" w:eastAsia="en-AU"/>
              </w:rPr>
              <w:t>8</w:t>
            </w:r>
            <w:r w:rsidR="00DA631C" w:rsidRPr="00581507">
              <w:rPr>
                <w:rFonts w:asciiTheme="minorHAnsi" w:hAnsiTheme="minorHAnsi" w:cstheme="minorHAnsi"/>
                <w:b w:val="0"/>
                <w:sz w:val="20"/>
                <w:lang w:val="en-AU" w:eastAsia="en-AU"/>
              </w:rPr>
              <w:t>,</w:t>
            </w:r>
            <w:r w:rsidRPr="00581507">
              <w:rPr>
                <w:rFonts w:asciiTheme="minorHAnsi" w:hAnsiTheme="minorHAnsi" w:cstheme="minorHAnsi"/>
                <w:b w:val="0"/>
                <w:sz w:val="20"/>
                <w:lang w:val="en-AU" w:eastAsia="en-AU"/>
              </w:rPr>
              <w:t>0</w:t>
            </w:r>
            <w:r w:rsidR="00DA631C" w:rsidRPr="00581507">
              <w:rPr>
                <w:rFonts w:asciiTheme="minorHAnsi" w:hAnsiTheme="minorHAnsi" w:cstheme="minorHAnsi"/>
                <w:b w:val="0"/>
                <w:sz w:val="20"/>
                <w:lang w:val="en-AU" w:eastAsia="en-AU"/>
              </w:rPr>
              <w:t>00</w:t>
            </w:r>
          </w:p>
        </w:tc>
        <w:tc>
          <w:tcPr>
            <w:tcW w:w="1136" w:type="pct"/>
            <w:tcBorders>
              <w:top w:val="single" w:sz="8" w:space="0" w:color="auto"/>
              <w:bottom w:val="nil"/>
            </w:tcBorders>
            <w:shd w:val="clear" w:color="auto" w:fill="FFFFFF" w:themeFill="background1"/>
            <w:vAlign w:val="center"/>
          </w:tcPr>
          <w:p w14:paraId="50181F42"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 xml:space="preserve">PC99; </w:t>
            </w:r>
            <w:r w:rsidR="00A9131E" w:rsidRPr="00581507">
              <w:rPr>
                <w:rFonts w:asciiTheme="minorHAnsi" w:hAnsiTheme="minorHAnsi" w:cstheme="minorHAnsi"/>
                <w:b w:val="0"/>
                <w:sz w:val="20"/>
                <w:lang w:val="en-AU" w:eastAsia="en-AU"/>
              </w:rPr>
              <w:t>low</w:t>
            </w:r>
            <w:r w:rsidRPr="00581507">
              <w:rPr>
                <w:rFonts w:asciiTheme="minorHAnsi" w:hAnsiTheme="minorHAnsi" w:cstheme="minorHAnsi"/>
                <w:b w:val="0"/>
                <w:sz w:val="20"/>
                <w:lang w:val="en-AU" w:eastAsia="en-AU"/>
              </w:rPr>
              <w:t xml:space="preserve"> reliability; Marine water</w:t>
            </w:r>
          </w:p>
        </w:tc>
        <w:tc>
          <w:tcPr>
            <w:tcW w:w="498" w:type="pct"/>
            <w:tcBorders>
              <w:top w:val="single" w:sz="8" w:space="0" w:color="auto"/>
              <w:bottom w:val="nil"/>
            </w:tcBorders>
            <w:shd w:val="clear" w:color="auto" w:fill="FFFFFF" w:themeFill="background1"/>
            <w:vAlign w:val="center"/>
          </w:tcPr>
          <w:p w14:paraId="4873F820"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200</w:t>
            </w:r>
          </w:p>
        </w:tc>
        <w:tc>
          <w:tcPr>
            <w:tcW w:w="1014" w:type="pct"/>
            <w:tcBorders>
              <w:top w:val="single" w:sz="8" w:space="0" w:color="auto"/>
              <w:bottom w:val="nil"/>
            </w:tcBorders>
            <w:shd w:val="clear" w:color="auto" w:fill="FFFFFF" w:themeFill="background1"/>
            <w:vAlign w:val="center"/>
          </w:tcPr>
          <w:p w14:paraId="2402B29A" w14:textId="77777777" w:rsidR="00DA631C"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Fresh</w:t>
            </w:r>
            <w:r w:rsidR="00DA631C" w:rsidRPr="00581507">
              <w:rPr>
                <w:rFonts w:asciiTheme="minorHAnsi" w:hAnsiTheme="minorHAnsi" w:cstheme="minorHAnsi"/>
                <w:b w:val="0"/>
                <w:sz w:val="20"/>
                <w:lang w:val="en-AU" w:eastAsia="en-AU"/>
              </w:rPr>
              <w:t>water</w:t>
            </w:r>
          </w:p>
        </w:tc>
        <w:tc>
          <w:tcPr>
            <w:tcW w:w="503" w:type="pct"/>
            <w:tcBorders>
              <w:top w:val="single" w:sz="2" w:space="0" w:color="auto"/>
              <w:bottom w:val="nil"/>
            </w:tcBorders>
            <w:shd w:val="clear" w:color="auto" w:fill="FFFFFF" w:themeFill="background1"/>
            <w:vAlign w:val="center"/>
          </w:tcPr>
          <w:p w14:paraId="168A82A8"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200</w:t>
            </w:r>
          </w:p>
        </w:tc>
        <w:tc>
          <w:tcPr>
            <w:tcW w:w="779" w:type="pct"/>
            <w:gridSpan w:val="2"/>
            <w:tcBorders>
              <w:top w:val="single" w:sz="2" w:space="0" w:color="auto"/>
              <w:bottom w:val="nil"/>
            </w:tcBorders>
            <w:shd w:val="clear" w:color="auto" w:fill="FFFFFF" w:themeFill="background1"/>
            <w:vAlign w:val="center"/>
          </w:tcPr>
          <w:p w14:paraId="5AC33029"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Low reliability</w:t>
            </w:r>
          </w:p>
        </w:tc>
      </w:tr>
      <w:tr w:rsidR="00DA631C" w:rsidRPr="00581507" w14:paraId="0003F859"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shd w:val="clear" w:color="auto" w:fill="FFFFFF" w:themeFill="background1"/>
            <w:vAlign w:val="center"/>
          </w:tcPr>
          <w:p w14:paraId="7211E158" w14:textId="77777777" w:rsidR="00DA631C" w:rsidRPr="00581507" w:rsidRDefault="00DA631C" w:rsidP="002439C8">
            <w:pPr>
              <w:pStyle w:val="Caption"/>
              <w:rPr>
                <w:rFonts w:asciiTheme="minorHAnsi" w:hAnsiTheme="minorHAnsi"/>
                <w:color w:val="auto"/>
                <w:sz w:val="20"/>
                <w:lang w:val="en-AU"/>
              </w:rPr>
            </w:pPr>
          </w:p>
        </w:tc>
        <w:tc>
          <w:tcPr>
            <w:tcW w:w="533" w:type="pct"/>
            <w:tcBorders>
              <w:top w:val="nil"/>
              <w:bottom w:val="nil"/>
            </w:tcBorders>
            <w:shd w:val="clear" w:color="auto" w:fill="FFFFFF" w:themeFill="background1"/>
            <w:vAlign w:val="center"/>
          </w:tcPr>
          <w:p w14:paraId="32FEDABD"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136" w:type="pct"/>
            <w:tcBorders>
              <w:top w:val="nil"/>
              <w:bottom w:val="nil"/>
            </w:tcBorders>
            <w:shd w:val="clear" w:color="auto" w:fill="FFFFFF" w:themeFill="background1"/>
            <w:vAlign w:val="center"/>
          </w:tcPr>
          <w:p w14:paraId="761A628B"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nil"/>
              <w:bottom w:val="nil"/>
            </w:tcBorders>
            <w:shd w:val="clear" w:color="auto" w:fill="FFFFFF" w:themeFill="background1"/>
            <w:vAlign w:val="center"/>
          </w:tcPr>
          <w:p w14:paraId="6D435F30"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3,200</w:t>
            </w:r>
          </w:p>
        </w:tc>
        <w:tc>
          <w:tcPr>
            <w:tcW w:w="1014" w:type="pct"/>
            <w:tcBorders>
              <w:top w:val="nil"/>
              <w:bottom w:val="nil"/>
            </w:tcBorders>
            <w:shd w:val="clear" w:color="auto" w:fill="FFFFFF" w:themeFill="background1"/>
            <w:vAlign w:val="center"/>
          </w:tcPr>
          <w:p w14:paraId="4CA79578" w14:textId="77777777" w:rsidR="00DA631C"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PC95; Fresh</w:t>
            </w:r>
            <w:r w:rsidR="00DA631C" w:rsidRPr="00581507">
              <w:rPr>
                <w:rFonts w:asciiTheme="minorHAnsi" w:hAnsiTheme="minorHAnsi" w:cstheme="minorHAnsi"/>
                <w:b w:val="0"/>
                <w:sz w:val="20"/>
                <w:lang w:val="en-AU" w:eastAsia="en-AU"/>
              </w:rPr>
              <w:t>water</w:t>
            </w:r>
          </w:p>
        </w:tc>
        <w:tc>
          <w:tcPr>
            <w:tcW w:w="503" w:type="pct"/>
            <w:tcBorders>
              <w:top w:val="nil"/>
              <w:bottom w:val="nil"/>
            </w:tcBorders>
            <w:shd w:val="clear" w:color="auto" w:fill="FFFFFF" w:themeFill="background1"/>
            <w:vAlign w:val="center"/>
          </w:tcPr>
          <w:p w14:paraId="541DFF20"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nil"/>
              <w:bottom w:val="nil"/>
            </w:tcBorders>
            <w:shd w:val="clear" w:color="auto" w:fill="FFFFFF" w:themeFill="background1"/>
            <w:vAlign w:val="center"/>
          </w:tcPr>
          <w:p w14:paraId="1DD142FF"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CC75AA" w:rsidRPr="00581507" w14:paraId="5B51FDC2"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bottom w:val="single" w:sz="2" w:space="0" w:color="auto"/>
            </w:tcBorders>
            <w:shd w:val="clear" w:color="auto" w:fill="FFFFFF" w:themeFill="background1"/>
            <w:vAlign w:val="center"/>
          </w:tcPr>
          <w:p w14:paraId="335B1B4A" w14:textId="77777777" w:rsidR="00CC75AA" w:rsidRPr="00581507" w:rsidRDefault="00CC75AA" w:rsidP="002439C8">
            <w:pPr>
              <w:pStyle w:val="Caption"/>
              <w:rPr>
                <w:rFonts w:asciiTheme="minorHAnsi" w:hAnsiTheme="minorHAnsi"/>
                <w:color w:val="auto"/>
                <w:sz w:val="20"/>
                <w:lang w:val="en-AU"/>
              </w:rPr>
            </w:pPr>
          </w:p>
        </w:tc>
        <w:tc>
          <w:tcPr>
            <w:tcW w:w="533" w:type="pct"/>
            <w:tcBorders>
              <w:top w:val="nil"/>
              <w:bottom w:val="single" w:sz="2" w:space="0" w:color="auto"/>
            </w:tcBorders>
            <w:shd w:val="clear" w:color="auto" w:fill="FFFFFF" w:themeFill="background1"/>
            <w:vAlign w:val="center"/>
          </w:tcPr>
          <w:p w14:paraId="4932BF20"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136" w:type="pct"/>
            <w:tcBorders>
              <w:top w:val="nil"/>
              <w:bottom w:val="single" w:sz="2" w:space="0" w:color="auto"/>
            </w:tcBorders>
            <w:shd w:val="clear" w:color="auto" w:fill="FFFFFF" w:themeFill="background1"/>
            <w:vAlign w:val="center"/>
          </w:tcPr>
          <w:p w14:paraId="3ADAFCBD"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nil"/>
              <w:bottom w:val="single" w:sz="2" w:space="0" w:color="auto"/>
            </w:tcBorders>
            <w:shd w:val="clear" w:color="auto" w:fill="FFFFFF" w:themeFill="background1"/>
            <w:vAlign w:val="center"/>
          </w:tcPr>
          <w:p w14:paraId="7E1EB32D"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ID</w:t>
            </w:r>
          </w:p>
        </w:tc>
        <w:tc>
          <w:tcPr>
            <w:tcW w:w="1014" w:type="pct"/>
            <w:tcBorders>
              <w:top w:val="nil"/>
              <w:bottom w:val="single" w:sz="2" w:space="0" w:color="auto"/>
            </w:tcBorders>
            <w:shd w:val="clear" w:color="auto" w:fill="FFFFFF" w:themeFill="background1"/>
            <w:vAlign w:val="center"/>
          </w:tcPr>
          <w:p w14:paraId="7ACCC15A"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PC99/95: Marine water</w:t>
            </w:r>
          </w:p>
        </w:tc>
        <w:tc>
          <w:tcPr>
            <w:tcW w:w="503" w:type="pct"/>
            <w:tcBorders>
              <w:top w:val="nil"/>
              <w:bottom w:val="single" w:sz="2" w:space="0" w:color="auto"/>
            </w:tcBorders>
            <w:shd w:val="clear" w:color="auto" w:fill="FFFFFF" w:themeFill="background1"/>
            <w:vAlign w:val="center"/>
          </w:tcPr>
          <w:p w14:paraId="1C228B37"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nil"/>
              <w:bottom w:val="single" w:sz="2" w:space="0" w:color="auto"/>
            </w:tcBorders>
            <w:shd w:val="clear" w:color="auto" w:fill="FFFFFF" w:themeFill="background1"/>
            <w:vAlign w:val="center"/>
          </w:tcPr>
          <w:p w14:paraId="744377A5"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DA631C" w:rsidRPr="00581507" w14:paraId="50F1431A"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8" w:space="0" w:color="auto"/>
            </w:tcBorders>
            <w:shd w:val="clear" w:color="auto" w:fill="FFFFFF" w:themeFill="background1"/>
            <w:vAlign w:val="center"/>
          </w:tcPr>
          <w:p w14:paraId="7380EF63" w14:textId="77777777" w:rsidR="00DA631C" w:rsidRPr="002D0872" w:rsidRDefault="00DA631C" w:rsidP="002439C8">
            <w:pPr>
              <w:pStyle w:val="Caption"/>
              <w:rPr>
                <w:rFonts w:asciiTheme="minorHAnsi" w:hAnsiTheme="minorHAnsi"/>
                <w:color w:val="auto"/>
                <w:sz w:val="20"/>
                <w:lang w:val="en-AU"/>
              </w:rPr>
            </w:pPr>
            <w:r w:rsidRPr="00581507">
              <w:rPr>
                <w:rFonts w:asciiTheme="minorHAnsi" w:hAnsiTheme="minorHAnsi"/>
                <w:color w:val="auto"/>
                <w:sz w:val="20"/>
                <w:lang w:val="en-AU"/>
              </w:rPr>
              <w:t>Tebuthiuron</w:t>
            </w:r>
          </w:p>
        </w:tc>
        <w:tc>
          <w:tcPr>
            <w:tcW w:w="533" w:type="pct"/>
            <w:tcBorders>
              <w:top w:val="single" w:sz="8" w:space="0" w:color="auto"/>
              <w:bottom w:val="nil"/>
            </w:tcBorders>
            <w:shd w:val="clear" w:color="auto" w:fill="FFFFFF" w:themeFill="background1"/>
            <w:vAlign w:val="center"/>
          </w:tcPr>
          <w:p w14:paraId="346CA918" w14:textId="77777777" w:rsidR="00DA631C" w:rsidRPr="002D0872"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4,700</w:t>
            </w:r>
          </w:p>
        </w:tc>
        <w:tc>
          <w:tcPr>
            <w:tcW w:w="1136" w:type="pct"/>
            <w:tcBorders>
              <w:top w:val="single" w:sz="8" w:space="0" w:color="auto"/>
              <w:bottom w:val="nil"/>
            </w:tcBorders>
            <w:shd w:val="clear" w:color="auto" w:fill="FFFFFF" w:themeFill="background1"/>
            <w:vAlign w:val="center"/>
          </w:tcPr>
          <w:p w14:paraId="479FC892" w14:textId="77777777" w:rsidR="00DA631C" w:rsidRPr="005F1879"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F1879">
              <w:rPr>
                <w:rFonts w:asciiTheme="minorHAnsi" w:hAnsiTheme="minorHAnsi" w:cstheme="minorHAnsi"/>
                <w:b w:val="0"/>
                <w:sz w:val="20"/>
                <w:lang w:val="en-AU" w:eastAsia="en-AU"/>
              </w:rPr>
              <w:t>PC99; moderate reliability; Marine water</w:t>
            </w:r>
          </w:p>
        </w:tc>
        <w:tc>
          <w:tcPr>
            <w:tcW w:w="498" w:type="pct"/>
            <w:tcBorders>
              <w:top w:val="single" w:sz="8" w:space="0" w:color="auto"/>
              <w:bottom w:val="nil"/>
            </w:tcBorders>
            <w:shd w:val="clear" w:color="auto" w:fill="FFFFFF" w:themeFill="background1"/>
            <w:vAlign w:val="center"/>
          </w:tcPr>
          <w:p w14:paraId="57DE747C"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20</w:t>
            </w:r>
          </w:p>
        </w:tc>
        <w:tc>
          <w:tcPr>
            <w:tcW w:w="1014" w:type="pct"/>
            <w:tcBorders>
              <w:top w:val="single" w:sz="8" w:space="0" w:color="auto"/>
              <w:bottom w:val="nil"/>
            </w:tcBorders>
            <w:shd w:val="clear" w:color="auto" w:fill="FFFFFF" w:themeFill="background1"/>
            <w:vAlign w:val="center"/>
          </w:tcPr>
          <w:p w14:paraId="0C27A506" w14:textId="77777777" w:rsidR="00DA631C"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Fresh</w:t>
            </w:r>
            <w:r w:rsidR="00DA631C" w:rsidRPr="00581507">
              <w:rPr>
                <w:rFonts w:asciiTheme="minorHAnsi" w:hAnsiTheme="minorHAnsi" w:cstheme="minorHAnsi"/>
                <w:b w:val="0"/>
                <w:sz w:val="20"/>
                <w:lang w:val="en-AU" w:eastAsia="en-AU"/>
              </w:rPr>
              <w:t>water</w:t>
            </w:r>
          </w:p>
        </w:tc>
        <w:tc>
          <w:tcPr>
            <w:tcW w:w="503" w:type="pct"/>
            <w:tcBorders>
              <w:top w:val="single" w:sz="2" w:space="0" w:color="auto"/>
              <w:bottom w:val="nil"/>
            </w:tcBorders>
            <w:shd w:val="clear" w:color="auto" w:fill="FFFFFF" w:themeFill="background1"/>
            <w:vAlign w:val="center"/>
          </w:tcPr>
          <w:p w14:paraId="67F280D6"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20</w:t>
            </w:r>
          </w:p>
        </w:tc>
        <w:tc>
          <w:tcPr>
            <w:tcW w:w="779" w:type="pct"/>
            <w:gridSpan w:val="2"/>
            <w:tcBorders>
              <w:top w:val="single" w:sz="2" w:space="0" w:color="auto"/>
              <w:bottom w:val="nil"/>
            </w:tcBorders>
            <w:shd w:val="clear" w:color="auto" w:fill="FFFFFF" w:themeFill="background1"/>
            <w:vAlign w:val="center"/>
          </w:tcPr>
          <w:p w14:paraId="5D4591A5" w14:textId="77777777" w:rsidR="00DA631C" w:rsidRPr="00581507" w:rsidRDefault="00DA631C"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low reliability</w:t>
            </w:r>
          </w:p>
        </w:tc>
      </w:tr>
      <w:tr w:rsidR="00DA631C" w:rsidRPr="00581507" w14:paraId="153515F1"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shd w:val="clear" w:color="auto" w:fill="FFFFFF" w:themeFill="background1"/>
            <w:vAlign w:val="center"/>
          </w:tcPr>
          <w:p w14:paraId="52A82651" w14:textId="77777777" w:rsidR="00DA631C" w:rsidRPr="00581507" w:rsidRDefault="00DA631C" w:rsidP="002439C8">
            <w:pPr>
              <w:pStyle w:val="Caption"/>
              <w:rPr>
                <w:rFonts w:asciiTheme="minorHAnsi" w:hAnsiTheme="minorHAnsi"/>
                <w:color w:val="auto"/>
                <w:sz w:val="20"/>
                <w:lang w:val="en-AU"/>
              </w:rPr>
            </w:pPr>
          </w:p>
        </w:tc>
        <w:tc>
          <w:tcPr>
            <w:tcW w:w="533" w:type="pct"/>
            <w:tcBorders>
              <w:top w:val="nil"/>
              <w:bottom w:val="nil"/>
            </w:tcBorders>
            <w:shd w:val="clear" w:color="auto" w:fill="FFFFFF" w:themeFill="background1"/>
            <w:vAlign w:val="center"/>
          </w:tcPr>
          <w:p w14:paraId="17D2E485"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136" w:type="pct"/>
            <w:tcBorders>
              <w:top w:val="nil"/>
              <w:bottom w:val="nil"/>
            </w:tcBorders>
            <w:shd w:val="clear" w:color="auto" w:fill="FFFFFF" w:themeFill="background1"/>
            <w:vAlign w:val="center"/>
          </w:tcPr>
          <w:p w14:paraId="109575CC"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nil"/>
              <w:bottom w:val="nil"/>
            </w:tcBorders>
            <w:shd w:val="clear" w:color="auto" w:fill="FFFFFF" w:themeFill="background1"/>
            <w:vAlign w:val="center"/>
          </w:tcPr>
          <w:p w14:paraId="50D4BE6B"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2,200</w:t>
            </w:r>
          </w:p>
        </w:tc>
        <w:tc>
          <w:tcPr>
            <w:tcW w:w="1014" w:type="pct"/>
            <w:tcBorders>
              <w:top w:val="nil"/>
              <w:bottom w:val="nil"/>
            </w:tcBorders>
            <w:shd w:val="clear" w:color="auto" w:fill="FFFFFF" w:themeFill="background1"/>
            <w:vAlign w:val="center"/>
          </w:tcPr>
          <w:p w14:paraId="0C99E844" w14:textId="77777777" w:rsidR="00DA631C"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PC95; Fresh</w:t>
            </w:r>
            <w:r w:rsidR="00DA631C" w:rsidRPr="00581507">
              <w:rPr>
                <w:rFonts w:asciiTheme="minorHAnsi" w:hAnsiTheme="minorHAnsi" w:cstheme="minorHAnsi"/>
                <w:b w:val="0"/>
                <w:sz w:val="20"/>
                <w:lang w:val="en-AU" w:eastAsia="en-AU"/>
              </w:rPr>
              <w:t>water</w:t>
            </w:r>
          </w:p>
        </w:tc>
        <w:tc>
          <w:tcPr>
            <w:tcW w:w="503" w:type="pct"/>
            <w:tcBorders>
              <w:top w:val="nil"/>
              <w:bottom w:val="nil"/>
            </w:tcBorders>
            <w:shd w:val="clear" w:color="auto" w:fill="FFFFFF" w:themeFill="background1"/>
            <w:vAlign w:val="center"/>
          </w:tcPr>
          <w:p w14:paraId="07702092"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nil"/>
              <w:bottom w:val="nil"/>
            </w:tcBorders>
            <w:shd w:val="clear" w:color="auto" w:fill="FFFFFF" w:themeFill="background1"/>
            <w:vAlign w:val="center"/>
          </w:tcPr>
          <w:p w14:paraId="739E266D" w14:textId="77777777" w:rsidR="00DA631C" w:rsidRPr="00581507" w:rsidRDefault="00DA631C"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CC75AA" w:rsidRPr="00581507" w14:paraId="5AED89AC"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bottom w:val="single" w:sz="2" w:space="0" w:color="auto"/>
            </w:tcBorders>
            <w:shd w:val="clear" w:color="auto" w:fill="FFFFFF" w:themeFill="background1"/>
            <w:vAlign w:val="center"/>
          </w:tcPr>
          <w:p w14:paraId="30977939" w14:textId="77777777" w:rsidR="00CC75AA" w:rsidRPr="00581507" w:rsidRDefault="00CC75AA" w:rsidP="002439C8">
            <w:pPr>
              <w:pStyle w:val="Caption"/>
              <w:rPr>
                <w:rFonts w:asciiTheme="minorHAnsi" w:hAnsiTheme="minorHAnsi"/>
                <w:color w:val="auto"/>
                <w:sz w:val="20"/>
                <w:lang w:val="en-AU"/>
              </w:rPr>
            </w:pPr>
          </w:p>
        </w:tc>
        <w:tc>
          <w:tcPr>
            <w:tcW w:w="533" w:type="pct"/>
            <w:tcBorders>
              <w:top w:val="nil"/>
              <w:bottom w:val="single" w:sz="2" w:space="0" w:color="auto"/>
            </w:tcBorders>
            <w:shd w:val="clear" w:color="auto" w:fill="FFFFFF" w:themeFill="background1"/>
            <w:vAlign w:val="center"/>
          </w:tcPr>
          <w:p w14:paraId="3E123BCD"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136" w:type="pct"/>
            <w:tcBorders>
              <w:top w:val="nil"/>
              <w:bottom w:val="single" w:sz="2" w:space="0" w:color="auto"/>
            </w:tcBorders>
            <w:shd w:val="clear" w:color="auto" w:fill="FFFFFF" w:themeFill="background1"/>
            <w:vAlign w:val="center"/>
          </w:tcPr>
          <w:p w14:paraId="5C8CF4DF"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nil"/>
              <w:bottom w:val="single" w:sz="2" w:space="0" w:color="auto"/>
            </w:tcBorders>
            <w:shd w:val="clear" w:color="auto" w:fill="FFFFFF" w:themeFill="background1"/>
            <w:vAlign w:val="center"/>
          </w:tcPr>
          <w:p w14:paraId="269B0134"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ID</w:t>
            </w:r>
          </w:p>
        </w:tc>
        <w:tc>
          <w:tcPr>
            <w:tcW w:w="1014" w:type="pct"/>
            <w:tcBorders>
              <w:top w:val="nil"/>
              <w:bottom w:val="single" w:sz="2" w:space="0" w:color="auto"/>
            </w:tcBorders>
            <w:shd w:val="clear" w:color="auto" w:fill="FFFFFF" w:themeFill="background1"/>
            <w:vAlign w:val="center"/>
          </w:tcPr>
          <w:p w14:paraId="2389FAD7"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PC99/95: Marine water</w:t>
            </w:r>
          </w:p>
        </w:tc>
        <w:tc>
          <w:tcPr>
            <w:tcW w:w="503" w:type="pct"/>
            <w:tcBorders>
              <w:top w:val="nil"/>
              <w:bottom w:val="single" w:sz="2" w:space="0" w:color="auto"/>
            </w:tcBorders>
            <w:shd w:val="clear" w:color="auto" w:fill="FFFFFF" w:themeFill="background1"/>
            <w:vAlign w:val="center"/>
          </w:tcPr>
          <w:p w14:paraId="7F68C080"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nil"/>
              <w:bottom w:val="single" w:sz="2" w:space="0" w:color="auto"/>
            </w:tcBorders>
            <w:shd w:val="clear" w:color="auto" w:fill="FFFFFF" w:themeFill="background1"/>
            <w:vAlign w:val="center"/>
          </w:tcPr>
          <w:p w14:paraId="70ADE9C1"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CC75AA" w:rsidRPr="00581507" w14:paraId="7A449DE8"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2" w:space="0" w:color="auto"/>
              <w:bottom w:val="single" w:sz="2" w:space="0" w:color="auto"/>
            </w:tcBorders>
            <w:shd w:val="clear" w:color="auto" w:fill="FFFFFF" w:themeFill="background1"/>
            <w:vAlign w:val="center"/>
          </w:tcPr>
          <w:p w14:paraId="65C76F5D" w14:textId="77777777" w:rsidR="00CC75AA" w:rsidRPr="002D0872" w:rsidRDefault="00CC75AA" w:rsidP="002439C8">
            <w:pPr>
              <w:pStyle w:val="Caption"/>
              <w:rPr>
                <w:rFonts w:asciiTheme="minorHAnsi" w:hAnsiTheme="minorHAnsi"/>
                <w:color w:val="auto"/>
                <w:sz w:val="20"/>
                <w:lang w:val="en-AU"/>
              </w:rPr>
            </w:pPr>
            <w:r w:rsidRPr="00581507">
              <w:rPr>
                <w:rFonts w:asciiTheme="minorHAnsi" w:hAnsiTheme="minorHAnsi"/>
                <w:color w:val="auto"/>
                <w:sz w:val="20"/>
                <w:lang w:val="en-AU"/>
              </w:rPr>
              <w:t>Terbuthylazine</w:t>
            </w:r>
          </w:p>
        </w:tc>
        <w:tc>
          <w:tcPr>
            <w:tcW w:w="533" w:type="pct"/>
            <w:tcBorders>
              <w:top w:val="single" w:sz="2" w:space="0" w:color="auto"/>
              <w:bottom w:val="single" w:sz="2" w:space="0" w:color="auto"/>
            </w:tcBorders>
            <w:shd w:val="clear" w:color="auto" w:fill="FFFFFF" w:themeFill="background1"/>
            <w:vAlign w:val="center"/>
          </w:tcPr>
          <w:p w14:paraId="2F08217F"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4</w:t>
            </w:r>
            <w:r w:rsidR="007813C2" w:rsidRPr="005F1879">
              <w:rPr>
                <w:rFonts w:asciiTheme="minorHAnsi" w:hAnsiTheme="minorHAnsi" w:cstheme="minorHAnsi"/>
                <w:b w:val="0"/>
                <w:sz w:val="20"/>
                <w:lang w:val="en-AU" w:eastAsia="en-AU"/>
              </w:rPr>
              <w:t>0</w:t>
            </w:r>
            <w:r w:rsidRPr="00581507">
              <w:rPr>
                <w:rFonts w:asciiTheme="minorHAnsi" w:hAnsiTheme="minorHAnsi" w:cstheme="minorHAnsi"/>
                <w:b w:val="0"/>
                <w:sz w:val="20"/>
                <w:lang w:val="en-AU" w:eastAsia="en-AU"/>
              </w:rPr>
              <w:t>0</w:t>
            </w:r>
          </w:p>
        </w:tc>
        <w:tc>
          <w:tcPr>
            <w:tcW w:w="1136" w:type="pct"/>
            <w:tcBorders>
              <w:top w:val="single" w:sz="2" w:space="0" w:color="auto"/>
              <w:bottom w:val="single" w:sz="2" w:space="0" w:color="auto"/>
            </w:tcBorders>
            <w:shd w:val="clear" w:color="auto" w:fill="FFFFFF" w:themeFill="background1"/>
            <w:vAlign w:val="center"/>
          </w:tcPr>
          <w:p w14:paraId="65F9CF63"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 xml:space="preserve">PC99; </w:t>
            </w:r>
            <w:r w:rsidR="007813C2" w:rsidRPr="00581507">
              <w:rPr>
                <w:rFonts w:asciiTheme="minorHAnsi" w:hAnsiTheme="minorHAnsi" w:cstheme="minorHAnsi"/>
                <w:b w:val="0"/>
                <w:sz w:val="20"/>
                <w:lang w:val="en-AU" w:eastAsia="en-AU"/>
              </w:rPr>
              <w:t>moderate</w:t>
            </w:r>
            <w:r w:rsidRPr="00581507">
              <w:rPr>
                <w:rFonts w:asciiTheme="minorHAnsi" w:hAnsiTheme="minorHAnsi" w:cstheme="minorHAnsi"/>
                <w:b w:val="0"/>
                <w:sz w:val="20"/>
                <w:lang w:val="en-AU" w:eastAsia="en-AU"/>
              </w:rPr>
              <w:t xml:space="preserve"> reliability; Marine water</w:t>
            </w:r>
          </w:p>
        </w:tc>
        <w:tc>
          <w:tcPr>
            <w:tcW w:w="498" w:type="pct"/>
            <w:tcBorders>
              <w:top w:val="single" w:sz="2" w:space="0" w:color="auto"/>
              <w:bottom w:val="single" w:sz="2" w:space="0" w:color="auto"/>
            </w:tcBorders>
            <w:shd w:val="clear" w:color="auto" w:fill="FFFFFF" w:themeFill="background1"/>
            <w:vAlign w:val="center"/>
          </w:tcPr>
          <w:p w14:paraId="3B960964"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2" w:space="0" w:color="auto"/>
              <w:bottom w:val="single" w:sz="2" w:space="0" w:color="auto"/>
            </w:tcBorders>
            <w:shd w:val="clear" w:color="auto" w:fill="FFFFFF" w:themeFill="background1"/>
            <w:vAlign w:val="center"/>
          </w:tcPr>
          <w:p w14:paraId="05F327E9"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bottom w:val="single" w:sz="2" w:space="0" w:color="auto"/>
            </w:tcBorders>
            <w:shd w:val="clear" w:color="auto" w:fill="FFFFFF" w:themeFill="background1"/>
            <w:vAlign w:val="center"/>
          </w:tcPr>
          <w:p w14:paraId="5C4EBC4E"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single" w:sz="2" w:space="0" w:color="auto"/>
              <w:bottom w:val="single" w:sz="2" w:space="0" w:color="auto"/>
            </w:tcBorders>
            <w:shd w:val="clear" w:color="auto" w:fill="FFFFFF" w:themeFill="background1"/>
            <w:vAlign w:val="center"/>
          </w:tcPr>
          <w:p w14:paraId="539AF20C"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CC75AA" w:rsidRPr="00581507" w14:paraId="610C81A7"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2" w:space="0" w:color="auto"/>
              <w:bottom w:val="single" w:sz="2" w:space="0" w:color="auto"/>
            </w:tcBorders>
            <w:shd w:val="clear" w:color="auto" w:fill="FFFFFF" w:themeFill="background1"/>
            <w:vAlign w:val="center"/>
          </w:tcPr>
          <w:p w14:paraId="356ACE89" w14:textId="77777777" w:rsidR="00CC75AA" w:rsidRPr="002D0872" w:rsidRDefault="00CC75AA" w:rsidP="002439C8">
            <w:pPr>
              <w:pStyle w:val="Caption"/>
              <w:rPr>
                <w:rFonts w:asciiTheme="minorHAnsi" w:hAnsiTheme="minorHAnsi"/>
                <w:color w:val="auto"/>
                <w:sz w:val="20"/>
                <w:lang w:val="en-AU"/>
              </w:rPr>
            </w:pPr>
            <w:r w:rsidRPr="00581507">
              <w:rPr>
                <w:rFonts w:asciiTheme="minorHAnsi" w:hAnsiTheme="minorHAnsi"/>
                <w:color w:val="auto"/>
                <w:sz w:val="20"/>
                <w:lang w:val="en-AU"/>
              </w:rPr>
              <w:t>Terbutryn</w:t>
            </w:r>
          </w:p>
        </w:tc>
        <w:tc>
          <w:tcPr>
            <w:tcW w:w="533" w:type="pct"/>
            <w:tcBorders>
              <w:top w:val="single" w:sz="2" w:space="0" w:color="auto"/>
              <w:bottom w:val="single" w:sz="2" w:space="0" w:color="auto"/>
            </w:tcBorders>
            <w:shd w:val="clear" w:color="auto" w:fill="FFFFFF" w:themeFill="background1"/>
            <w:vAlign w:val="center"/>
          </w:tcPr>
          <w:p w14:paraId="5D821DFB" w14:textId="77777777" w:rsidR="00CC75AA" w:rsidRPr="005F1879" w:rsidRDefault="007813C2"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79</w:t>
            </w:r>
          </w:p>
        </w:tc>
        <w:tc>
          <w:tcPr>
            <w:tcW w:w="1136" w:type="pct"/>
            <w:tcBorders>
              <w:top w:val="single" w:sz="2" w:space="0" w:color="auto"/>
              <w:bottom w:val="single" w:sz="2" w:space="0" w:color="auto"/>
            </w:tcBorders>
            <w:shd w:val="clear" w:color="auto" w:fill="FFFFFF" w:themeFill="background1"/>
            <w:vAlign w:val="center"/>
          </w:tcPr>
          <w:p w14:paraId="63C51992"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moderate reliability; Marine water</w:t>
            </w:r>
          </w:p>
        </w:tc>
        <w:tc>
          <w:tcPr>
            <w:tcW w:w="498" w:type="pct"/>
            <w:tcBorders>
              <w:top w:val="single" w:sz="2" w:space="0" w:color="auto"/>
              <w:bottom w:val="single" w:sz="2" w:space="0" w:color="auto"/>
            </w:tcBorders>
            <w:shd w:val="clear" w:color="auto" w:fill="FFFFFF" w:themeFill="background1"/>
            <w:vAlign w:val="center"/>
          </w:tcPr>
          <w:p w14:paraId="1B72EBC1"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2" w:space="0" w:color="auto"/>
              <w:bottom w:val="single" w:sz="2" w:space="0" w:color="auto"/>
            </w:tcBorders>
            <w:shd w:val="clear" w:color="auto" w:fill="FFFFFF" w:themeFill="background1"/>
            <w:vAlign w:val="center"/>
          </w:tcPr>
          <w:p w14:paraId="22CB0C4E"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bottom w:val="single" w:sz="2" w:space="0" w:color="auto"/>
            </w:tcBorders>
            <w:shd w:val="clear" w:color="auto" w:fill="FFFFFF" w:themeFill="background1"/>
            <w:vAlign w:val="center"/>
          </w:tcPr>
          <w:p w14:paraId="62A3C0DC"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single" w:sz="2" w:space="0" w:color="auto"/>
              <w:bottom w:val="single" w:sz="2" w:space="0" w:color="auto"/>
            </w:tcBorders>
            <w:shd w:val="clear" w:color="auto" w:fill="FFFFFF" w:themeFill="background1"/>
            <w:vAlign w:val="center"/>
          </w:tcPr>
          <w:p w14:paraId="3F2A9E6D"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CC75AA" w:rsidRPr="00581507" w14:paraId="55BB1904"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2" w:space="0" w:color="auto"/>
              <w:bottom w:val="single" w:sz="8" w:space="0" w:color="auto"/>
            </w:tcBorders>
            <w:shd w:val="clear" w:color="auto" w:fill="FFFFFF" w:themeFill="background1"/>
            <w:vAlign w:val="center"/>
          </w:tcPr>
          <w:p w14:paraId="37D6DD81" w14:textId="77777777" w:rsidR="00CC75AA" w:rsidRPr="002D0872" w:rsidRDefault="00CC75AA" w:rsidP="002439C8">
            <w:pPr>
              <w:pStyle w:val="Caption"/>
              <w:rPr>
                <w:rFonts w:asciiTheme="minorHAnsi" w:hAnsiTheme="minorHAnsi"/>
                <w:color w:val="auto"/>
                <w:sz w:val="20"/>
                <w:lang w:val="en-AU"/>
              </w:rPr>
            </w:pPr>
            <w:r w:rsidRPr="00581507">
              <w:rPr>
                <w:rFonts w:asciiTheme="minorHAnsi" w:hAnsiTheme="minorHAnsi"/>
                <w:color w:val="auto"/>
                <w:sz w:val="20"/>
                <w:lang w:val="en-AU"/>
              </w:rPr>
              <w:t>Triclopyr</w:t>
            </w:r>
          </w:p>
        </w:tc>
        <w:tc>
          <w:tcPr>
            <w:tcW w:w="533" w:type="pct"/>
            <w:tcBorders>
              <w:top w:val="single" w:sz="2" w:space="0" w:color="auto"/>
              <w:bottom w:val="single" w:sz="2" w:space="0" w:color="auto"/>
            </w:tcBorders>
            <w:shd w:val="clear" w:color="auto" w:fill="FFFFFF" w:themeFill="background1"/>
            <w:vAlign w:val="center"/>
          </w:tcPr>
          <w:p w14:paraId="48FC5EAD" w14:textId="77777777" w:rsidR="00CC75AA" w:rsidRPr="005F1879" w:rsidRDefault="007813C2"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36</w:t>
            </w:r>
          </w:p>
        </w:tc>
        <w:tc>
          <w:tcPr>
            <w:tcW w:w="1136" w:type="pct"/>
            <w:tcBorders>
              <w:top w:val="single" w:sz="2" w:space="0" w:color="auto"/>
              <w:bottom w:val="single" w:sz="2" w:space="0" w:color="auto"/>
            </w:tcBorders>
            <w:shd w:val="clear" w:color="auto" w:fill="FFFFFF" w:themeFill="background1"/>
            <w:vAlign w:val="center"/>
          </w:tcPr>
          <w:p w14:paraId="14C8F143"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low reliability; Marine water</w:t>
            </w:r>
          </w:p>
        </w:tc>
        <w:tc>
          <w:tcPr>
            <w:tcW w:w="498" w:type="pct"/>
            <w:tcBorders>
              <w:top w:val="single" w:sz="2" w:space="0" w:color="auto"/>
              <w:bottom w:val="single" w:sz="2" w:space="0" w:color="auto"/>
            </w:tcBorders>
            <w:shd w:val="clear" w:color="auto" w:fill="FFFFFF" w:themeFill="background1"/>
            <w:vAlign w:val="center"/>
          </w:tcPr>
          <w:p w14:paraId="7BDC45B8"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014" w:type="pct"/>
            <w:tcBorders>
              <w:top w:val="single" w:sz="2" w:space="0" w:color="auto"/>
              <w:bottom w:val="single" w:sz="2" w:space="0" w:color="auto"/>
            </w:tcBorders>
            <w:shd w:val="clear" w:color="auto" w:fill="FFFFFF" w:themeFill="background1"/>
            <w:vAlign w:val="center"/>
          </w:tcPr>
          <w:p w14:paraId="4C6B8E64"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503" w:type="pct"/>
            <w:tcBorders>
              <w:top w:val="single" w:sz="2" w:space="0" w:color="auto"/>
              <w:bottom w:val="single" w:sz="2" w:space="0" w:color="auto"/>
            </w:tcBorders>
            <w:shd w:val="clear" w:color="auto" w:fill="FFFFFF" w:themeFill="background1"/>
            <w:vAlign w:val="center"/>
          </w:tcPr>
          <w:p w14:paraId="5542778E"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top w:val="single" w:sz="2" w:space="0" w:color="auto"/>
              <w:bottom w:val="single" w:sz="2" w:space="0" w:color="auto"/>
            </w:tcBorders>
            <w:shd w:val="clear" w:color="auto" w:fill="FFFFFF" w:themeFill="background1"/>
            <w:vAlign w:val="center"/>
          </w:tcPr>
          <w:p w14:paraId="71F16BA2"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r w:rsidR="00CC75AA" w:rsidRPr="00581507" w14:paraId="703B9FBC" w14:textId="77777777" w:rsidTr="00A209AA">
        <w:trPr>
          <w:trHeight w:val="408"/>
        </w:trPr>
        <w:tc>
          <w:tcPr>
            <w:cnfStyle w:val="001000000000" w:firstRow="0" w:lastRow="0" w:firstColumn="1" w:lastColumn="0" w:oddVBand="0" w:evenVBand="0" w:oddHBand="0" w:evenHBand="0" w:firstRowFirstColumn="0" w:firstRowLastColumn="0" w:lastRowFirstColumn="0" w:lastRowLastColumn="0"/>
            <w:tcW w:w="536" w:type="pct"/>
            <w:tcBorders>
              <w:top w:val="single" w:sz="8" w:space="0" w:color="auto"/>
            </w:tcBorders>
            <w:shd w:val="clear" w:color="auto" w:fill="FFFFFF" w:themeFill="background1"/>
            <w:vAlign w:val="center"/>
          </w:tcPr>
          <w:p w14:paraId="05BB8F57" w14:textId="77777777" w:rsidR="00CC75AA" w:rsidRPr="002D0872" w:rsidRDefault="00CC75AA" w:rsidP="002439C8">
            <w:pPr>
              <w:pStyle w:val="Caption"/>
              <w:rPr>
                <w:rFonts w:asciiTheme="minorHAnsi" w:hAnsiTheme="minorHAnsi"/>
                <w:color w:val="auto"/>
                <w:sz w:val="20"/>
                <w:lang w:val="en-AU"/>
              </w:rPr>
            </w:pPr>
            <w:r w:rsidRPr="00581507">
              <w:rPr>
                <w:rFonts w:asciiTheme="minorHAnsi" w:hAnsiTheme="minorHAnsi"/>
                <w:color w:val="auto"/>
                <w:sz w:val="20"/>
                <w:lang w:val="en-AU"/>
              </w:rPr>
              <w:t>Trifluralin</w:t>
            </w:r>
          </w:p>
        </w:tc>
        <w:tc>
          <w:tcPr>
            <w:tcW w:w="533" w:type="pct"/>
            <w:tcBorders>
              <w:top w:val="nil"/>
              <w:bottom w:val="nil"/>
            </w:tcBorders>
            <w:shd w:val="clear" w:color="auto" w:fill="FFFFFF" w:themeFill="background1"/>
            <w:vAlign w:val="center"/>
          </w:tcPr>
          <w:p w14:paraId="0776AAC4" w14:textId="77777777" w:rsidR="00CC75AA" w:rsidRPr="005F1879" w:rsidRDefault="007813C2"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2D0872">
              <w:rPr>
                <w:rFonts w:asciiTheme="minorHAnsi" w:hAnsiTheme="minorHAnsi" w:cstheme="minorHAnsi"/>
                <w:b w:val="0"/>
                <w:sz w:val="20"/>
                <w:lang w:val="en-AU" w:eastAsia="en-AU"/>
              </w:rPr>
              <w:t>-</w:t>
            </w:r>
          </w:p>
        </w:tc>
        <w:tc>
          <w:tcPr>
            <w:tcW w:w="1136" w:type="pct"/>
            <w:tcBorders>
              <w:top w:val="nil"/>
              <w:bottom w:val="nil"/>
            </w:tcBorders>
            <w:shd w:val="clear" w:color="auto" w:fill="FFFFFF" w:themeFill="background1"/>
            <w:vAlign w:val="center"/>
          </w:tcPr>
          <w:p w14:paraId="6E81D07B"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nil"/>
              <w:bottom w:val="nil"/>
            </w:tcBorders>
            <w:shd w:val="clear" w:color="auto" w:fill="FFFFFF" w:themeFill="background1"/>
            <w:vAlign w:val="center"/>
          </w:tcPr>
          <w:p w14:paraId="0527F021"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2,600</w:t>
            </w:r>
          </w:p>
        </w:tc>
        <w:tc>
          <w:tcPr>
            <w:tcW w:w="1014" w:type="pct"/>
            <w:tcBorders>
              <w:top w:val="nil"/>
              <w:bottom w:val="nil"/>
            </w:tcBorders>
            <w:shd w:val="clear" w:color="auto" w:fill="FFFFFF" w:themeFill="background1"/>
            <w:vAlign w:val="center"/>
          </w:tcPr>
          <w:p w14:paraId="6833D5C3"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 Freshwater</w:t>
            </w:r>
          </w:p>
        </w:tc>
        <w:tc>
          <w:tcPr>
            <w:tcW w:w="503" w:type="pct"/>
            <w:shd w:val="clear" w:color="auto" w:fill="FFFFFF" w:themeFill="background1"/>
            <w:vAlign w:val="center"/>
          </w:tcPr>
          <w:p w14:paraId="279C8763"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shd w:val="clear" w:color="auto" w:fill="FFFFFF" w:themeFill="background1"/>
            <w:vAlign w:val="center"/>
          </w:tcPr>
          <w:p w14:paraId="3B02A9DF" w14:textId="77777777" w:rsidR="00CC75AA" w:rsidRPr="00581507" w:rsidRDefault="00CC75AA" w:rsidP="002439C8">
            <w:pPr>
              <w:pStyle w:val="Caption"/>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val="0"/>
                <w:sz w:val="20"/>
                <w:lang w:val="en-AU" w:eastAsia="en-AU"/>
              </w:rPr>
            </w:pPr>
          </w:p>
        </w:tc>
      </w:tr>
      <w:tr w:rsidR="00CC75AA" w:rsidRPr="00581507" w14:paraId="6FC217F9" w14:textId="77777777" w:rsidTr="00A209AA">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36" w:type="pct"/>
            <w:tcBorders>
              <w:bottom w:val="single" w:sz="2" w:space="0" w:color="auto"/>
            </w:tcBorders>
            <w:shd w:val="clear" w:color="auto" w:fill="FFFFFF" w:themeFill="background1"/>
            <w:vAlign w:val="center"/>
          </w:tcPr>
          <w:p w14:paraId="3A6BD354" w14:textId="77777777" w:rsidR="00CC75AA" w:rsidRPr="00581507" w:rsidRDefault="00CC75AA" w:rsidP="002439C8">
            <w:pPr>
              <w:pStyle w:val="Caption"/>
              <w:rPr>
                <w:rFonts w:asciiTheme="minorHAnsi" w:hAnsiTheme="minorHAnsi" w:cstheme="minorHAnsi"/>
                <w:color w:val="auto"/>
                <w:sz w:val="20"/>
                <w:lang w:val="en-AU" w:eastAsia="en-AU"/>
              </w:rPr>
            </w:pPr>
          </w:p>
        </w:tc>
        <w:tc>
          <w:tcPr>
            <w:tcW w:w="533" w:type="pct"/>
            <w:tcBorders>
              <w:top w:val="nil"/>
              <w:bottom w:val="single" w:sz="2" w:space="0" w:color="auto"/>
            </w:tcBorders>
            <w:shd w:val="clear" w:color="auto" w:fill="FFFFFF" w:themeFill="background1"/>
            <w:vAlign w:val="center"/>
          </w:tcPr>
          <w:p w14:paraId="559703DF"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1136" w:type="pct"/>
            <w:tcBorders>
              <w:top w:val="nil"/>
              <w:bottom w:val="single" w:sz="2" w:space="0" w:color="auto"/>
            </w:tcBorders>
            <w:shd w:val="clear" w:color="auto" w:fill="FFFFFF" w:themeFill="background1"/>
            <w:vAlign w:val="center"/>
          </w:tcPr>
          <w:p w14:paraId="1D7C715C"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498" w:type="pct"/>
            <w:tcBorders>
              <w:top w:val="nil"/>
              <w:bottom w:val="single" w:sz="2" w:space="0" w:color="auto"/>
            </w:tcBorders>
            <w:shd w:val="clear" w:color="auto" w:fill="FFFFFF" w:themeFill="background1"/>
            <w:vAlign w:val="center"/>
          </w:tcPr>
          <w:p w14:paraId="4A1586C0"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ID</w:t>
            </w:r>
          </w:p>
        </w:tc>
        <w:tc>
          <w:tcPr>
            <w:tcW w:w="1014" w:type="pct"/>
            <w:tcBorders>
              <w:top w:val="nil"/>
              <w:bottom w:val="single" w:sz="2" w:space="0" w:color="auto"/>
            </w:tcBorders>
            <w:shd w:val="clear" w:color="auto" w:fill="FFFFFF" w:themeFill="background1"/>
            <w:vAlign w:val="center"/>
          </w:tcPr>
          <w:p w14:paraId="36DF53A9"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r w:rsidRPr="00581507">
              <w:rPr>
                <w:rFonts w:asciiTheme="minorHAnsi" w:hAnsiTheme="minorHAnsi" w:cstheme="minorHAnsi"/>
                <w:b w:val="0"/>
                <w:sz w:val="20"/>
                <w:lang w:val="en-AU" w:eastAsia="en-AU"/>
              </w:rPr>
              <w:t>PC99/95: Marine water</w:t>
            </w:r>
          </w:p>
        </w:tc>
        <w:tc>
          <w:tcPr>
            <w:tcW w:w="503" w:type="pct"/>
            <w:tcBorders>
              <w:bottom w:val="single" w:sz="2" w:space="0" w:color="auto"/>
            </w:tcBorders>
            <w:shd w:val="clear" w:color="auto" w:fill="FFFFFF" w:themeFill="background1"/>
            <w:vAlign w:val="center"/>
          </w:tcPr>
          <w:p w14:paraId="3099410E"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c>
          <w:tcPr>
            <w:tcW w:w="779" w:type="pct"/>
            <w:gridSpan w:val="2"/>
            <w:tcBorders>
              <w:bottom w:val="single" w:sz="2" w:space="0" w:color="auto"/>
            </w:tcBorders>
            <w:shd w:val="clear" w:color="auto" w:fill="FFFFFF" w:themeFill="background1"/>
            <w:vAlign w:val="center"/>
          </w:tcPr>
          <w:p w14:paraId="02617495" w14:textId="77777777" w:rsidR="00CC75AA" w:rsidRPr="00581507" w:rsidRDefault="00CC75AA" w:rsidP="002439C8">
            <w:pPr>
              <w:pStyle w:val="Caption"/>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val="0"/>
                <w:sz w:val="20"/>
                <w:lang w:val="en-AU" w:eastAsia="en-AU"/>
              </w:rPr>
            </w:pPr>
          </w:p>
        </w:tc>
      </w:tr>
    </w:tbl>
    <w:p w14:paraId="041E8CDF" w14:textId="77777777" w:rsidR="00662785" w:rsidRDefault="00D06199" w:rsidP="002439C8">
      <w:pPr>
        <w:pStyle w:val="Caption"/>
        <w:spacing w:line="276" w:lineRule="auto"/>
        <w:rPr>
          <w:b w:val="0"/>
          <w:sz w:val="16"/>
          <w:lang w:val="en-AU" w:eastAsia="en-AU"/>
        </w:rPr>
      </w:pPr>
      <w:r w:rsidRPr="00D06199">
        <w:rPr>
          <w:b w:val="0"/>
          <w:sz w:val="16"/>
          <w:vertAlign w:val="superscript"/>
          <w:lang w:val="en-AU" w:eastAsia="en-AU"/>
        </w:rPr>
        <w:t>a</w:t>
      </w:r>
      <w:r w:rsidR="00CE36E8">
        <w:rPr>
          <w:b w:val="0"/>
          <w:sz w:val="16"/>
          <w:lang w:val="en-AU" w:eastAsia="en-AU"/>
        </w:rPr>
        <w:t xml:space="preserve"> </w:t>
      </w:r>
      <w:r w:rsidR="001C5A8A">
        <w:rPr>
          <w:b w:val="0"/>
          <w:sz w:val="16"/>
          <w:lang w:val="en-AU" w:eastAsia="en-AU"/>
        </w:rPr>
        <w:t xml:space="preserve">Reported in the 2017 Scientific Consensus Statement </w:t>
      </w:r>
      <w:r w:rsidR="001C5A8A">
        <w:rPr>
          <w:b w:val="0"/>
          <w:sz w:val="16"/>
          <w:lang w:val="en-AU" w:eastAsia="en-AU"/>
        </w:rPr>
        <w:fldChar w:fldCharType="begin"/>
      </w:r>
      <w:r w:rsidR="0058467F">
        <w:rPr>
          <w:b w:val="0"/>
          <w:sz w:val="16"/>
          <w:lang w:val="en-AU" w:eastAsia="en-AU"/>
        </w:rPr>
        <w:instrText xml:space="preserve"> ADDIN EN.CITE &lt;EndNote&gt;&lt;Cite&gt;&lt;Author&gt;Waterhouse&lt;/Author&gt;&lt;Year&gt;2017&lt;/Year&gt;&lt;RecNum&gt;86&lt;/RecNum&gt;&lt;DisplayText&gt;(Waterhouse et al., 2017a)&lt;/DisplayText&gt;&lt;record&gt;&lt;rec-number&gt;86&lt;/rec-number&gt;&lt;foreign-keys&gt;&lt;key app="EN" db-id="xtpvpwz0ufxa2me5tv6v2prn2ez5p9atsvtr" timestamp="1539144945"&gt;86&lt;/key&gt;&lt;/foreign-keys&gt;&lt;ref-type name="Report"&gt;27&lt;/ref-type&gt;&lt;contributors&gt;&lt;authors&gt;&lt;author&gt;Waterhouse, J.&lt;/author&gt;&lt;author&gt;Brodie, J.&lt;/author&gt;&lt;author&gt;Tracey, D.&lt;/author&gt;&lt;author&gt;Smith, R.&lt;/author&gt;&lt;author&gt;Vandergragt, M.&lt;/author&gt;&lt;author&gt;Collier, C.&lt;/author&gt;&lt;author&gt;Petus, C.&lt;/author&gt;&lt;author&gt;Baird, M.,&lt;/author&gt;&lt;author&gt;Kroon, F.&lt;/author&gt;&lt;author&gt;Mann, R.&lt;/author&gt;&lt;author&gt;Sutcliffe, T.&lt;/author&gt;&lt;author&gt;Waters, D.&lt;/author&gt;&lt;author&gt;Adame, F. &lt;/author&gt;&lt;/authors&gt;&lt;/contributors&gt;&lt;titles&gt;&lt;title&gt;Scientific Consensus Statement 2017: A synthesis of the science of land-based water quality impacts on the Great Barrier Reef, Chapter 3: The risk from anthropogenic pollutants to Great Barrier Reef coastal and marine ecosystems&lt;/title&gt;&lt;/titles&gt;&lt;dates&gt;&lt;year&gt;2017&lt;/year&gt;&lt;/dates&gt;&lt;publisher&gt;State of Queensland&lt;/publisher&gt;&lt;urls&gt;&lt;/urls&gt;&lt;/record&gt;&lt;/Cite&gt;&lt;/EndNote&gt;</w:instrText>
      </w:r>
      <w:r w:rsidR="001C5A8A">
        <w:rPr>
          <w:b w:val="0"/>
          <w:sz w:val="16"/>
          <w:lang w:val="en-AU" w:eastAsia="en-AU"/>
        </w:rPr>
        <w:fldChar w:fldCharType="separate"/>
      </w:r>
      <w:r w:rsidR="00B33845">
        <w:rPr>
          <w:b w:val="0"/>
          <w:noProof/>
          <w:sz w:val="16"/>
          <w:lang w:val="en-AU" w:eastAsia="en-AU"/>
        </w:rPr>
        <w:t>(Waterhouse et al., 2017a)</w:t>
      </w:r>
      <w:r w:rsidR="001C5A8A">
        <w:rPr>
          <w:b w:val="0"/>
          <w:sz w:val="16"/>
          <w:lang w:val="en-AU" w:eastAsia="en-AU"/>
        </w:rPr>
        <w:fldChar w:fldCharType="end"/>
      </w:r>
      <w:r w:rsidR="001C5A8A">
        <w:rPr>
          <w:b w:val="0"/>
          <w:sz w:val="16"/>
          <w:lang w:val="en-AU" w:eastAsia="en-AU"/>
        </w:rPr>
        <w:t xml:space="preserve"> as p</w:t>
      </w:r>
      <w:r w:rsidR="001C5A8A" w:rsidRPr="001C5A8A">
        <w:rPr>
          <w:b w:val="0"/>
          <w:sz w:val="16"/>
          <w:lang w:val="en-AU" w:eastAsia="en-AU"/>
        </w:rPr>
        <w:t>roposed ecotoxicity threshold values</w:t>
      </w:r>
    </w:p>
    <w:p w14:paraId="230EF04D" w14:textId="77777777" w:rsidR="0059608E" w:rsidRPr="00D06199" w:rsidRDefault="00662785" w:rsidP="002439C8">
      <w:pPr>
        <w:pStyle w:val="Caption"/>
        <w:spacing w:line="276" w:lineRule="auto"/>
        <w:rPr>
          <w:b w:val="0"/>
          <w:sz w:val="16"/>
          <w:lang w:val="en-AU" w:eastAsia="en-AU"/>
        </w:rPr>
      </w:pPr>
      <w:r w:rsidRPr="00B97E3E">
        <w:rPr>
          <w:sz w:val="16"/>
          <w:szCs w:val="16"/>
          <w:vertAlign w:val="superscript"/>
          <w:lang w:val="en-AU" w:eastAsia="en-AU"/>
        </w:rPr>
        <w:t>b</w:t>
      </w:r>
      <w:r w:rsidRPr="00B97E3E">
        <w:rPr>
          <w:sz w:val="16"/>
          <w:szCs w:val="16"/>
          <w:lang w:val="en-AU" w:eastAsia="en-AU"/>
        </w:rPr>
        <w:t xml:space="preserve"> </w:t>
      </w:r>
      <w:r w:rsidR="00CE36E8">
        <w:rPr>
          <w:b w:val="0"/>
          <w:sz w:val="16"/>
          <w:lang w:val="en-AU" w:eastAsia="en-AU"/>
        </w:rPr>
        <w:t>S</w:t>
      </w:r>
      <w:r w:rsidR="00D06199" w:rsidRPr="00D06199">
        <w:rPr>
          <w:b w:val="0"/>
          <w:sz w:val="16"/>
          <w:lang w:val="en-AU" w:eastAsia="en-AU"/>
        </w:rPr>
        <w:t xml:space="preserve">ourced from </w:t>
      </w:r>
      <w:r w:rsidR="00C91BF5">
        <w:rPr>
          <w:b w:val="0"/>
          <w:sz w:val="16"/>
          <w:lang w:val="en-AU" w:eastAsia="en-AU"/>
        </w:rPr>
        <w:fldChar w:fldCharType="begin"/>
      </w:r>
      <w:r w:rsidR="00F047C2">
        <w:rPr>
          <w:b w:val="0"/>
          <w:sz w:val="16"/>
          <w:lang w:val="en-AU" w:eastAsia="en-AU"/>
        </w:rPr>
        <w:instrText xml:space="preserve"> ADDIN EN.CITE &lt;EndNote&gt;&lt;Cite AuthorYear="1"&gt;&lt;Author&gt;King&lt;/Author&gt;&lt;Year&gt;2017&lt;/Year&gt;&lt;RecNum&gt;47&lt;/RecNum&gt;&lt;DisplayText&gt;King et al. (2017a)&lt;/DisplayText&gt;&lt;record&gt;&lt;rec-number&gt;47&lt;/rec-number&gt;&lt;foreign-keys&gt;&lt;key app="EN" db-id="xtpvpwz0ufxa2me5tv6v2prn2ez5p9atsvtr" timestamp="1539144944"&gt;47&lt;/key&gt;&lt;/foreign-keys&gt;&lt;ref-type name="Report"&gt;27&lt;/ref-type&gt;&lt;contributors&gt;&lt;authors&gt;&lt;author&gt;King, O.C.&lt;/author&gt;&lt;author&gt;Smith, R.A.&lt;/author&gt;&lt;author&gt;Warne M. St J.&lt;/author&gt;&lt;/authors&gt;&lt;/contributors&gt;&lt;titles&gt;&lt;title&gt;Proposed Default Guideline Values for Toxicants: Diuron – Marine&lt;/title&gt;&lt;/titles&gt;&lt;pages&gt;pp 37 &lt;/pages&gt;&lt;dates&gt;&lt;year&gt;2017&lt;/year&gt;&lt;/dates&gt;&lt;pub-location&gt;Brisbane, Australia&lt;/pub-location&gt;&lt;publisher&gt;Department of Science, Information Technology and Innovation&lt;/publisher&gt;&lt;urls&gt;&lt;/urls&gt;&lt;/record&gt;&lt;/Cite&gt;&lt;/EndNote&gt;</w:instrText>
      </w:r>
      <w:r w:rsidR="00C91BF5">
        <w:rPr>
          <w:b w:val="0"/>
          <w:sz w:val="16"/>
          <w:lang w:val="en-AU" w:eastAsia="en-AU"/>
        </w:rPr>
        <w:fldChar w:fldCharType="separate"/>
      </w:r>
      <w:r w:rsidR="00F047C2">
        <w:rPr>
          <w:b w:val="0"/>
          <w:noProof/>
          <w:sz w:val="16"/>
          <w:lang w:val="en-AU" w:eastAsia="en-AU"/>
        </w:rPr>
        <w:t>King et al. (2017a)</w:t>
      </w:r>
      <w:r w:rsidR="00C91BF5">
        <w:rPr>
          <w:b w:val="0"/>
          <w:sz w:val="16"/>
          <w:lang w:val="en-AU" w:eastAsia="en-AU"/>
        </w:rPr>
        <w:fldChar w:fldCharType="end"/>
      </w:r>
      <w:r w:rsidR="00FB5CF0">
        <w:rPr>
          <w:b w:val="0"/>
          <w:sz w:val="16"/>
          <w:lang w:val="en-AU" w:eastAsia="en-AU"/>
        </w:rPr>
        <w:t xml:space="preserve"> </w:t>
      </w:r>
      <w:r w:rsidR="002D0872">
        <w:rPr>
          <w:b w:val="0"/>
          <w:sz w:val="16"/>
          <w:lang w:val="en-AU" w:eastAsia="en-AU"/>
        </w:rPr>
        <w:fldChar w:fldCharType="begin"/>
      </w:r>
      <w:r w:rsidR="002D0872">
        <w:rPr>
          <w:b w:val="0"/>
          <w:sz w:val="16"/>
          <w:lang w:val="en-AU" w:eastAsia="en-AU"/>
        </w:rPr>
        <w:instrText xml:space="preserve"> ADDIN EN.CITE &lt;EndNote&gt;&lt;Cite&gt;&lt;Author&gt;King&lt;/Author&gt;&lt;Year&gt;2017&lt;/Year&gt;&lt;RecNum&gt;111&lt;/RecNum&gt;&lt;DisplayText&gt;(King et al., 2017b; King et al., 2017c)&lt;/DisplayText&gt;&lt;record&gt;&lt;rec-number&gt;111&lt;/rec-number&gt;&lt;foreign-keys&gt;&lt;key app="EN" db-id="xtpvpwz0ufxa2me5tv6v2prn2ez5p9atsvtr" timestamp="1550112221"&gt;111&lt;/key&gt;&lt;/foreign-keys&gt;&lt;ref-type name="Report"&gt;27&lt;/ref-type&gt;&lt;contributors&gt;&lt;authors&gt;&lt;author&gt;King, O.C.&lt;/author&gt;&lt;author&gt;Smith, R.A.&lt;/author&gt;&lt;author&gt;Warne M. St J.&lt;/author&gt;&lt;author&gt;Frangos J.S.&lt;/author&gt;&lt;author&gt;Mann, R.&lt;/author&gt;&lt;/authors&gt;&lt;/contributors&gt;&lt;titles&gt;&lt;title&gt;Proposed aquatic ecosystem protection guideline values for pesticides commonly used in the Great Barrier Reef catchment area: Part 2 - Bromacil, Chlorothalonil, Fipronil, Fluometuron, Fluroxypyr, Haloxyfop, MCPA, Pendimethalin, Prometryn, Propazine, Propiconazole, Terbutryn, Triclopyr and Terbuthylazine&lt;/title&gt;&lt;/titles&gt;&lt;dates&gt;&lt;year&gt;2017&lt;/year&gt;&lt;/dates&gt;&lt;pub-location&gt;Brisbane, Australia&lt;/pub-location&gt;&lt;publisher&gt;Department of Science, Information Technology and Innovation&lt;/publisher&gt;&lt;urls&gt;&lt;/urls&gt;&lt;/record&gt;&lt;/Cite&gt;&lt;Cite&gt;&lt;Author&gt;King&lt;/Author&gt;&lt;Year&gt;2017&lt;/Year&gt;&lt;RecNum&gt;110&lt;/RecNum&gt;&lt;record&gt;&lt;rec-number&gt;110&lt;/rec-number&gt;&lt;foreign-keys&gt;&lt;key app="EN" db-id="xtpvpwz0ufxa2me5tv6v2prn2ez5p9atsvtr" timestamp="1550110696"&gt;110&lt;/key&gt;&lt;/foreign-keys&gt;&lt;ref-type name="Report"&gt;27&lt;/ref-type&gt;&lt;contributors&gt;&lt;authors&gt;&lt;author&gt;King, O.C.&lt;/author&gt;&lt;author&gt;Smith, R.A.&lt;/author&gt;&lt;author&gt;Mann, R.&lt;/author&gt;&lt;author&gt;Warne M. St J.&lt;/author&gt;&lt;/authors&gt;&lt;/contributors&gt;&lt;titles&gt;&lt;title&gt;Proposed aquatic ecosystem protection guideline values for pesticides commonly used in the Great Barrier Reef catchment area: Part 1 (amended) - 2,4-D, Ametryn, Diuron, Glyphosate, Hexazinone, Imazapic, Imidacloprid, Isoxaflutole, Metolachlor, Metribuzin, Metsulfuron-methyl, Simazine, Tebuthiuron.&lt;/title&gt;&lt;/titles&gt;&lt;pages&gt;pp 296&lt;/pages&gt;&lt;dates&gt;&lt;year&gt;2017&lt;/year&gt;&lt;/dates&gt;&lt;pub-location&gt;Brisbane, Queensland, Australia&lt;/pub-location&gt;&lt;publisher&gt;Department of Environment and Science&lt;/publisher&gt;&lt;urls&gt;&lt;/urls&gt;&lt;/record&gt;&lt;/Cite&gt;&lt;/EndNote&gt;</w:instrText>
      </w:r>
      <w:r w:rsidR="002D0872">
        <w:rPr>
          <w:b w:val="0"/>
          <w:sz w:val="16"/>
          <w:lang w:val="en-AU" w:eastAsia="en-AU"/>
        </w:rPr>
        <w:fldChar w:fldCharType="separate"/>
      </w:r>
      <w:r w:rsidR="002D0872">
        <w:rPr>
          <w:b w:val="0"/>
          <w:noProof/>
          <w:sz w:val="16"/>
          <w:lang w:val="en-AU" w:eastAsia="en-AU"/>
        </w:rPr>
        <w:t>(King et al., 2017b; King et al., 2017c)</w:t>
      </w:r>
      <w:r w:rsidR="002D0872">
        <w:rPr>
          <w:b w:val="0"/>
          <w:sz w:val="16"/>
          <w:lang w:val="en-AU" w:eastAsia="en-AU"/>
        </w:rPr>
        <w:fldChar w:fldCharType="end"/>
      </w:r>
      <w:r w:rsidR="00FB5CF0">
        <w:rPr>
          <w:b w:val="0"/>
          <w:sz w:val="16"/>
          <w:lang w:val="en-AU" w:eastAsia="en-AU"/>
        </w:rPr>
        <w:t xml:space="preserve">(PC99, PC95, PC90 and PC80 are </w:t>
      </w:r>
      <w:r w:rsidR="002118E1">
        <w:rPr>
          <w:b w:val="0"/>
          <w:sz w:val="16"/>
          <w:lang w:val="en-AU" w:eastAsia="en-AU"/>
        </w:rPr>
        <w:t>derived</w:t>
      </w:r>
      <w:r w:rsidR="00FB5CF0">
        <w:rPr>
          <w:b w:val="0"/>
          <w:sz w:val="16"/>
          <w:lang w:val="en-AU" w:eastAsia="en-AU"/>
        </w:rPr>
        <w:t>, only PC99 relevant to the Reef</w:t>
      </w:r>
      <w:r w:rsidR="002118E1" w:rsidRPr="002118E1">
        <w:rPr>
          <w:b w:val="0"/>
          <w:sz w:val="16"/>
          <w:lang w:val="en-AU" w:eastAsia="en-AU"/>
        </w:rPr>
        <w:t xml:space="preserve"> </w:t>
      </w:r>
      <w:r w:rsidR="002118E1">
        <w:rPr>
          <w:b w:val="0"/>
          <w:sz w:val="16"/>
          <w:lang w:val="en-AU" w:eastAsia="en-AU"/>
        </w:rPr>
        <w:t>reported in the table</w:t>
      </w:r>
      <w:r w:rsidR="00FB5CF0">
        <w:rPr>
          <w:b w:val="0"/>
          <w:sz w:val="16"/>
          <w:lang w:val="en-AU" w:eastAsia="en-AU"/>
        </w:rPr>
        <w:t>)</w:t>
      </w:r>
    </w:p>
    <w:p w14:paraId="0F2570AC" w14:textId="77777777" w:rsidR="0059608E" w:rsidRPr="00B97E3E" w:rsidRDefault="00662785" w:rsidP="002439C8">
      <w:pPr>
        <w:spacing w:line="276" w:lineRule="auto"/>
        <w:jc w:val="left"/>
        <w:rPr>
          <w:sz w:val="16"/>
          <w:szCs w:val="16"/>
          <w:lang w:val="en-AU" w:eastAsia="en-AU"/>
        </w:rPr>
      </w:pPr>
      <w:r w:rsidRPr="004C5727">
        <w:rPr>
          <w:sz w:val="16"/>
          <w:szCs w:val="16"/>
          <w:vertAlign w:val="superscript"/>
          <w:lang w:val="en-AU" w:eastAsia="en-AU"/>
        </w:rPr>
        <w:t>c</w:t>
      </w:r>
      <w:r>
        <w:rPr>
          <w:sz w:val="16"/>
          <w:szCs w:val="16"/>
          <w:lang w:val="en-AU" w:eastAsia="en-AU"/>
        </w:rPr>
        <w:t xml:space="preserve"> </w:t>
      </w:r>
      <w:r>
        <w:rPr>
          <w:sz w:val="16"/>
          <w:szCs w:val="16"/>
          <w:vertAlign w:val="superscript"/>
          <w:lang w:val="en-AU" w:eastAsia="en-AU"/>
        </w:rPr>
        <w:t>d</w:t>
      </w:r>
      <w:r w:rsidRPr="00C65116">
        <w:rPr>
          <w:sz w:val="16"/>
          <w:szCs w:val="16"/>
          <w:lang w:val="en-AU" w:eastAsia="en-AU"/>
        </w:rPr>
        <w:t xml:space="preserve"> </w:t>
      </w:r>
      <w:r w:rsidR="00F47C7E">
        <w:rPr>
          <w:sz w:val="16"/>
          <w:szCs w:val="16"/>
          <w:lang w:val="en-AU" w:eastAsia="en-AU"/>
        </w:rPr>
        <w:t>Interim Working Level</w:t>
      </w:r>
      <w:r w:rsidR="0059608E" w:rsidRPr="00B97E3E">
        <w:rPr>
          <w:sz w:val="16"/>
          <w:szCs w:val="16"/>
          <w:lang w:val="en-AU" w:eastAsia="en-AU"/>
        </w:rPr>
        <w:t xml:space="preserve"> </w:t>
      </w:r>
      <w:r w:rsidR="004C5727">
        <w:rPr>
          <w:sz w:val="16"/>
          <w:szCs w:val="16"/>
          <w:lang w:val="en-AU" w:eastAsia="en-AU"/>
        </w:rPr>
        <w:t xml:space="preserve">(IWL) </w:t>
      </w:r>
      <w:r w:rsidR="00F47C7E">
        <w:rPr>
          <w:sz w:val="16"/>
          <w:szCs w:val="16"/>
          <w:lang w:val="en-AU" w:eastAsia="en-AU"/>
        </w:rPr>
        <w:t xml:space="preserve">(rather than </w:t>
      </w:r>
      <w:r>
        <w:rPr>
          <w:sz w:val="16"/>
          <w:szCs w:val="16"/>
          <w:lang w:val="en-AU" w:eastAsia="en-AU"/>
        </w:rPr>
        <w:t>trigger value</w:t>
      </w:r>
      <w:r w:rsidR="00F47C7E">
        <w:rPr>
          <w:sz w:val="16"/>
          <w:szCs w:val="16"/>
          <w:lang w:val="en-AU" w:eastAsia="en-AU"/>
        </w:rPr>
        <w:t>)</w:t>
      </w:r>
      <w:r w:rsidR="0059608E" w:rsidRPr="00B97E3E">
        <w:rPr>
          <w:sz w:val="16"/>
          <w:szCs w:val="16"/>
          <w:lang w:val="en-AU" w:eastAsia="en-AU"/>
        </w:rPr>
        <w:t xml:space="preserve"> as indicated in</w:t>
      </w:r>
      <w:r w:rsidR="004C5727">
        <w:rPr>
          <w:sz w:val="16"/>
          <w:szCs w:val="16"/>
          <w:lang w:val="en-AU" w:eastAsia="en-AU"/>
        </w:rPr>
        <w:t xml:space="preserve"> </w:t>
      </w:r>
      <w:r w:rsidR="00F47C7E" w:rsidRPr="00B97E3E">
        <w:rPr>
          <w:sz w:val="16"/>
          <w:szCs w:val="16"/>
          <w:lang w:val="en-AU" w:eastAsia="en-AU"/>
        </w:rPr>
        <w:t xml:space="preserve">f the ANZECC </w:t>
      </w:r>
      <w:r w:rsidR="00F47C7E">
        <w:rPr>
          <w:sz w:val="16"/>
          <w:szCs w:val="16"/>
          <w:lang w:val="en-AU" w:eastAsia="en-AU"/>
        </w:rPr>
        <w:t>G</w:t>
      </w:r>
      <w:r w:rsidR="00F47C7E" w:rsidRPr="00B97E3E">
        <w:rPr>
          <w:sz w:val="16"/>
          <w:szCs w:val="16"/>
          <w:lang w:val="en-AU" w:eastAsia="en-AU"/>
        </w:rPr>
        <w:t>uidelines</w:t>
      </w:r>
      <w:r w:rsidR="005A7CD5">
        <w:rPr>
          <w:sz w:val="16"/>
          <w:szCs w:val="16"/>
          <w:lang w:val="en-AU" w:eastAsia="en-AU"/>
        </w:rPr>
        <w:t xml:space="preserve"> </w:t>
      </w:r>
      <w:r w:rsidR="007B5109">
        <w:rPr>
          <w:sz w:val="16"/>
          <w:szCs w:val="16"/>
          <w:lang w:val="en-AU" w:eastAsia="en-AU"/>
        </w:rPr>
        <w:fldChar w:fldCharType="begin"/>
      </w:r>
      <w:r w:rsidR="007B5109">
        <w:rPr>
          <w:sz w:val="16"/>
          <w:szCs w:val="16"/>
          <w:lang w:val="en-AU" w:eastAsia="en-AU"/>
        </w:rPr>
        <w:instrText xml:space="preserve"> ADDIN EN.CITE &lt;EndNote&gt;&lt;Cite&gt;&lt;Author&gt;ANZECC&lt;/Author&gt;&lt;Year&gt;2018&lt;/Year&gt;&lt;RecNum&gt;114&lt;/RecNum&gt;&lt;DisplayText&gt;(ANZECC, 2018)&lt;/DisplayText&gt;&lt;record&gt;&lt;rec-number&gt;114&lt;/rec-number&gt;&lt;foreign-keys&gt;&lt;key app="EN" db-id="xtpvpwz0ufxa2me5tv6v2prn2ez5p9atsvtr" timestamp="1554356650"&gt;114&lt;/key&gt;&lt;/foreign-keys&gt;&lt;ref-type name="Government Document"&gt;46&lt;/ref-type&gt;&lt;contributors&gt;&lt;authors&gt;&lt;author&gt;ANZECC&lt;/author&gt;&lt;/authors&gt;&lt;secondary-authors&gt;&lt;author&gt;Australian and New Zealand Environment and Conservation Council&lt;/author&gt;&lt;/secondary-authors&gt;&lt;/contributors&gt;&lt;titles&gt;&lt;title&gt;Toxicant Default Guideline Values for Water Quality in Aquatic Ecosystems.&lt;/title&gt;&lt;/titles&gt;&lt;dates&gt;&lt;year&gt;2018&lt;/year&gt;&lt;/dates&gt;&lt;publisher&gt;Australian Government&lt;/publisher&gt;&lt;urls&gt;&lt;related-urls&gt;&lt;url&gt;http://waterquality.gov.au/anz-guidelines/guideline-values/default/water-quality-toxicants/search&lt;/url&gt;&lt;/related-urls&gt;&lt;/urls&gt;&lt;/record&gt;&lt;/Cite&gt;&lt;/EndNote&gt;</w:instrText>
      </w:r>
      <w:r w:rsidR="007B5109">
        <w:rPr>
          <w:sz w:val="16"/>
          <w:szCs w:val="16"/>
          <w:lang w:val="en-AU" w:eastAsia="en-AU"/>
        </w:rPr>
        <w:fldChar w:fldCharType="separate"/>
      </w:r>
      <w:r w:rsidR="007B5109">
        <w:rPr>
          <w:noProof/>
          <w:sz w:val="16"/>
          <w:szCs w:val="16"/>
          <w:lang w:val="en-AU" w:eastAsia="en-AU"/>
        </w:rPr>
        <w:t>(ANZECC, 2018)</w:t>
      </w:r>
      <w:r w:rsidR="007B5109">
        <w:rPr>
          <w:sz w:val="16"/>
          <w:szCs w:val="16"/>
          <w:lang w:val="en-AU" w:eastAsia="en-AU"/>
        </w:rPr>
        <w:fldChar w:fldCharType="end"/>
      </w:r>
    </w:p>
    <w:p w14:paraId="2A6040E4" w14:textId="77777777" w:rsidR="00CC75AA" w:rsidRDefault="00662785" w:rsidP="002439C8">
      <w:pPr>
        <w:spacing w:line="276" w:lineRule="auto"/>
        <w:jc w:val="left"/>
        <w:rPr>
          <w:sz w:val="16"/>
          <w:szCs w:val="16"/>
          <w:lang w:val="en-AU" w:eastAsia="en-AU"/>
        </w:rPr>
      </w:pPr>
      <w:r w:rsidRPr="00662785">
        <w:rPr>
          <w:sz w:val="16"/>
          <w:szCs w:val="16"/>
          <w:vertAlign w:val="superscript"/>
          <w:lang w:val="en-AU" w:eastAsia="en-AU"/>
        </w:rPr>
        <w:t>e</w:t>
      </w:r>
      <w:r>
        <w:rPr>
          <w:sz w:val="16"/>
          <w:szCs w:val="16"/>
          <w:lang w:val="en-AU" w:eastAsia="en-AU"/>
        </w:rPr>
        <w:t xml:space="preserve"> </w:t>
      </w:r>
      <w:r w:rsidR="005177E0" w:rsidRPr="00C65116">
        <w:rPr>
          <w:sz w:val="16"/>
          <w:szCs w:val="16"/>
          <w:lang w:val="en-AU" w:eastAsia="en-AU"/>
        </w:rPr>
        <w:t xml:space="preserve">Sourced from Table 26 &amp; Table 27 of the Water Quality Guidelines for the Great Barrier Reef Marine Park </w:t>
      </w:r>
      <w:r w:rsidR="00C91BF5">
        <w:rPr>
          <w:sz w:val="16"/>
          <w:szCs w:val="16"/>
          <w:lang w:val="en-AU" w:eastAsia="en-AU"/>
        </w:rPr>
        <w:fldChar w:fldCharType="begin"/>
      </w:r>
      <w:r w:rsidR="0018079F">
        <w:rPr>
          <w:sz w:val="16"/>
          <w:szCs w:val="16"/>
          <w:lang w:val="en-AU" w:eastAsia="en-AU"/>
        </w:rPr>
        <w:instrText xml:space="preserve"> ADDIN EN.CITE &lt;EndNote&gt;&lt;Cite&gt;&lt;Author&gt;GBRMPA&lt;/Author&gt;&lt;Year&gt;2010&lt;/Year&gt;&lt;RecNum&gt;85&lt;/RecNum&gt;&lt;DisplayText&gt;(GBRMPA, 2010)&lt;/DisplayText&gt;&lt;record&gt;&lt;rec-number&gt;85&lt;/rec-number&gt;&lt;foreign-keys&gt;&lt;key app="EN" db-id="xtpvpwz0ufxa2me5tv6v2prn2ez5p9atsvtr" timestamp="1539144945"&gt;85&lt;/key&gt;&lt;/foreign-keys&gt;&lt;ref-type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2010.&lt;/title&gt;&lt;/titles&gt;&lt;dates&gt;&lt;year&gt;2010&lt;/year&gt;&lt;/dates&gt;&lt;pub-location&gt;Great Barrier Reef Marine Park Authority, Townsville&lt;/pub-location&gt;&lt;urls&gt;&lt;/urls&gt;&lt;/record&gt;&lt;/Cite&gt;&lt;/EndNote&gt;</w:instrText>
      </w:r>
      <w:r w:rsidR="00C91BF5">
        <w:rPr>
          <w:sz w:val="16"/>
          <w:szCs w:val="16"/>
          <w:lang w:val="en-AU" w:eastAsia="en-AU"/>
        </w:rPr>
        <w:fldChar w:fldCharType="separate"/>
      </w:r>
      <w:r w:rsidR="00B33845">
        <w:rPr>
          <w:noProof/>
          <w:sz w:val="16"/>
          <w:szCs w:val="16"/>
          <w:lang w:val="en-AU" w:eastAsia="en-AU"/>
        </w:rPr>
        <w:t>(GBRMPA, 2010)</w:t>
      </w:r>
      <w:r w:rsidR="00C91BF5">
        <w:rPr>
          <w:sz w:val="16"/>
          <w:szCs w:val="16"/>
          <w:lang w:val="en-AU" w:eastAsia="en-AU"/>
        </w:rPr>
        <w:fldChar w:fldCharType="end"/>
      </w:r>
      <w:bookmarkStart w:id="664" w:name="_Toc461457786"/>
    </w:p>
    <w:p w14:paraId="49A62C77" w14:textId="77777777" w:rsidR="00CC75AA" w:rsidRPr="00CC75AA" w:rsidRDefault="00CC75AA" w:rsidP="002439C8">
      <w:pPr>
        <w:spacing w:line="276" w:lineRule="auto"/>
        <w:jc w:val="left"/>
        <w:rPr>
          <w:sz w:val="16"/>
          <w:szCs w:val="16"/>
          <w:lang w:val="en-AU" w:eastAsia="en-AU"/>
        </w:rPr>
        <w:sectPr w:rsidR="00CC75AA" w:rsidRPr="00CC75AA" w:rsidSect="009E5D22">
          <w:type w:val="continuous"/>
          <w:pgSz w:w="16840" w:h="11907" w:orient="landscape" w:code="9"/>
          <w:pgMar w:top="1440" w:right="1440" w:bottom="1440" w:left="1440" w:header="709" w:footer="709" w:gutter="0"/>
          <w:cols w:space="708"/>
          <w:docGrid w:linePitch="360"/>
        </w:sectPr>
      </w:pPr>
      <w:r>
        <w:rPr>
          <w:sz w:val="16"/>
          <w:szCs w:val="16"/>
          <w:lang w:val="en-AU" w:eastAsia="en-AU"/>
        </w:rPr>
        <w:t xml:space="preserve">ID - </w:t>
      </w:r>
      <w:r w:rsidRPr="00CC75AA">
        <w:rPr>
          <w:sz w:val="16"/>
          <w:szCs w:val="16"/>
          <w:lang w:val="en-AU" w:eastAsia="en-AU"/>
        </w:rPr>
        <w:t xml:space="preserve">insufficient </w:t>
      </w:r>
      <w:r>
        <w:rPr>
          <w:sz w:val="16"/>
          <w:szCs w:val="16"/>
          <w:lang w:val="en-AU" w:eastAsia="en-AU"/>
        </w:rPr>
        <w:t xml:space="preserve">data </w:t>
      </w:r>
      <w:r w:rsidRPr="00CC75AA">
        <w:rPr>
          <w:sz w:val="16"/>
          <w:szCs w:val="16"/>
          <w:lang w:val="en-AU" w:eastAsia="en-AU"/>
        </w:rPr>
        <w:t xml:space="preserve">were available </w:t>
      </w:r>
      <w:r>
        <w:rPr>
          <w:sz w:val="16"/>
          <w:szCs w:val="16"/>
          <w:lang w:val="en-AU" w:eastAsia="en-AU"/>
        </w:rPr>
        <w:t>to determine a trigger value</w:t>
      </w:r>
    </w:p>
    <w:p w14:paraId="0704AF92" w14:textId="77777777" w:rsidR="0059608E" w:rsidRDefault="00494403" w:rsidP="002439C8">
      <w:pPr>
        <w:pStyle w:val="Heading7"/>
        <w:spacing w:after="240"/>
        <w:ind w:left="425" w:hanging="425"/>
      </w:pPr>
      <w:bookmarkStart w:id="665" w:name="_Ref480726820"/>
      <w:bookmarkStart w:id="666" w:name="_Ref480726901"/>
      <w:bookmarkStart w:id="667" w:name="_Ref480726972"/>
      <w:bookmarkStart w:id="668" w:name="_Ref508628799"/>
      <w:r>
        <w:t>Supp</w:t>
      </w:r>
      <w:r w:rsidR="00313970">
        <w:t xml:space="preserve">lemental information on </w:t>
      </w:r>
      <w:r w:rsidR="0069140B" w:rsidRPr="0069140B">
        <w:t>risk assessment metric</w:t>
      </w:r>
      <w:bookmarkEnd w:id="664"/>
      <w:bookmarkEnd w:id="665"/>
      <w:bookmarkEnd w:id="666"/>
      <w:bookmarkEnd w:id="667"/>
      <w:r w:rsidR="0069140B" w:rsidRPr="0069140B">
        <w:t>s</w:t>
      </w:r>
      <w:bookmarkEnd w:id="668"/>
    </w:p>
    <w:p w14:paraId="59D01B73" w14:textId="0CA21882" w:rsidR="00032FED" w:rsidRPr="0069140B" w:rsidRDefault="0069140B" w:rsidP="002439C8">
      <w:pPr>
        <w:spacing w:line="276" w:lineRule="auto"/>
        <w:jc w:val="left"/>
        <w:rPr>
          <w:b/>
          <w:bCs/>
          <w:sz w:val="24"/>
          <w:szCs w:val="26"/>
          <w:lang w:val="en-AU" w:bidi="ar-SA"/>
        </w:rPr>
      </w:pPr>
      <w:bookmarkStart w:id="669" w:name="_Ref480881541"/>
      <w:r w:rsidRPr="008232E9">
        <w:rPr>
          <w:b/>
          <w:bCs/>
          <w:sz w:val="26"/>
          <w:szCs w:val="26"/>
          <w:lang w:val="en-AU" w:bidi="ar-SA"/>
        </w:rPr>
        <w:t>C-</w:t>
      </w:r>
      <w:r>
        <w:rPr>
          <w:b/>
          <w:bCs/>
          <w:sz w:val="26"/>
          <w:szCs w:val="26"/>
          <w:lang w:val="en-AU" w:bidi="ar-SA"/>
        </w:rPr>
        <w:t>1</w:t>
      </w:r>
      <w:r w:rsidRPr="008232E9">
        <w:rPr>
          <w:b/>
          <w:bCs/>
          <w:sz w:val="26"/>
          <w:szCs w:val="26"/>
          <w:lang w:val="en-AU" w:bidi="ar-SA"/>
        </w:rPr>
        <w:t>.</w:t>
      </w:r>
      <w:r>
        <w:rPr>
          <w:bCs/>
          <w:sz w:val="26"/>
          <w:szCs w:val="26"/>
          <w:lang w:val="en-AU" w:bidi="ar-SA"/>
        </w:rPr>
        <w:t xml:space="preserve">   </w:t>
      </w:r>
      <w:r>
        <w:rPr>
          <w:b/>
          <w:sz w:val="24"/>
        </w:rPr>
        <w:t>Overview of risk assessment metric</w:t>
      </w:r>
      <w:r w:rsidR="00032FED">
        <w:rPr>
          <w:b/>
          <w:sz w:val="24"/>
        </w:rPr>
        <w:t xml:space="preserve">: </w:t>
      </w:r>
      <w:r w:rsidR="00032FED" w:rsidRPr="0069140B">
        <w:rPr>
          <w:b/>
          <w:bCs/>
          <w:sz w:val="24"/>
          <w:szCs w:val="26"/>
          <w:lang w:val="en-AU" w:bidi="ar-SA"/>
        </w:rPr>
        <w:t>Multisubstance-potentially affected fraction (</w:t>
      </w:r>
      <w:r w:rsidR="005E2B71">
        <w:rPr>
          <w:b/>
          <w:bCs/>
          <w:sz w:val="24"/>
          <w:szCs w:val="26"/>
          <w:lang w:val="en-AU" w:bidi="ar-SA"/>
        </w:rPr>
        <w:t>ms</w:t>
      </w:r>
      <w:r w:rsidR="005E2B71">
        <w:rPr>
          <w:b/>
          <w:bCs/>
          <w:sz w:val="24"/>
          <w:szCs w:val="26"/>
          <w:lang w:val="en-AU" w:bidi="ar-SA"/>
        </w:rPr>
        <w:noBreakHyphen/>
        <w:t>PAF</w:t>
      </w:r>
      <w:r w:rsidR="00032FED" w:rsidRPr="0069140B">
        <w:rPr>
          <w:b/>
          <w:bCs/>
          <w:sz w:val="24"/>
          <w:szCs w:val="26"/>
          <w:lang w:val="en-AU" w:bidi="ar-SA"/>
        </w:rPr>
        <w:t>) method</w:t>
      </w:r>
    </w:p>
    <w:p w14:paraId="1FB9F973" w14:textId="09316387" w:rsidR="0088154A" w:rsidRDefault="0088154A" w:rsidP="002439C8">
      <w:pPr>
        <w:jc w:val="left"/>
        <w:rPr>
          <w:rFonts w:cstheme="minorHAnsi"/>
        </w:rPr>
      </w:pPr>
      <w:r w:rsidRPr="00CD227A">
        <w:rPr>
          <w:rFonts w:cstheme="minorHAnsi"/>
        </w:rPr>
        <w:t xml:space="preserve">Pesticide condition for the </w:t>
      </w:r>
      <w:r w:rsidRPr="00C7032A">
        <w:rPr>
          <w:rFonts w:cstheme="minorHAnsi"/>
        </w:rPr>
        <w:t>2018 report card</w:t>
      </w:r>
      <w:r w:rsidRPr="00CD227A">
        <w:rPr>
          <w:rFonts w:cstheme="minorHAnsi"/>
        </w:rPr>
        <w:t xml:space="preserve"> was based on the monitored concentrations of up to </w:t>
      </w:r>
      <w:r>
        <w:rPr>
          <w:rFonts w:cstheme="minorHAnsi"/>
        </w:rPr>
        <w:t xml:space="preserve">19 </w:t>
      </w:r>
      <w:r w:rsidRPr="00CD227A">
        <w:rPr>
          <w:rFonts w:cstheme="minorHAnsi"/>
        </w:rPr>
        <w:t>pesticides (</w:t>
      </w:r>
      <w:r>
        <w:rPr>
          <w:rFonts w:cstheme="minorHAnsi"/>
        </w:rPr>
        <w:fldChar w:fldCharType="begin"/>
      </w:r>
      <w:r>
        <w:rPr>
          <w:rFonts w:cstheme="minorHAnsi"/>
        </w:rPr>
        <w:instrText xml:space="preserve"> REF _Ref5608615 \h </w:instrText>
      </w:r>
      <w:r w:rsidR="002439C8">
        <w:rPr>
          <w:rFonts w:cstheme="minorHAnsi"/>
        </w:rPr>
        <w:instrText xml:space="preserve"> \* MERGEFORMAT </w:instrText>
      </w:r>
      <w:r>
        <w:rPr>
          <w:rFonts w:cstheme="minorHAnsi"/>
        </w:rPr>
      </w:r>
      <w:r>
        <w:rPr>
          <w:rFonts w:cstheme="minorHAnsi"/>
        </w:rPr>
        <w:fldChar w:fldCharType="separate"/>
      </w:r>
      <w:r w:rsidR="00251B46" w:rsidRPr="008C4AFC">
        <w:t xml:space="preserve">Table </w:t>
      </w:r>
      <w:r w:rsidR="00251B46" w:rsidRPr="00251B46">
        <w:rPr>
          <w:noProof/>
        </w:rPr>
        <w:t>6</w:t>
      </w:r>
      <w:r>
        <w:rPr>
          <w:rFonts w:cstheme="minorHAnsi"/>
        </w:rPr>
        <w:fldChar w:fldCharType="end"/>
      </w:r>
      <w:r w:rsidRPr="00CD227A">
        <w:rPr>
          <w:rFonts w:cstheme="minorHAnsi"/>
        </w:rPr>
        <w:t>)</w:t>
      </w:r>
      <w:r>
        <w:rPr>
          <w:rFonts w:cstheme="minorHAnsi"/>
        </w:rPr>
        <w:t xml:space="preserve"> in passive sampler devices and grab samples over the year</w:t>
      </w:r>
      <w:r w:rsidRPr="00CD227A">
        <w:rPr>
          <w:rFonts w:cstheme="minorHAnsi"/>
        </w:rPr>
        <w:t>.</w:t>
      </w:r>
      <w:r>
        <w:rPr>
          <w:rFonts w:cstheme="minorHAnsi"/>
        </w:rPr>
        <w:t xml:space="preserve"> This differs from pesticide condition in the catchments, which is based on multiple grab samples over the wet season. Passive samplers provide a single time integrated concentration for each sampler representing the entire deployment time (typically four weeks).</w:t>
      </w:r>
    </w:p>
    <w:p w14:paraId="3CA36F1E" w14:textId="77777777" w:rsidR="0088154A" w:rsidRDefault="0088154A" w:rsidP="002439C8">
      <w:pPr>
        <w:jc w:val="left"/>
        <w:rPr>
          <w:rFonts w:cstheme="minorHAnsi"/>
        </w:rPr>
      </w:pPr>
    </w:p>
    <w:p w14:paraId="64EAB088" w14:textId="77777777" w:rsidR="0088154A" w:rsidRDefault="0088154A" w:rsidP="002439C8">
      <w:pPr>
        <w:jc w:val="left"/>
      </w:pPr>
      <w:r>
        <w:t xml:space="preserve">Passive samplers allow for a longer-term ‘average’ concentration to be identified, which suits annual condition reporting. While grab samples have the potential to identify acute, rapid, irregular peaks in pesticide concentration, this is only the case </w:t>
      </w:r>
      <w:r w:rsidR="007D68AF">
        <w:t>if taken at the opportune time.</w:t>
      </w:r>
    </w:p>
    <w:p w14:paraId="1A833B0F" w14:textId="77777777" w:rsidR="0088154A" w:rsidRPr="008C4AFC" w:rsidRDefault="0088154A" w:rsidP="002439C8">
      <w:pPr>
        <w:jc w:val="left"/>
        <w:rPr>
          <w:rFonts w:cstheme="minorHAnsi"/>
        </w:rPr>
      </w:pPr>
    </w:p>
    <w:p w14:paraId="1E09A022" w14:textId="1FB6BF1D" w:rsidR="00954FCA" w:rsidRPr="00CB093C" w:rsidRDefault="0088154A" w:rsidP="00954FCA">
      <w:pPr>
        <w:pStyle w:val="Caption"/>
        <w:rPr>
          <w:rFonts w:cs="Arial"/>
          <w:i/>
          <w:vanish/>
          <w:color w:val="000000"/>
          <w:specVanish/>
        </w:rPr>
      </w:pPr>
      <w:bookmarkStart w:id="670" w:name="_Ref5608615"/>
      <w:bookmarkStart w:id="671" w:name="_Toc14435327"/>
      <w:bookmarkStart w:id="672" w:name="_Toc6916720"/>
      <w:r w:rsidRPr="008C4AFC">
        <w:rPr>
          <w:b w:val="0"/>
        </w:rPr>
        <w:t xml:space="preserve">Table </w:t>
      </w:r>
      <w:r w:rsidRPr="008C4AFC">
        <w:rPr>
          <w:b w:val="0"/>
        </w:rPr>
        <w:fldChar w:fldCharType="begin"/>
      </w:r>
      <w:r w:rsidRPr="008C4AFC">
        <w:rPr>
          <w:b w:val="0"/>
        </w:rPr>
        <w:instrText xml:space="preserve"> SEQ Table \* ARABIC </w:instrText>
      </w:r>
      <w:r w:rsidRPr="008C4AFC">
        <w:rPr>
          <w:b w:val="0"/>
        </w:rPr>
        <w:fldChar w:fldCharType="separate"/>
      </w:r>
      <w:r w:rsidR="00251B46">
        <w:rPr>
          <w:b w:val="0"/>
          <w:noProof/>
        </w:rPr>
        <w:t>6</w:t>
      </w:r>
      <w:r w:rsidRPr="008C4AFC">
        <w:rPr>
          <w:b w:val="0"/>
        </w:rPr>
        <w:fldChar w:fldCharType="end"/>
      </w:r>
      <w:bookmarkEnd w:id="670"/>
      <w:r w:rsidRPr="008C4AFC">
        <w:rPr>
          <w:b w:val="0"/>
        </w:rPr>
        <w:t xml:space="preserve">: Pesticides detected in passive sampler devices that were assessed using the </w:t>
      </w:r>
      <w:r w:rsidR="005E2B71">
        <w:rPr>
          <w:b w:val="0"/>
        </w:rPr>
        <w:t>ms</w:t>
      </w:r>
      <w:r w:rsidR="005E2B71">
        <w:rPr>
          <w:b w:val="0"/>
        </w:rPr>
        <w:noBreakHyphen/>
        <w:t>PAF</w:t>
      </w:r>
      <w:r w:rsidRPr="008C4AFC">
        <w:rPr>
          <w:b w:val="0"/>
        </w:rPr>
        <w:t xml:space="preserve"> method for multiple pesticides.</w:t>
      </w:r>
      <w:bookmarkEnd w:id="671"/>
    </w:p>
    <w:p w14:paraId="377D6646" w14:textId="3A590832" w:rsidR="0088154A" w:rsidRPr="008C4AFC" w:rsidRDefault="0088154A" w:rsidP="002439C8">
      <w:pPr>
        <w:pStyle w:val="Caption"/>
        <w:keepNext/>
        <w:rPr>
          <w:b w:val="0"/>
        </w:rPr>
      </w:pPr>
      <w:r w:rsidRPr="008C4AFC">
        <w:rPr>
          <w:b w:val="0"/>
        </w:rPr>
        <w:t xml:space="preserve"> Not all of the listed pesticides were necessarily detected in collected water samples.</w:t>
      </w:r>
      <w:bookmarkEnd w:id="672"/>
    </w:p>
    <w:tbl>
      <w:tblPr>
        <w:tblStyle w:val="TableGrid3"/>
        <w:tblW w:w="5000" w:type="pct"/>
        <w:tblLayout w:type="fixed"/>
        <w:tblLook w:val="04A0" w:firstRow="1" w:lastRow="0" w:firstColumn="1" w:lastColumn="0" w:noHBand="0" w:noVBand="1"/>
        <w:tblCaption w:val="Table 6"/>
        <w:tblDescription w:val="Pesticides detected in passive sampler devices that were assessed using the ms-PAF method for multiple pesticides. Not all of the listed pesticides were necessarily detected in collected water samples."/>
      </w:tblPr>
      <w:tblGrid>
        <w:gridCol w:w="1697"/>
        <w:gridCol w:w="1560"/>
        <w:gridCol w:w="5760"/>
      </w:tblGrid>
      <w:tr w:rsidR="0088154A" w:rsidRPr="00CD227A" w14:paraId="4CA86796" w14:textId="77777777" w:rsidTr="00553D7D">
        <w:trPr>
          <w:trHeight w:val="300"/>
          <w:tblHeader/>
        </w:trPr>
        <w:tc>
          <w:tcPr>
            <w:tcW w:w="941" w:type="pct"/>
            <w:noWrap/>
            <w:vAlign w:val="center"/>
          </w:tcPr>
          <w:p w14:paraId="60C94B44" w14:textId="77777777" w:rsidR="0088154A" w:rsidRPr="00CD227A" w:rsidRDefault="0088154A" w:rsidP="002439C8">
            <w:pPr>
              <w:spacing w:before="100" w:beforeAutospacing="1" w:after="100" w:afterAutospacing="1"/>
              <w:jc w:val="left"/>
              <w:rPr>
                <w:rFonts w:asciiTheme="minorHAnsi" w:hAnsiTheme="minorHAnsi" w:cstheme="minorHAnsi"/>
                <w:b/>
                <w:bCs/>
                <w:color w:val="000000"/>
                <w:sz w:val="18"/>
                <w:szCs w:val="18"/>
              </w:rPr>
            </w:pPr>
            <w:r w:rsidRPr="00CD227A">
              <w:rPr>
                <w:rFonts w:asciiTheme="minorHAnsi" w:hAnsiTheme="minorHAnsi" w:cstheme="minorHAnsi"/>
                <w:b/>
                <w:color w:val="000000"/>
                <w:sz w:val="18"/>
                <w:szCs w:val="18"/>
              </w:rPr>
              <w:t>Name of pesticide</w:t>
            </w:r>
          </w:p>
        </w:tc>
        <w:tc>
          <w:tcPr>
            <w:tcW w:w="865" w:type="pct"/>
            <w:vAlign w:val="center"/>
          </w:tcPr>
          <w:p w14:paraId="2559669E" w14:textId="77777777" w:rsidR="0088154A" w:rsidRPr="00CD227A" w:rsidRDefault="0088154A" w:rsidP="002439C8">
            <w:pPr>
              <w:spacing w:before="100" w:beforeAutospacing="1" w:after="100" w:afterAutospacing="1"/>
              <w:jc w:val="left"/>
              <w:rPr>
                <w:rFonts w:asciiTheme="minorHAnsi" w:hAnsiTheme="minorHAnsi" w:cstheme="minorHAnsi"/>
                <w:b/>
                <w:color w:val="000000"/>
                <w:sz w:val="18"/>
                <w:szCs w:val="18"/>
              </w:rPr>
            </w:pPr>
            <w:r w:rsidRPr="00CD227A">
              <w:rPr>
                <w:rFonts w:asciiTheme="minorHAnsi" w:hAnsiTheme="minorHAnsi" w:cstheme="minorHAnsi"/>
                <w:b/>
                <w:color w:val="000000"/>
                <w:sz w:val="18"/>
                <w:szCs w:val="18"/>
              </w:rPr>
              <w:t>Type</w:t>
            </w:r>
          </w:p>
        </w:tc>
        <w:tc>
          <w:tcPr>
            <w:tcW w:w="3194" w:type="pct"/>
            <w:noWrap/>
            <w:vAlign w:val="center"/>
          </w:tcPr>
          <w:p w14:paraId="71C278FD" w14:textId="77777777" w:rsidR="0088154A" w:rsidRPr="00CD227A" w:rsidRDefault="0088154A" w:rsidP="002439C8">
            <w:pPr>
              <w:spacing w:before="100" w:beforeAutospacing="1" w:after="100" w:afterAutospacing="1"/>
              <w:jc w:val="left"/>
              <w:rPr>
                <w:rFonts w:asciiTheme="minorHAnsi" w:hAnsiTheme="minorHAnsi" w:cstheme="minorHAnsi"/>
                <w:b/>
                <w:color w:val="000000"/>
                <w:sz w:val="18"/>
                <w:szCs w:val="18"/>
              </w:rPr>
            </w:pPr>
            <w:r w:rsidRPr="00CD227A">
              <w:rPr>
                <w:rFonts w:asciiTheme="minorHAnsi" w:hAnsiTheme="minorHAnsi" w:cstheme="minorHAnsi"/>
                <w:b/>
                <w:color w:val="000000"/>
                <w:sz w:val="18"/>
                <w:szCs w:val="18"/>
              </w:rPr>
              <w:t>MoA</w:t>
            </w:r>
          </w:p>
        </w:tc>
      </w:tr>
      <w:tr w:rsidR="0088154A" w:rsidRPr="00CD227A" w14:paraId="6542B2F3" w14:textId="77777777" w:rsidTr="008844FF">
        <w:trPr>
          <w:trHeight w:val="300"/>
        </w:trPr>
        <w:tc>
          <w:tcPr>
            <w:tcW w:w="941" w:type="pct"/>
            <w:noWrap/>
            <w:vAlign w:val="center"/>
            <w:hideMark/>
          </w:tcPr>
          <w:p w14:paraId="739AD20F" w14:textId="77777777" w:rsidR="0088154A" w:rsidRPr="00CD227A" w:rsidRDefault="0088154A" w:rsidP="002439C8">
            <w:pPr>
              <w:spacing w:before="100" w:beforeAutospacing="1" w:after="100" w:afterAutospacing="1"/>
              <w:jc w:val="left"/>
              <w:rPr>
                <w:rFonts w:asciiTheme="minorHAnsi" w:hAnsiTheme="minorHAnsi" w:cstheme="minorHAnsi"/>
                <w:b/>
                <w:color w:val="000000"/>
                <w:sz w:val="18"/>
                <w:szCs w:val="18"/>
              </w:rPr>
            </w:pPr>
            <w:r w:rsidRPr="00CD227A">
              <w:rPr>
                <w:rFonts w:asciiTheme="minorHAnsi" w:hAnsiTheme="minorHAnsi" w:cstheme="minorHAnsi"/>
                <w:color w:val="000000"/>
                <w:sz w:val="18"/>
                <w:szCs w:val="18"/>
              </w:rPr>
              <w:t>Chlorpyrifos</w:t>
            </w:r>
          </w:p>
        </w:tc>
        <w:tc>
          <w:tcPr>
            <w:tcW w:w="865" w:type="pct"/>
            <w:vAlign w:val="center"/>
          </w:tcPr>
          <w:p w14:paraId="15799139"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Insecticide</w:t>
            </w:r>
          </w:p>
        </w:tc>
        <w:tc>
          <w:tcPr>
            <w:tcW w:w="3194" w:type="pct"/>
            <w:noWrap/>
            <w:vAlign w:val="center"/>
            <w:hideMark/>
          </w:tcPr>
          <w:p w14:paraId="73C4F046"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Acetylcholine esterase (AChE) inhibitor</w:t>
            </w:r>
          </w:p>
        </w:tc>
      </w:tr>
      <w:tr w:rsidR="0088154A" w:rsidRPr="00CD227A" w14:paraId="32149990" w14:textId="77777777" w:rsidTr="008844FF">
        <w:trPr>
          <w:trHeight w:val="300"/>
        </w:trPr>
        <w:tc>
          <w:tcPr>
            <w:tcW w:w="941" w:type="pct"/>
            <w:noWrap/>
            <w:vAlign w:val="center"/>
            <w:hideMark/>
          </w:tcPr>
          <w:p w14:paraId="4AD8087E" w14:textId="77777777" w:rsidR="0088154A" w:rsidRPr="00CD227A" w:rsidRDefault="0088154A" w:rsidP="002439C8">
            <w:pPr>
              <w:spacing w:before="100" w:beforeAutospacing="1" w:after="100" w:afterAutospacing="1"/>
              <w:jc w:val="left"/>
              <w:rPr>
                <w:rFonts w:asciiTheme="minorHAnsi" w:hAnsiTheme="minorHAnsi" w:cstheme="minorHAnsi"/>
                <w:b/>
                <w:color w:val="000000"/>
                <w:sz w:val="18"/>
                <w:szCs w:val="18"/>
              </w:rPr>
            </w:pPr>
            <w:r w:rsidRPr="00CD227A">
              <w:rPr>
                <w:rFonts w:asciiTheme="minorHAnsi" w:hAnsiTheme="minorHAnsi" w:cstheme="minorHAnsi"/>
                <w:color w:val="000000"/>
                <w:sz w:val="18"/>
                <w:szCs w:val="18"/>
              </w:rPr>
              <w:t>Imidacloprid</w:t>
            </w:r>
          </w:p>
        </w:tc>
        <w:tc>
          <w:tcPr>
            <w:tcW w:w="865" w:type="pct"/>
            <w:vAlign w:val="center"/>
          </w:tcPr>
          <w:p w14:paraId="5CCA990C"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Insecticide</w:t>
            </w:r>
          </w:p>
        </w:tc>
        <w:tc>
          <w:tcPr>
            <w:tcW w:w="3194" w:type="pct"/>
            <w:noWrap/>
            <w:vAlign w:val="center"/>
            <w:hideMark/>
          </w:tcPr>
          <w:p w14:paraId="635E41F1"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Nicotinic receptor agonist</w:t>
            </w:r>
          </w:p>
        </w:tc>
      </w:tr>
      <w:tr w:rsidR="0088154A" w:rsidRPr="00CD227A" w14:paraId="32AFBCCD" w14:textId="77777777" w:rsidTr="008844FF">
        <w:trPr>
          <w:trHeight w:val="300"/>
        </w:trPr>
        <w:tc>
          <w:tcPr>
            <w:tcW w:w="941" w:type="pct"/>
            <w:noWrap/>
            <w:vAlign w:val="center"/>
            <w:hideMark/>
          </w:tcPr>
          <w:p w14:paraId="5B53E913" w14:textId="77777777" w:rsidR="0088154A" w:rsidRPr="00CD227A" w:rsidRDefault="0088154A" w:rsidP="002439C8">
            <w:pPr>
              <w:spacing w:before="100" w:beforeAutospacing="1" w:after="100" w:afterAutospacing="1"/>
              <w:jc w:val="left"/>
              <w:rPr>
                <w:rFonts w:asciiTheme="minorHAnsi" w:hAnsiTheme="minorHAnsi" w:cstheme="minorHAnsi"/>
                <w:b/>
                <w:color w:val="000000"/>
                <w:sz w:val="18"/>
                <w:szCs w:val="18"/>
              </w:rPr>
            </w:pPr>
            <w:r w:rsidRPr="00CD227A">
              <w:rPr>
                <w:rFonts w:asciiTheme="minorHAnsi" w:hAnsiTheme="minorHAnsi" w:cstheme="minorHAnsi"/>
                <w:color w:val="000000"/>
                <w:sz w:val="18"/>
                <w:szCs w:val="18"/>
              </w:rPr>
              <w:t>Haloxyfop</w:t>
            </w:r>
          </w:p>
        </w:tc>
        <w:tc>
          <w:tcPr>
            <w:tcW w:w="865" w:type="pct"/>
            <w:vAlign w:val="center"/>
          </w:tcPr>
          <w:p w14:paraId="3D216DD9"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noWrap/>
            <w:vAlign w:val="center"/>
            <w:hideMark/>
          </w:tcPr>
          <w:p w14:paraId="467FDF8B"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Acetyl-coenzyme A carboxylase (ACCase) inhibitor</w:t>
            </w:r>
          </w:p>
        </w:tc>
      </w:tr>
      <w:tr w:rsidR="0088154A" w:rsidRPr="00CD227A" w14:paraId="0DFE675E" w14:textId="77777777" w:rsidTr="008844FF">
        <w:trPr>
          <w:trHeight w:val="300"/>
        </w:trPr>
        <w:tc>
          <w:tcPr>
            <w:tcW w:w="941" w:type="pct"/>
            <w:noWrap/>
            <w:vAlign w:val="center"/>
          </w:tcPr>
          <w:p w14:paraId="1AEACE21" w14:textId="77777777" w:rsidR="0088154A" w:rsidRPr="00CD227A" w:rsidRDefault="0088154A" w:rsidP="002439C8">
            <w:pPr>
              <w:spacing w:before="100" w:beforeAutospacing="1" w:after="100" w:afterAutospacing="1"/>
              <w:jc w:val="left"/>
              <w:rPr>
                <w:rFonts w:asciiTheme="minorHAnsi" w:hAnsiTheme="minorHAnsi" w:cstheme="minorHAnsi"/>
                <w:b/>
                <w:color w:val="000000"/>
                <w:sz w:val="18"/>
                <w:szCs w:val="18"/>
              </w:rPr>
            </w:pPr>
            <w:r w:rsidRPr="00CD227A">
              <w:rPr>
                <w:rFonts w:asciiTheme="minorHAnsi" w:hAnsiTheme="minorHAnsi" w:cstheme="minorHAnsi"/>
                <w:color w:val="000000"/>
                <w:sz w:val="18"/>
                <w:szCs w:val="18"/>
              </w:rPr>
              <w:t>Imazapic</w:t>
            </w:r>
          </w:p>
        </w:tc>
        <w:tc>
          <w:tcPr>
            <w:tcW w:w="865" w:type="pct"/>
            <w:vAlign w:val="center"/>
          </w:tcPr>
          <w:p w14:paraId="3CF290AB"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noWrap/>
            <w:vAlign w:val="center"/>
          </w:tcPr>
          <w:p w14:paraId="40A4D14E"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Group 1 Acetolactate synthase (ALS) inhibitor</w:t>
            </w:r>
          </w:p>
        </w:tc>
      </w:tr>
      <w:tr w:rsidR="0088154A" w:rsidRPr="00CD227A" w14:paraId="2C9AF252" w14:textId="77777777" w:rsidTr="008844FF">
        <w:trPr>
          <w:trHeight w:val="300"/>
        </w:trPr>
        <w:tc>
          <w:tcPr>
            <w:tcW w:w="941" w:type="pct"/>
            <w:noWrap/>
            <w:vAlign w:val="center"/>
          </w:tcPr>
          <w:p w14:paraId="73D0464E" w14:textId="77777777" w:rsidR="0088154A" w:rsidRPr="00CD227A" w:rsidRDefault="0088154A" w:rsidP="002439C8">
            <w:pPr>
              <w:spacing w:before="100" w:beforeAutospacing="1" w:after="100" w:afterAutospacing="1"/>
              <w:jc w:val="left"/>
              <w:rPr>
                <w:rFonts w:asciiTheme="minorHAnsi" w:hAnsiTheme="minorHAnsi" w:cstheme="minorHAnsi"/>
                <w:b/>
                <w:color w:val="000000"/>
                <w:sz w:val="18"/>
                <w:szCs w:val="18"/>
              </w:rPr>
            </w:pPr>
            <w:r w:rsidRPr="00CD227A">
              <w:rPr>
                <w:rFonts w:asciiTheme="minorHAnsi" w:hAnsiTheme="minorHAnsi" w:cstheme="minorHAnsi"/>
                <w:color w:val="000000"/>
                <w:sz w:val="18"/>
                <w:szCs w:val="18"/>
              </w:rPr>
              <w:t>Metsulfuron-methyl</w:t>
            </w:r>
          </w:p>
        </w:tc>
        <w:tc>
          <w:tcPr>
            <w:tcW w:w="865" w:type="pct"/>
            <w:vAlign w:val="center"/>
          </w:tcPr>
          <w:p w14:paraId="18261147"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noWrap/>
            <w:vAlign w:val="center"/>
          </w:tcPr>
          <w:p w14:paraId="07719CD9"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Group 2 Acetolactate synthase (ALS) inhibitor</w:t>
            </w:r>
          </w:p>
        </w:tc>
      </w:tr>
      <w:tr w:rsidR="0088154A" w:rsidRPr="00CD227A" w14:paraId="4D81CE32" w14:textId="77777777" w:rsidTr="008844FF">
        <w:trPr>
          <w:trHeight w:val="300"/>
        </w:trPr>
        <w:tc>
          <w:tcPr>
            <w:tcW w:w="941" w:type="pct"/>
            <w:noWrap/>
            <w:vAlign w:val="center"/>
            <w:hideMark/>
          </w:tcPr>
          <w:p w14:paraId="4F4F0430" w14:textId="77777777" w:rsidR="0088154A" w:rsidRPr="00CD227A" w:rsidRDefault="0088154A" w:rsidP="002439C8">
            <w:pPr>
              <w:spacing w:before="100" w:beforeAutospacing="1" w:after="100" w:afterAutospacing="1"/>
              <w:jc w:val="left"/>
              <w:rPr>
                <w:rFonts w:asciiTheme="minorHAnsi" w:hAnsiTheme="minorHAnsi" w:cstheme="minorHAnsi"/>
                <w:b/>
                <w:color w:val="000000"/>
                <w:sz w:val="18"/>
                <w:szCs w:val="18"/>
              </w:rPr>
            </w:pPr>
            <w:r w:rsidRPr="00CD227A">
              <w:rPr>
                <w:rFonts w:asciiTheme="minorHAnsi" w:hAnsiTheme="minorHAnsi" w:cstheme="minorHAnsi"/>
                <w:color w:val="000000"/>
                <w:sz w:val="18"/>
                <w:szCs w:val="18"/>
              </w:rPr>
              <w:t>Pendimethalin</w:t>
            </w:r>
          </w:p>
        </w:tc>
        <w:tc>
          <w:tcPr>
            <w:tcW w:w="865" w:type="pct"/>
            <w:vAlign w:val="center"/>
          </w:tcPr>
          <w:p w14:paraId="25607B75"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noWrap/>
            <w:vAlign w:val="center"/>
            <w:hideMark/>
          </w:tcPr>
          <w:p w14:paraId="016CFF11"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Microtubule synthesis inhibitor</w:t>
            </w:r>
          </w:p>
        </w:tc>
      </w:tr>
      <w:tr w:rsidR="0088154A" w:rsidRPr="00CD227A" w14:paraId="507F2793" w14:textId="77777777" w:rsidTr="008844FF">
        <w:trPr>
          <w:trHeight w:val="300"/>
        </w:trPr>
        <w:tc>
          <w:tcPr>
            <w:tcW w:w="941" w:type="pct"/>
            <w:noWrap/>
            <w:vAlign w:val="center"/>
            <w:hideMark/>
          </w:tcPr>
          <w:p w14:paraId="07D035A7" w14:textId="77777777" w:rsidR="0088154A" w:rsidRPr="00CD227A" w:rsidRDefault="0088154A" w:rsidP="002439C8">
            <w:pPr>
              <w:spacing w:before="100" w:beforeAutospacing="1" w:after="100" w:afterAutospacing="1"/>
              <w:jc w:val="left"/>
              <w:rPr>
                <w:rFonts w:asciiTheme="minorHAnsi" w:hAnsiTheme="minorHAnsi" w:cstheme="minorHAnsi"/>
                <w:b/>
                <w:color w:val="000000"/>
                <w:sz w:val="18"/>
                <w:szCs w:val="18"/>
              </w:rPr>
            </w:pPr>
            <w:r w:rsidRPr="00CD227A">
              <w:rPr>
                <w:rFonts w:asciiTheme="minorHAnsi" w:hAnsiTheme="minorHAnsi" w:cstheme="minorHAnsi"/>
                <w:color w:val="000000"/>
                <w:sz w:val="18"/>
                <w:szCs w:val="18"/>
              </w:rPr>
              <w:t>Metolachlor</w:t>
            </w:r>
          </w:p>
        </w:tc>
        <w:tc>
          <w:tcPr>
            <w:tcW w:w="865" w:type="pct"/>
            <w:vAlign w:val="center"/>
          </w:tcPr>
          <w:p w14:paraId="59A6EC4F"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noWrap/>
            <w:vAlign w:val="center"/>
            <w:hideMark/>
          </w:tcPr>
          <w:p w14:paraId="73C465B8"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Acetolactate synthase (ALS) inhibitor</w:t>
            </w:r>
          </w:p>
        </w:tc>
      </w:tr>
      <w:tr w:rsidR="0088154A" w:rsidRPr="00CD227A" w14:paraId="60A8507A" w14:textId="77777777" w:rsidTr="008844FF">
        <w:trPr>
          <w:trHeight w:val="300"/>
        </w:trPr>
        <w:tc>
          <w:tcPr>
            <w:tcW w:w="941" w:type="pct"/>
            <w:noWrap/>
            <w:vAlign w:val="center"/>
          </w:tcPr>
          <w:p w14:paraId="391E0340"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Ametryn</w:t>
            </w:r>
          </w:p>
        </w:tc>
        <w:tc>
          <w:tcPr>
            <w:tcW w:w="865" w:type="pct"/>
            <w:vAlign w:val="center"/>
          </w:tcPr>
          <w:p w14:paraId="4F6F87B7"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vMerge w:val="restart"/>
            <w:noWrap/>
            <w:vAlign w:val="center"/>
          </w:tcPr>
          <w:p w14:paraId="04B64CAE" w14:textId="77777777" w:rsidR="0088154A" w:rsidRPr="00CD227A" w:rsidRDefault="0088154A" w:rsidP="002439C8">
            <w:pPr>
              <w:spacing w:before="100" w:beforeAutospacing="1" w:after="100" w:afterAutospacing="1"/>
              <w:jc w:val="left"/>
              <w:rPr>
                <w:rFonts w:asciiTheme="minorHAnsi" w:hAnsiTheme="minorHAnsi" w:cstheme="minorHAnsi"/>
                <w:bCs/>
                <w:color w:val="000000"/>
                <w:sz w:val="18"/>
                <w:szCs w:val="18"/>
              </w:rPr>
            </w:pPr>
            <w:r w:rsidRPr="00CD227A">
              <w:rPr>
                <w:rFonts w:asciiTheme="minorHAnsi" w:hAnsiTheme="minorHAnsi" w:cstheme="minorHAnsi"/>
                <w:bCs/>
                <w:color w:val="000000"/>
                <w:sz w:val="18"/>
                <w:szCs w:val="18"/>
              </w:rPr>
              <w:t>Group 1 PSII inhibitor</w:t>
            </w:r>
          </w:p>
        </w:tc>
      </w:tr>
      <w:tr w:rsidR="0088154A" w:rsidRPr="00CD227A" w14:paraId="2CD541CC" w14:textId="77777777" w:rsidTr="008844FF">
        <w:trPr>
          <w:trHeight w:val="300"/>
        </w:trPr>
        <w:tc>
          <w:tcPr>
            <w:tcW w:w="941" w:type="pct"/>
            <w:noWrap/>
            <w:vAlign w:val="center"/>
          </w:tcPr>
          <w:p w14:paraId="34244B09"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Atrazine</w:t>
            </w:r>
          </w:p>
        </w:tc>
        <w:tc>
          <w:tcPr>
            <w:tcW w:w="865" w:type="pct"/>
            <w:vAlign w:val="center"/>
          </w:tcPr>
          <w:p w14:paraId="6F5F75A1"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vMerge/>
            <w:noWrap/>
            <w:vAlign w:val="center"/>
          </w:tcPr>
          <w:p w14:paraId="3C3087C4" w14:textId="77777777" w:rsidR="0088154A" w:rsidRPr="00CD227A" w:rsidRDefault="0088154A" w:rsidP="002439C8">
            <w:pPr>
              <w:spacing w:before="100" w:beforeAutospacing="1" w:after="100" w:afterAutospacing="1"/>
              <w:jc w:val="left"/>
              <w:rPr>
                <w:rFonts w:asciiTheme="minorHAnsi" w:hAnsiTheme="minorHAnsi" w:cstheme="minorHAnsi"/>
                <w:bCs/>
                <w:color w:val="000000"/>
                <w:sz w:val="18"/>
                <w:szCs w:val="18"/>
              </w:rPr>
            </w:pPr>
          </w:p>
        </w:tc>
      </w:tr>
      <w:tr w:rsidR="0088154A" w:rsidRPr="00CD227A" w14:paraId="50D80B9C" w14:textId="77777777" w:rsidTr="008844FF">
        <w:trPr>
          <w:trHeight w:val="300"/>
        </w:trPr>
        <w:tc>
          <w:tcPr>
            <w:tcW w:w="941" w:type="pct"/>
            <w:noWrap/>
            <w:vAlign w:val="center"/>
          </w:tcPr>
          <w:p w14:paraId="0C49EF8D"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Terbuthylazine</w:t>
            </w:r>
          </w:p>
        </w:tc>
        <w:tc>
          <w:tcPr>
            <w:tcW w:w="865" w:type="pct"/>
            <w:vAlign w:val="center"/>
          </w:tcPr>
          <w:p w14:paraId="0B77AFCB"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vMerge/>
            <w:noWrap/>
            <w:vAlign w:val="center"/>
          </w:tcPr>
          <w:p w14:paraId="099FC1BC" w14:textId="77777777" w:rsidR="0088154A" w:rsidRPr="00CD227A" w:rsidRDefault="0088154A" w:rsidP="002439C8">
            <w:pPr>
              <w:spacing w:before="100" w:beforeAutospacing="1" w:after="100" w:afterAutospacing="1"/>
              <w:jc w:val="left"/>
              <w:rPr>
                <w:rFonts w:asciiTheme="minorHAnsi" w:hAnsiTheme="minorHAnsi" w:cstheme="minorHAnsi"/>
                <w:bCs/>
                <w:color w:val="000000"/>
                <w:sz w:val="18"/>
                <w:szCs w:val="18"/>
              </w:rPr>
            </w:pPr>
          </w:p>
        </w:tc>
      </w:tr>
      <w:tr w:rsidR="0088154A" w:rsidRPr="00CD227A" w14:paraId="3383E969" w14:textId="77777777" w:rsidTr="008844FF">
        <w:trPr>
          <w:trHeight w:val="300"/>
        </w:trPr>
        <w:tc>
          <w:tcPr>
            <w:tcW w:w="941" w:type="pct"/>
            <w:noWrap/>
            <w:vAlign w:val="center"/>
          </w:tcPr>
          <w:p w14:paraId="0B423000"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Tebuthiuron</w:t>
            </w:r>
          </w:p>
        </w:tc>
        <w:tc>
          <w:tcPr>
            <w:tcW w:w="865" w:type="pct"/>
            <w:vAlign w:val="center"/>
          </w:tcPr>
          <w:p w14:paraId="053818B1"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vMerge/>
            <w:noWrap/>
            <w:vAlign w:val="center"/>
          </w:tcPr>
          <w:p w14:paraId="5417E39D" w14:textId="77777777" w:rsidR="0088154A" w:rsidRPr="00CD227A" w:rsidRDefault="0088154A" w:rsidP="002439C8">
            <w:pPr>
              <w:spacing w:before="100" w:beforeAutospacing="1" w:after="100" w:afterAutospacing="1"/>
              <w:jc w:val="left"/>
              <w:rPr>
                <w:rFonts w:asciiTheme="minorHAnsi" w:hAnsiTheme="minorHAnsi" w:cstheme="minorHAnsi"/>
                <w:bCs/>
                <w:color w:val="000000"/>
                <w:sz w:val="18"/>
                <w:szCs w:val="18"/>
              </w:rPr>
            </w:pPr>
          </w:p>
        </w:tc>
      </w:tr>
      <w:tr w:rsidR="0088154A" w:rsidRPr="00CD227A" w14:paraId="35D788EB" w14:textId="77777777" w:rsidTr="008844FF">
        <w:trPr>
          <w:trHeight w:val="300"/>
        </w:trPr>
        <w:tc>
          <w:tcPr>
            <w:tcW w:w="941" w:type="pct"/>
            <w:noWrap/>
            <w:vAlign w:val="center"/>
          </w:tcPr>
          <w:p w14:paraId="669E1FC8"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Simazine</w:t>
            </w:r>
          </w:p>
        </w:tc>
        <w:tc>
          <w:tcPr>
            <w:tcW w:w="865" w:type="pct"/>
            <w:vAlign w:val="center"/>
          </w:tcPr>
          <w:p w14:paraId="5B36362A"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noWrap/>
            <w:vAlign w:val="center"/>
          </w:tcPr>
          <w:p w14:paraId="49C8C26C" w14:textId="77777777" w:rsidR="0088154A" w:rsidRPr="00CD227A" w:rsidRDefault="0088154A" w:rsidP="002439C8">
            <w:pPr>
              <w:spacing w:before="100" w:beforeAutospacing="1" w:after="100" w:afterAutospacing="1"/>
              <w:jc w:val="left"/>
              <w:rPr>
                <w:rFonts w:asciiTheme="minorHAnsi" w:hAnsiTheme="minorHAnsi" w:cstheme="minorHAnsi"/>
                <w:bCs/>
                <w:color w:val="000000"/>
                <w:sz w:val="18"/>
                <w:szCs w:val="18"/>
              </w:rPr>
            </w:pPr>
            <w:r w:rsidRPr="00CD227A">
              <w:rPr>
                <w:rFonts w:asciiTheme="minorHAnsi" w:hAnsiTheme="minorHAnsi" w:cstheme="minorHAnsi"/>
                <w:bCs/>
                <w:color w:val="000000"/>
                <w:sz w:val="18"/>
                <w:szCs w:val="18"/>
              </w:rPr>
              <w:t>Group 2 PSII inhibitor</w:t>
            </w:r>
          </w:p>
        </w:tc>
      </w:tr>
      <w:tr w:rsidR="0088154A" w:rsidRPr="00CD227A" w14:paraId="03E49525" w14:textId="77777777" w:rsidTr="008844FF">
        <w:trPr>
          <w:trHeight w:val="300"/>
        </w:trPr>
        <w:tc>
          <w:tcPr>
            <w:tcW w:w="941" w:type="pct"/>
            <w:noWrap/>
            <w:vAlign w:val="center"/>
          </w:tcPr>
          <w:p w14:paraId="28AC777D"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Diuron</w:t>
            </w:r>
          </w:p>
        </w:tc>
        <w:tc>
          <w:tcPr>
            <w:tcW w:w="865" w:type="pct"/>
            <w:vAlign w:val="center"/>
          </w:tcPr>
          <w:p w14:paraId="7B70C143"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vMerge w:val="restart"/>
            <w:noWrap/>
            <w:vAlign w:val="center"/>
          </w:tcPr>
          <w:p w14:paraId="2FB312CA" w14:textId="77777777" w:rsidR="0088154A" w:rsidRPr="00CD227A" w:rsidRDefault="0088154A" w:rsidP="002439C8">
            <w:pPr>
              <w:spacing w:before="100" w:beforeAutospacing="1" w:after="100" w:afterAutospacing="1"/>
              <w:jc w:val="left"/>
              <w:rPr>
                <w:rFonts w:asciiTheme="minorHAnsi" w:hAnsiTheme="minorHAnsi" w:cstheme="minorHAnsi"/>
                <w:bCs/>
                <w:color w:val="000000"/>
                <w:sz w:val="18"/>
                <w:szCs w:val="18"/>
              </w:rPr>
            </w:pPr>
            <w:r w:rsidRPr="00CD227A">
              <w:rPr>
                <w:rFonts w:asciiTheme="minorHAnsi" w:hAnsiTheme="minorHAnsi" w:cstheme="minorHAnsi"/>
                <w:bCs/>
                <w:color w:val="000000"/>
                <w:sz w:val="18"/>
                <w:szCs w:val="18"/>
              </w:rPr>
              <w:t>Group 3 PSII inhibitor</w:t>
            </w:r>
          </w:p>
        </w:tc>
      </w:tr>
      <w:tr w:rsidR="0088154A" w:rsidRPr="00CD227A" w14:paraId="7959CE36" w14:textId="77777777" w:rsidTr="008844FF">
        <w:trPr>
          <w:trHeight w:val="300"/>
        </w:trPr>
        <w:tc>
          <w:tcPr>
            <w:tcW w:w="941" w:type="pct"/>
            <w:noWrap/>
            <w:vAlign w:val="center"/>
          </w:tcPr>
          <w:p w14:paraId="733A6409"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Terbutryn</w:t>
            </w:r>
          </w:p>
        </w:tc>
        <w:tc>
          <w:tcPr>
            <w:tcW w:w="865" w:type="pct"/>
            <w:vAlign w:val="center"/>
          </w:tcPr>
          <w:p w14:paraId="221CA4EF"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vMerge/>
            <w:noWrap/>
            <w:vAlign w:val="center"/>
          </w:tcPr>
          <w:p w14:paraId="3FF01B73" w14:textId="77777777" w:rsidR="0088154A" w:rsidRPr="00CD227A" w:rsidRDefault="0088154A" w:rsidP="002439C8">
            <w:pPr>
              <w:spacing w:before="100" w:beforeAutospacing="1" w:after="100" w:afterAutospacing="1"/>
              <w:jc w:val="left"/>
              <w:rPr>
                <w:rFonts w:asciiTheme="minorHAnsi" w:hAnsiTheme="minorHAnsi" w:cstheme="minorHAnsi"/>
                <w:bCs/>
                <w:color w:val="000000"/>
                <w:sz w:val="18"/>
                <w:szCs w:val="18"/>
              </w:rPr>
            </w:pPr>
          </w:p>
        </w:tc>
      </w:tr>
      <w:tr w:rsidR="0088154A" w:rsidRPr="00CD227A" w14:paraId="40DE6440" w14:textId="77777777" w:rsidTr="008844FF">
        <w:trPr>
          <w:trHeight w:val="300"/>
        </w:trPr>
        <w:tc>
          <w:tcPr>
            <w:tcW w:w="941" w:type="pct"/>
            <w:noWrap/>
            <w:vAlign w:val="center"/>
          </w:tcPr>
          <w:p w14:paraId="0548D9BE"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Hexazinone</w:t>
            </w:r>
          </w:p>
        </w:tc>
        <w:tc>
          <w:tcPr>
            <w:tcW w:w="865" w:type="pct"/>
            <w:vAlign w:val="center"/>
          </w:tcPr>
          <w:p w14:paraId="56D605B2"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noWrap/>
            <w:vAlign w:val="center"/>
          </w:tcPr>
          <w:p w14:paraId="6BA555ED" w14:textId="77777777" w:rsidR="0088154A" w:rsidRPr="00CD227A" w:rsidRDefault="0088154A" w:rsidP="002439C8">
            <w:pPr>
              <w:spacing w:before="100" w:beforeAutospacing="1" w:after="100" w:afterAutospacing="1"/>
              <w:jc w:val="left"/>
              <w:rPr>
                <w:rFonts w:asciiTheme="minorHAnsi" w:hAnsiTheme="minorHAnsi" w:cstheme="minorHAnsi"/>
                <w:bCs/>
                <w:color w:val="000000"/>
                <w:sz w:val="18"/>
                <w:szCs w:val="18"/>
              </w:rPr>
            </w:pPr>
            <w:r w:rsidRPr="00CD227A">
              <w:rPr>
                <w:rFonts w:asciiTheme="minorHAnsi" w:hAnsiTheme="minorHAnsi" w:cstheme="minorHAnsi"/>
                <w:bCs/>
                <w:color w:val="000000"/>
                <w:sz w:val="18"/>
                <w:szCs w:val="18"/>
              </w:rPr>
              <w:t>Group 4 PSII inhibitor</w:t>
            </w:r>
          </w:p>
        </w:tc>
      </w:tr>
      <w:tr w:rsidR="0088154A" w:rsidRPr="00CD227A" w14:paraId="3F47869A" w14:textId="77777777" w:rsidTr="008844FF">
        <w:trPr>
          <w:trHeight w:val="300"/>
        </w:trPr>
        <w:tc>
          <w:tcPr>
            <w:tcW w:w="941" w:type="pct"/>
            <w:noWrap/>
            <w:vAlign w:val="center"/>
          </w:tcPr>
          <w:p w14:paraId="2EB8CE88" w14:textId="77777777" w:rsidR="0088154A" w:rsidRPr="00CD227A" w:rsidRDefault="0088154A" w:rsidP="002439C8">
            <w:pPr>
              <w:spacing w:before="100" w:beforeAutospacing="1" w:after="100" w:afterAutospacing="1"/>
              <w:jc w:val="left"/>
              <w:rPr>
                <w:rFonts w:asciiTheme="minorHAnsi" w:hAnsiTheme="minorHAnsi" w:cstheme="minorHAnsi"/>
                <w:color w:val="000000"/>
                <w:sz w:val="18"/>
                <w:szCs w:val="18"/>
              </w:rPr>
            </w:pPr>
            <w:r w:rsidRPr="00CD227A">
              <w:rPr>
                <w:rFonts w:asciiTheme="minorHAnsi" w:hAnsiTheme="minorHAnsi" w:cstheme="minorHAnsi"/>
                <w:color w:val="000000"/>
                <w:sz w:val="18"/>
                <w:szCs w:val="18"/>
              </w:rPr>
              <w:t>Metribuzin</w:t>
            </w:r>
          </w:p>
        </w:tc>
        <w:tc>
          <w:tcPr>
            <w:tcW w:w="865" w:type="pct"/>
            <w:vAlign w:val="center"/>
          </w:tcPr>
          <w:p w14:paraId="02D804BC" w14:textId="77777777" w:rsidR="0088154A" w:rsidRPr="00CD227A" w:rsidRDefault="0088154A" w:rsidP="002439C8">
            <w:pPr>
              <w:spacing w:before="100" w:beforeAutospacing="1" w:after="100" w:afterAutospacing="1"/>
              <w:jc w:val="left"/>
              <w:rPr>
                <w:rFonts w:asciiTheme="minorHAnsi" w:hAnsiTheme="minorHAnsi" w:cstheme="minorHAnsi"/>
                <w:sz w:val="18"/>
                <w:szCs w:val="18"/>
              </w:rPr>
            </w:pPr>
            <w:r w:rsidRPr="00CD227A">
              <w:rPr>
                <w:rFonts w:asciiTheme="minorHAnsi" w:hAnsiTheme="minorHAnsi" w:cstheme="minorHAnsi"/>
                <w:sz w:val="18"/>
                <w:szCs w:val="18"/>
              </w:rPr>
              <w:t>Herbicide</w:t>
            </w:r>
          </w:p>
        </w:tc>
        <w:tc>
          <w:tcPr>
            <w:tcW w:w="3194" w:type="pct"/>
            <w:noWrap/>
            <w:vAlign w:val="center"/>
          </w:tcPr>
          <w:p w14:paraId="343A6528" w14:textId="77777777" w:rsidR="0088154A" w:rsidRPr="00CD227A" w:rsidRDefault="0088154A" w:rsidP="002439C8">
            <w:pPr>
              <w:spacing w:before="100" w:beforeAutospacing="1" w:after="100" w:afterAutospacing="1"/>
              <w:jc w:val="left"/>
              <w:rPr>
                <w:rFonts w:asciiTheme="minorHAnsi" w:hAnsiTheme="minorHAnsi" w:cstheme="minorHAnsi"/>
                <w:bCs/>
                <w:color w:val="000000"/>
                <w:sz w:val="18"/>
                <w:szCs w:val="18"/>
              </w:rPr>
            </w:pPr>
            <w:r w:rsidRPr="00CD227A">
              <w:rPr>
                <w:rFonts w:asciiTheme="minorHAnsi" w:hAnsiTheme="minorHAnsi" w:cstheme="minorHAnsi"/>
                <w:bCs/>
                <w:color w:val="000000"/>
                <w:sz w:val="18"/>
                <w:szCs w:val="18"/>
              </w:rPr>
              <w:t>Group 5 PSII inhibitor</w:t>
            </w:r>
          </w:p>
        </w:tc>
      </w:tr>
      <w:tr w:rsidR="0088154A" w:rsidRPr="00CD227A" w14:paraId="54A5BBDA" w14:textId="77777777" w:rsidTr="008844FF">
        <w:trPr>
          <w:trHeight w:val="300"/>
        </w:trPr>
        <w:tc>
          <w:tcPr>
            <w:tcW w:w="941" w:type="pct"/>
            <w:noWrap/>
            <w:vAlign w:val="center"/>
          </w:tcPr>
          <w:p w14:paraId="36038EF9" w14:textId="77DA893E" w:rsidR="0088154A" w:rsidRPr="00CD227A" w:rsidRDefault="00FE6E97" w:rsidP="002439C8">
            <w:pPr>
              <w:spacing w:before="100" w:beforeAutospacing="1" w:after="100" w:afterAutospacing="1"/>
              <w:jc w:val="left"/>
              <w:rPr>
                <w:rFonts w:asciiTheme="minorHAnsi" w:hAnsiTheme="minorHAnsi" w:cstheme="minorHAnsi"/>
                <w:b/>
                <w:color w:val="000000"/>
                <w:sz w:val="18"/>
                <w:szCs w:val="18"/>
              </w:rPr>
            </w:pPr>
            <w:r>
              <w:rPr>
                <w:rFonts w:asciiTheme="minorHAnsi" w:hAnsiTheme="minorHAnsi" w:cstheme="minorHAnsi"/>
                <w:color w:val="000000"/>
                <w:sz w:val="18"/>
                <w:szCs w:val="18"/>
              </w:rPr>
              <w:t>2,4</w:t>
            </w:r>
            <w:r>
              <w:rPr>
                <w:rFonts w:asciiTheme="minorHAnsi" w:hAnsiTheme="minorHAnsi" w:cstheme="minorHAnsi"/>
                <w:color w:val="000000"/>
                <w:sz w:val="18"/>
                <w:szCs w:val="18"/>
              </w:rPr>
              <w:noBreakHyphen/>
              <w:t>D</w:t>
            </w:r>
          </w:p>
        </w:tc>
        <w:tc>
          <w:tcPr>
            <w:tcW w:w="865" w:type="pct"/>
            <w:vAlign w:val="center"/>
          </w:tcPr>
          <w:p w14:paraId="4190B5CE" w14:textId="77777777" w:rsidR="0088154A" w:rsidRPr="00CD227A" w:rsidRDefault="0088154A" w:rsidP="002439C8">
            <w:pPr>
              <w:spacing w:before="100" w:beforeAutospacing="1" w:after="100" w:afterAutospacing="1"/>
              <w:jc w:val="left"/>
              <w:rPr>
                <w:rFonts w:asciiTheme="minorHAnsi" w:hAnsiTheme="minorHAnsi" w:cstheme="minorHAnsi"/>
                <w:b/>
                <w:bCs/>
                <w:sz w:val="18"/>
                <w:szCs w:val="18"/>
              </w:rPr>
            </w:pPr>
            <w:r w:rsidRPr="00CD227A">
              <w:rPr>
                <w:rFonts w:asciiTheme="minorHAnsi" w:hAnsiTheme="minorHAnsi" w:cstheme="minorHAnsi"/>
                <w:sz w:val="18"/>
                <w:szCs w:val="18"/>
              </w:rPr>
              <w:t>Herbicide</w:t>
            </w:r>
          </w:p>
        </w:tc>
        <w:tc>
          <w:tcPr>
            <w:tcW w:w="3194" w:type="pct"/>
            <w:vMerge w:val="restart"/>
            <w:noWrap/>
            <w:vAlign w:val="center"/>
          </w:tcPr>
          <w:p w14:paraId="679B8762" w14:textId="77777777" w:rsidR="0088154A" w:rsidRPr="00CD227A" w:rsidRDefault="0088154A" w:rsidP="002439C8">
            <w:pPr>
              <w:spacing w:before="100" w:beforeAutospacing="1" w:after="100" w:afterAutospacing="1"/>
              <w:jc w:val="left"/>
              <w:rPr>
                <w:rFonts w:asciiTheme="minorHAnsi" w:hAnsiTheme="minorHAnsi" w:cstheme="minorHAnsi"/>
                <w:bCs/>
                <w:color w:val="000000"/>
                <w:sz w:val="18"/>
                <w:szCs w:val="18"/>
              </w:rPr>
            </w:pPr>
            <w:r w:rsidRPr="00CD227A">
              <w:rPr>
                <w:rFonts w:asciiTheme="minorHAnsi" w:hAnsiTheme="minorHAnsi" w:cstheme="minorHAnsi"/>
                <w:sz w:val="18"/>
                <w:szCs w:val="18"/>
              </w:rPr>
              <w:t>Group 1 auxins (Phenoxy-carboxylic acid</w:t>
            </w:r>
            <w:r w:rsidRPr="00CD227A">
              <w:rPr>
                <w:rFonts w:asciiTheme="minorHAnsi" w:hAnsiTheme="minorHAnsi" w:cstheme="minorHAnsi"/>
                <w:color w:val="000000"/>
                <w:sz w:val="18"/>
                <w:szCs w:val="18"/>
              </w:rPr>
              <w:t xml:space="preserve"> auxins)</w:t>
            </w:r>
          </w:p>
        </w:tc>
      </w:tr>
      <w:tr w:rsidR="0088154A" w:rsidRPr="00CD227A" w14:paraId="575959EA" w14:textId="77777777" w:rsidTr="008844FF">
        <w:trPr>
          <w:trHeight w:val="300"/>
        </w:trPr>
        <w:tc>
          <w:tcPr>
            <w:tcW w:w="941" w:type="pct"/>
            <w:noWrap/>
            <w:vAlign w:val="center"/>
          </w:tcPr>
          <w:p w14:paraId="752480B2" w14:textId="77777777" w:rsidR="0088154A" w:rsidRPr="00CD227A" w:rsidRDefault="0088154A" w:rsidP="002439C8">
            <w:pPr>
              <w:spacing w:before="100" w:beforeAutospacing="1" w:after="100" w:afterAutospacing="1"/>
              <w:jc w:val="left"/>
              <w:rPr>
                <w:rFonts w:asciiTheme="minorHAnsi" w:hAnsiTheme="minorHAnsi" w:cstheme="minorHAnsi"/>
                <w:b/>
                <w:color w:val="000000"/>
                <w:sz w:val="18"/>
                <w:szCs w:val="18"/>
              </w:rPr>
            </w:pPr>
            <w:r w:rsidRPr="00CD227A">
              <w:rPr>
                <w:rFonts w:asciiTheme="minorHAnsi" w:hAnsiTheme="minorHAnsi" w:cstheme="minorHAnsi"/>
                <w:color w:val="000000"/>
                <w:sz w:val="18"/>
                <w:szCs w:val="18"/>
              </w:rPr>
              <w:t>MCPA</w:t>
            </w:r>
          </w:p>
        </w:tc>
        <w:tc>
          <w:tcPr>
            <w:tcW w:w="865" w:type="pct"/>
            <w:vAlign w:val="center"/>
          </w:tcPr>
          <w:p w14:paraId="146A1917" w14:textId="77777777" w:rsidR="0088154A" w:rsidRPr="00CD227A" w:rsidRDefault="0088154A" w:rsidP="002439C8">
            <w:pPr>
              <w:spacing w:before="100" w:beforeAutospacing="1" w:after="100" w:afterAutospacing="1"/>
              <w:jc w:val="left"/>
              <w:rPr>
                <w:rFonts w:asciiTheme="minorHAnsi" w:hAnsiTheme="minorHAnsi" w:cstheme="minorHAnsi"/>
                <w:b/>
                <w:bCs/>
                <w:sz w:val="18"/>
                <w:szCs w:val="18"/>
              </w:rPr>
            </w:pPr>
            <w:r w:rsidRPr="00CD227A">
              <w:rPr>
                <w:rFonts w:asciiTheme="minorHAnsi" w:hAnsiTheme="minorHAnsi" w:cstheme="minorHAnsi"/>
                <w:sz w:val="18"/>
                <w:szCs w:val="18"/>
              </w:rPr>
              <w:t>Herbicide</w:t>
            </w:r>
          </w:p>
        </w:tc>
        <w:tc>
          <w:tcPr>
            <w:tcW w:w="3194" w:type="pct"/>
            <w:vMerge/>
            <w:noWrap/>
            <w:vAlign w:val="center"/>
          </w:tcPr>
          <w:p w14:paraId="4551348A" w14:textId="77777777" w:rsidR="0088154A" w:rsidRPr="00CD227A" w:rsidRDefault="0088154A" w:rsidP="002439C8">
            <w:pPr>
              <w:spacing w:before="100" w:beforeAutospacing="1" w:after="100" w:afterAutospacing="1"/>
              <w:jc w:val="left"/>
              <w:rPr>
                <w:rFonts w:asciiTheme="minorHAnsi" w:hAnsiTheme="minorHAnsi" w:cstheme="minorHAnsi"/>
                <w:bCs/>
                <w:color w:val="000000"/>
                <w:sz w:val="18"/>
                <w:szCs w:val="18"/>
              </w:rPr>
            </w:pPr>
          </w:p>
        </w:tc>
      </w:tr>
      <w:tr w:rsidR="0088154A" w:rsidRPr="00CD227A" w14:paraId="00FBE40F" w14:textId="77777777" w:rsidTr="008844FF">
        <w:trPr>
          <w:trHeight w:val="300"/>
        </w:trPr>
        <w:tc>
          <w:tcPr>
            <w:tcW w:w="941" w:type="pct"/>
            <w:noWrap/>
            <w:vAlign w:val="center"/>
          </w:tcPr>
          <w:p w14:paraId="19DB404D" w14:textId="77777777" w:rsidR="0088154A" w:rsidRPr="00CD227A" w:rsidRDefault="0088154A" w:rsidP="002439C8">
            <w:pPr>
              <w:spacing w:before="100" w:beforeAutospacing="1" w:after="100" w:afterAutospacing="1"/>
              <w:jc w:val="left"/>
              <w:rPr>
                <w:rFonts w:asciiTheme="minorHAnsi" w:hAnsiTheme="minorHAnsi" w:cstheme="minorHAnsi"/>
                <w:b/>
                <w:color w:val="000000"/>
                <w:sz w:val="18"/>
                <w:szCs w:val="18"/>
              </w:rPr>
            </w:pPr>
            <w:r w:rsidRPr="00CD227A">
              <w:rPr>
                <w:rFonts w:asciiTheme="minorHAnsi" w:hAnsiTheme="minorHAnsi" w:cstheme="minorHAnsi"/>
                <w:color w:val="000000"/>
                <w:sz w:val="18"/>
                <w:szCs w:val="18"/>
              </w:rPr>
              <w:t>Fluroxypyr</w:t>
            </w:r>
          </w:p>
        </w:tc>
        <w:tc>
          <w:tcPr>
            <w:tcW w:w="865" w:type="pct"/>
            <w:vAlign w:val="center"/>
          </w:tcPr>
          <w:p w14:paraId="0B3E78BB" w14:textId="77777777" w:rsidR="0088154A" w:rsidRPr="00CD227A" w:rsidRDefault="0088154A" w:rsidP="002439C8">
            <w:pPr>
              <w:spacing w:before="100" w:beforeAutospacing="1" w:after="100" w:afterAutospacing="1"/>
              <w:jc w:val="left"/>
              <w:rPr>
                <w:rFonts w:asciiTheme="minorHAnsi" w:hAnsiTheme="minorHAnsi" w:cstheme="minorHAnsi"/>
                <w:b/>
                <w:bCs/>
                <w:sz w:val="18"/>
                <w:szCs w:val="18"/>
              </w:rPr>
            </w:pPr>
            <w:r w:rsidRPr="00CD227A">
              <w:rPr>
                <w:rFonts w:asciiTheme="minorHAnsi" w:hAnsiTheme="minorHAnsi" w:cstheme="minorHAnsi"/>
                <w:sz w:val="18"/>
                <w:szCs w:val="18"/>
              </w:rPr>
              <w:t>Herbicide</w:t>
            </w:r>
          </w:p>
        </w:tc>
        <w:tc>
          <w:tcPr>
            <w:tcW w:w="3194" w:type="pct"/>
            <w:noWrap/>
            <w:vAlign w:val="center"/>
          </w:tcPr>
          <w:p w14:paraId="76AA5E98" w14:textId="77777777" w:rsidR="0088154A" w:rsidRPr="00CD227A" w:rsidRDefault="0088154A" w:rsidP="002439C8">
            <w:pPr>
              <w:spacing w:before="100" w:beforeAutospacing="1" w:after="100" w:afterAutospacing="1"/>
              <w:jc w:val="left"/>
              <w:rPr>
                <w:rFonts w:asciiTheme="minorHAnsi" w:hAnsiTheme="minorHAnsi" w:cstheme="minorHAnsi"/>
                <w:bCs/>
                <w:color w:val="000000"/>
                <w:sz w:val="18"/>
                <w:szCs w:val="18"/>
              </w:rPr>
            </w:pPr>
            <w:r w:rsidRPr="00CD227A">
              <w:rPr>
                <w:rFonts w:asciiTheme="minorHAnsi" w:hAnsiTheme="minorHAnsi" w:cstheme="minorHAnsi"/>
                <w:sz w:val="18"/>
                <w:szCs w:val="18"/>
              </w:rPr>
              <w:t xml:space="preserve">Group 2 auxins (Pyridine-carboxylic acid </w:t>
            </w:r>
            <w:r w:rsidRPr="00CD227A">
              <w:rPr>
                <w:rFonts w:asciiTheme="minorHAnsi" w:hAnsiTheme="minorHAnsi" w:cstheme="minorHAnsi"/>
                <w:color w:val="000000"/>
                <w:sz w:val="18"/>
                <w:szCs w:val="18"/>
              </w:rPr>
              <w:t>auxins)</w:t>
            </w:r>
          </w:p>
        </w:tc>
      </w:tr>
    </w:tbl>
    <w:p w14:paraId="5A68CA38" w14:textId="77777777" w:rsidR="0088154A" w:rsidRPr="00CD227A" w:rsidRDefault="0088154A" w:rsidP="002439C8">
      <w:pPr>
        <w:jc w:val="left"/>
        <w:rPr>
          <w:rFonts w:cstheme="minorHAnsi"/>
        </w:rPr>
      </w:pPr>
    </w:p>
    <w:p w14:paraId="0122BE16" w14:textId="77777777" w:rsidR="0088154A" w:rsidRDefault="0088154A" w:rsidP="00CC7BC7">
      <w:pPr>
        <w:spacing w:line="276" w:lineRule="auto"/>
        <w:jc w:val="left"/>
        <w:rPr>
          <w:rFonts w:cstheme="minorHAnsi"/>
        </w:rPr>
      </w:pPr>
      <w:r w:rsidRPr="00CD227A">
        <w:rPr>
          <w:rFonts w:cstheme="minorHAnsi"/>
        </w:rPr>
        <w:t xml:space="preserve">In order to express the concentration data for all selected pesticides as a single number that represented the overall risk to aquatic ecosystems, </w:t>
      </w:r>
      <w:r>
        <w:t xml:space="preserve">it was necessary to convert all the concentration data into a numerical term that represented the toxicity of the mixture of pesticides in each passive </w:t>
      </w:r>
      <w:r w:rsidRPr="00C7032A">
        <w:t xml:space="preserve">sampler or water sample, and then aggregate all the pesticide concentration data as a single number. </w:t>
      </w:r>
      <w:r w:rsidRPr="00C7032A">
        <w:rPr>
          <w:rFonts w:cstheme="minorHAnsi"/>
        </w:rPr>
        <w:t>In previous report</w:t>
      </w:r>
      <w:r w:rsidR="007D68AF">
        <w:rPr>
          <w:rFonts w:cstheme="minorHAnsi"/>
        </w:rPr>
        <w:t>s</w:t>
      </w:r>
      <w:r w:rsidRPr="00C7032A">
        <w:rPr>
          <w:rFonts w:cstheme="minorHAnsi"/>
        </w:rPr>
        <w:t>, the hazard equivalence (Heq) method was used to express the toxicity of PSII herbicides based on their toxicities relative to diuron</w:t>
      </w:r>
      <w:r>
        <w:rPr>
          <w:rFonts w:cstheme="minorHAnsi"/>
        </w:rPr>
        <w:t xml:space="preserve"> (Table C-1).</w:t>
      </w:r>
      <w:r w:rsidRPr="00C7032A">
        <w:rPr>
          <w:rFonts w:cstheme="minorHAnsi"/>
        </w:rPr>
        <w:t xml:space="preserve"> </w:t>
      </w:r>
    </w:p>
    <w:p w14:paraId="2CE2F49C" w14:textId="77777777" w:rsidR="0088154A" w:rsidRDefault="0088154A" w:rsidP="002439C8">
      <w:pPr>
        <w:jc w:val="left"/>
        <w:rPr>
          <w:rFonts w:cstheme="minorHAnsi"/>
        </w:rPr>
      </w:pPr>
    </w:p>
    <w:p w14:paraId="19CEDB5E" w14:textId="4C9171F3" w:rsidR="0088154A" w:rsidRDefault="0088154A" w:rsidP="00CC7BC7">
      <w:pPr>
        <w:spacing w:line="276" w:lineRule="auto"/>
        <w:jc w:val="left"/>
        <w:rPr>
          <w:rFonts w:cstheme="minorHAnsi"/>
        </w:rPr>
      </w:pPr>
      <w:r w:rsidRPr="00C7032A">
        <w:rPr>
          <w:rFonts w:cstheme="minorHAnsi"/>
        </w:rPr>
        <w:t xml:space="preserve">In </w:t>
      </w:r>
      <w:r w:rsidR="007D68AF">
        <w:rPr>
          <w:rFonts w:cstheme="minorHAnsi"/>
        </w:rPr>
        <w:t>this report</w:t>
      </w:r>
      <w:r w:rsidRPr="00C7032A">
        <w:rPr>
          <w:rFonts w:cstheme="minorHAnsi"/>
        </w:rPr>
        <w:t xml:space="preserve"> the </w:t>
      </w:r>
      <w:r w:rsidRPr="00C7032A">
        <w:t>multi substance potentially affected fraction (</w:t>
      </w:r>
      <w:r w:rsidR="005E2B71">
        <w:t>ms</w:t>
      </w:r>
      <w:r w:rsidR="005E2B71">
        <w:noBreakHyphen/>
        <w:t>PAF</w:t>
      </w:r>
      <w:r w:rsidRPr="00C7032A">
        <w:t>) approach was adopted to bring this metric in line with freshwater catchments</w:t>
      </w:r>
      <w:r>
        <w:t xml:space="preserve"> </w:t>
      </w:r>
      <w:r>
        <w:fldChar w:fldCharType="begin"/>
      </w:r>
      <w:r>
        <w:instrText xml:space="preserve"> ADDIN EN.CITE &lt;EndNote&gt;&lt;Cite&gt;&lt;Author&gt;Grant&lt;/Author&gt;&lt;Year&gt;2018&lt;/Year&gt;&lt;RecNum&gt;108&lt;/RecNum&gt;&lt;DisplayText&gt;(Grant et al., 2018a; Traas et al., 2002)&lt;/DisplayText&gt;&lt;record&gt;&lt;rec-number&gt;108&lt;/rec-number&gt;&lt;foreign-keys&gt;&lt;key app="EN" db-id="xtpvpwz0ufxa2me5tv6v2prn2ez5p9atsvtr" timestamp="1539666536"&gt;108&lt;/key&gt;&lt;/foreign-keys&gt;&lt;ref-type name="Report"&gt;27&lt;/ref-type&gt;&lt;contributors&gt;&lt;authors&gt;&lt;author&gt;Grant, S.&lt;/author&gt;&lt;author&gt;Thompson, K.&lt;/author&gt;&lt;author&gt;Paxman, C.&lt;/author&gt;&lt;author&gt;Elisei, G.&lt;/author&gt;&lt;author&gt;Gallen C.&lt;/author&gt;&lt;author&gt;Tracey, D.&lt;/author&gt;&lt;author&gt;Kaserzon, S.&lt;/author&gt;&lt;author&gt;Jiang, H.&lt;/author&gt;&lt;author&gt;Samanipour, S. &lt;/author&gt;&lt;author&gt;Mueller, J.&lt;/author&gt;&lt;/authors&gt;&lt;tertiary-authors&gt;&lt;author&gt;Great Barrier Reef Marine Park Authority Townsville, Great Barrier Reef Marine Park Authority&lt;/author&gt;&lt;/tertiary-authors&gt;&lt;/contributors&gt;&lt;titles&gt;&lt;title&gt;Marine Monitoring Program: Annual report for inshore pesticide monitoring 2016-2017&lt;/title&gt;&lt;/titles&gt;&lt;dates&gt;&lt;year&gt;2018&lt;/year&gt;&lt;/dates&gt;&lt;pub-location&gt;Townsville&lt;/pub-location&gt;&lt;urls&gt;&lt;/urls&gt;&lt;/record&gt;&lt;/Cite&gt;&lt;Cite&gt;&lt;Author&gt;Traas&lt;/Author&gt;&lt;Year&gt;2002&lt;/Year&gt;&lt;RecNum&gt;66&lt;/RecNum&gt;&lt;record&gt;&lt;rec-number&gt;66&lt;/rec-number&gt;&lt;foreign-keys&gt;&lt;key app="EN" db-id="xtpvpwz0ufxa2me5tv6v2prn2ez5p9atsvtr" timestamp="1539144944"&gt;66&lt;/key&gt;&lt;/foreign-keys&gt;&lt;ref-type name="Generic"&gt;13&lt;/ref-type&gt;&lt;contributors&gt;&lt;authors&gt;&lt;author&gt;Traas, Theo P&lt;/author&gt;&lt;author&gt;van de Meent, Dik&lt;/author&gt;&lt;author&gt;Posthuma, Leo&lt;/author&gt;&lt;author&gt;Hamers, Timo&lt;/author&gt;&lt;author&gt;Kater, Belinda J&lt;/author&gt;&lt;author&gt;De Zwart, Dick&lt;/author&gt;&lt;author&gt;Aldenberg, Tom&lt;/author&gt;&lt;/authors&gt;&lt;/contributors&gt;&lt;titles&gt;&lt;title&gt;The potentially affected fraction as a measure of ecological risk&lt;/title&gt;&lt;/titles&gt;&lt;pages&gt;315-344&lt;/pages&gt;&lt;dates&gt;&lt;year&gt;2002&lt;/year&gt;&lt;/dates&gt;&lt;publisher&gt;CRC Press: Boca Raton, FL&lt;/publisher&gt;&lt;urls&gt;&lt;/urls&gt;&lt;/record&gt;&lt;/Cite&gt;&lt;/EndNote&gt;</w:instrText>
      </w:r>
      <w:r>
        <w:fldChar w:fldCharType="separate"/>
      </w:r>
      <w:r>
        <w:rPr>
          <w:noProof/>
        </w:rPr>
        <w:t>(Grant et al., 2018a; Traas et al., 2002)</w:t>
      </w:r>
      <w:r>
        <w:fldChar w:fldCharType="end"/>
      </w:r>
      <w:r w:rsidRPr="00C7032A">
        <w:t xml:space="preserve">. </w:t>
      </w:r>
      <w:r w:rsidRPr="00C7032A">
        <w:rPr>
          <w:rFonts w:cstheme="minorHAnsi"/>
        </w:rPr>
        <w:t xml:space="preserve">The </w:t>
      </w:r>
      <w:r w:rsidR="005E2B71">
        <w:rPr>
          <w:rFonts w:cstheme="minorHAnsi"/>
        </w:rPr>
        <w:t>ms</w:t>
      </w:r>
      <w:r w:rsidR="005E2B71">
        <w:rPr>
          <w:rFonts w:cstheme="minorHAnsi"/>
        </w:rPr>
        <w:noBreakHyphen/>
        <w:t>PAF</w:t>
      </w:r>
      <w:r w:rsidRPr="00C7032A">
        <w:rPr>
          <w:rFonts w:cstheme="minorHAnsi"/>
        </w:rPr>
        <w:t xml:space="preserve"> approach was</w:t>
      </w:r>
      <w:r w:rsidRPr="00CD227A">
        <w:rPr>
          <w:rFonts w:cstheme="minorHAnsi"/>
        </w:rPr>
        <w:t xml:space="preserve"> applied to pesticides with multiple </w:t>
      </w:r>
      <w:r w:rsidR="007D68AF">
        <w:rPr>
          <w:rFonts w:cstheme="minorHAnsi"/>
        </w:rPr>
        <w:t>modes of action</w:t>
      </w:r>
      <w:r w:rsidRPr="00CD227A">
        <w:rPr>
          <w:rFonts w:cstheme="minorHAnsi"/>
        </w:rPr>
        <w:t xml:space="preserve"> </w:t>
      </w:r>
      <w:r>
        <w:rPr>
          <w:rFonts w:cstheme="minorHAnsi"/>
        </w:rPr>
        <w:t>(</w:t>
      </w:r>
      <w:r>
        <w:rPr>
          <w:rFonts w:cstheme="minorHAnsi"/>
          <w:highlight w:val="yellow"/>
        </w:rPr>
        <w:fldChar w:fldCharType="begin"/>
      </w:r>
      <w:r>
        <w:rPr>
          <w:rFonts w:cstheme="minorHAnsi"/>
        </w:rPr>
        <w:instrText xml:space="preserve"> REF _Ref480724246 \h </w:instrText>
      </w:r>
      <w:r w:rsidR="002439C8">
        <w:rPr>
          <w:rFonts w:cstheme="minorHAnsi"/>
          <w:highlight w:val="yellow"/>
        </w:rPr>
        <w:instrText xml:space="preserve"> \* MERGEFORMAT </w:instrText>
      </w:r>
      <w:r>
        <w:rPr>
          <w:rFonts w:cstheme="minorHAnsi"/>
          <w:highlight w:val="yellow"/>
        </w:rPr>
      </w:r>
      <w:r>
        <w:rPr>
          <w:rFonts w:cstheme="minorHAnsi"/>
          <w:highlight w:val="yellow"/>
        </w:rPr>
        <w:fldChar w:fldCharType="separate"/>
      </w:r>
      <w:r w:rsidR="00251B46" w:rsidRPr="00411795">
        <w:rPr>
          <w:sz w:val="20"/>
        </w:rPr>
        <w:t xml:space="preserve">Table </w:t>
      </w:r>
      <w:r w:rsidR="00251B46" w:rsidRPr="00251B46">
        <w:rPr>
          <w:noProof/>
          <w:sz w:val="20"/>
        </w:rPr>
        <w:t>1</w:t>
      </w:r>
      <w:r>
        <w:rPr>
          <w:rFonts w:cstheme="minorHAnsi"/>
          <w:highlight w:val="yellow"/>
        </w:rPr>
        <w:fldChar w:fldCharType="end"/>
      </w:r>
      <w:r w:rsidRPr="00CD227A">
        <w:rPr>
          <w:rFonts w:cstheme="minorHAnsi"/>
        </w:rPr>
        <w:t xml:space="preserve">). </w:t>
      </w:r>
      <w:r w:rsidR="007D68AF" w:rsidRPr="00FD44DF">
        <w:rPr>
          <w:rFonts w:cstheme="minorHAnsi"/>
        </w:rPr>
        <w:t xml:space="preserve">The </w:t>
      </w:r>
      <w:r w:rsidR="005E2B71">
        <w:rPr>
          <w:rFonts w:cstheme="minorHAnsi"/>
        </w:rPr>
        <w:t>ms</w:t>
      </w:r>
      <w:r w:rsidR="005E2B71">
        <w:rPr>
          <w:rFonts w:cstheme="minorHAnsi"/>
        </w:rPr>
        <w:noBreakHyphen/>
        <w:t>PAF</w:t>
      </w:r>
      <w:r w:rsidR="007D68AF" w:rsidRPr="00FD44DF">
        <w:rPr>
          <w:rFonts w:cstheme="minorHAnsi"/>
        </w:rPr>
        <w:t xml:space="preserve"> for pesticides with different modes of action was calculated using the independent action model of joint action </w:t>
      </w:r>
      <w:r>
        <w:rPr>
          <w:rFonts w:cstheme="minorHAnsi"/>
        </w:rPr>
        <w:fldChar w:fldCharType="begin">
          <w:fldData xml:space="preserve">PEVuZE5vdGU+PENpdGU+PEF1dGhvcj5QbGFja2V0dDwvQXV0aG9yPjxZZWFyPjE5NTI8L1llYXI+
PFJlY051bT4xNDI8L1JlY051bT48RGlzcGxheVRleHQ+KEvDtm5lbWFubiwgMTk4MTsgUGxhY2tl
dHQgYW5kIEhld2xldHQsIDE5NTIpPC9EaXNwbGF5VGV4dD48cmVjb3JkPjxyZWMtbnVtYmVyPjE0
MjwvcmVjLW51bWJlcj48Zm9yZWlnbi1rZXlzPjxrZXkgYXBwPSJFTiIgZGItaWQ9Inh0cHZwd3ow
dWZ4YTJtZTV0djZ2MnBybjJlejVwOWF0c3Z0ciIgdGltZXN0YW1wPSIxNTU1OTg2MTMzIj4xNDI8
L2tleT48L2ZvcmVpZ24ta2V5cz48cmVmLXR5cGUgbmFtZT0iSm91cm5hbCBBcnRpY2xlIj4xNzwv
cmVmLXR5cGU+PGNvbnRyaWJ1dG9ycz48YXV0aG9ycz48YXV0aG9yPlBsYWNrZXR0LCBSLiBMLjwv
YXV0aG9yPjxhdXRob3I+SGV3bGV0dCwgUC4gUy48L2F1dGhvcj48L2F1dGhvcnM+PC9jb250cmli
dXRvcnM+PHRpdGxlcz48dGl0bGU+UXVhbnRhbCBSZXNwb25zZXMgdG8gTWl4dHVyZXMgb2YgUG9p
c29uczwvdGl0bGU+PHNlY29uZGFyeS10aXRsZT5Kb3VybmFsIG9mIHRoZSBSb3lhbCBTdGF0aXN0
aWNhbCBTb2NpZXR5OiBTZXJpZXMgQiAoTWV0aG9kb2xvZ2ljYWwpPC9zZWNvbmRhcnktdGl0bGU+
PC90aXRsZXM+PHBlcmlvZGljYWw+PGZ1bGwtdGl0bGU+Sm91cm5hbCBvZiB0aGUgUm95YWwgU3Rh
dGlzdGljYWwgU29jaWV0eTogU2VyaWVzIEIgKE1ldGhvZG9sb2dpY2FsKTwvZnVsbC10aXRsZT48
L3BlcmlvZGljYWw+PHBhZ2VzPjE0MS0xNTQ8L3BhZ2VzPjx2b2x1bWU+MTQ8L3ZvbHVtZT48bnVt
YmVyPjI8L251bWJlcj48ZGF0ZXM+PHllYXI+MTk1MjwveWVhcj48L2RhdGVzPjxpc2JuPjAwMzUt
OTI0NjwvaXNibj48dXJscz48cmVsYXRlZC11cmxzPjx1cmw+aHR0cHM6Ly9yc3Mub25saW5lbGli
cmFyeS53aWxleS5jb20vZG9pL2Ficy8xMC4xMTExL2ouMjUxNy02MTYxLjE5NTIudGIwMDEwOC54
PC91cmw+PC9yZWxhdGVkLXVybHM+PC91cmxzPjxlbGVjdHJvbmljLXJlc291cmNlLW51bT4xMC4x
MTExL2ouMjUxNy02MTYxLjE5NTIudGIwMDEwOC54PC9lbGVjdHJvbmljLXJlc291cmNlLW51bT48
L3JlY29yZD48L0NpdGU+PENpdGU+PEF1dGhvcj5Lw7ZuZW1hbm48L0F1dGhvcj48WWVhcj4xOTgx
PC9ZZWFyPjxSZWNOdW0+MTQxPC9SZWNOdW0+PHJlY29yZD48cmVjLW51bWJlcj4xNDE8L3JlYy1u
dW1iZXI+PGZvcmVpZ24ta2V5cz48a2V5IGFwcD0iRU4iIGRiLWlkPSJ4dHB2cHd6MHVmeGEybWU1
dHY2djJwcm4yZXo1cDlhdHN2dHIiIHRpbWVzdGFtcD0iMTU1NTk4NTk4NiI+MTQxPC9rZXk+PC9m
b3JlaWduLWtleXM+PHJlZi10eXBlIG5hbWU9IkpvdXJuYWwgQXJ0aWNsZSI+MTc8L3JlZi10eXBl
Pjxjb250cmlidXRvcnM+PGF1dGhvcnM+PGF1dGhvcj5Lw7ZuZW1hbm4sIEhhbnM8L2F1dGhvcj48
L2F1dGhvcnM+PC9jb250cmlidXRvcnM+PHRpdGxlcz48dGl0bGU+RmlzaCB0b3hpY2l0eSB0ZXN0
cyB3aXRoIG1peHR1cmVzIG9mIG1vcmUgdGhhbiB0d28gY2hlbWljYWxzOiBBIHByb3Bvc2FsIGZv
ciBhIHF1YW50aXRhdGl2ZSBhcHByb2FjaCBhbmQgZXhwZXJpbWVudGFsIHJlc3VsdHM8L3RpdGxl
PjxzZWNvbmRhcnktdGl0bGU+VG94aWNvbG9neTwvc2Vjb25kYXJ5LXRpdGxlPjwvdGl0bGVzPjxw
ZXJpb2RpY2FsPjxmdWxsLXRpdGxlPlRveGljb2xvZ3k8L2Z1bGwtdGl0bGU+PC9wZXJpb2RpY2Fs
PjxwYWdlcz4yMjktMjM4PC9wYWdlcz48dm9sdW1lPjE5PC92b2x1bWU+PG51bWJlcj4zPC9udW1i
ZXI+PGRhdGVzPjx5ZWFyPjE5ODE8L3llYXI+PHB1Yi1kYXRlcz48ZGF0ZT4xOTgxLzAxLzAxLzwv
ZGF0ZT48L3B1Yi1kYXRlcz48L2RhdGVzPjxpc2JuPjAzMDAtNDgzWDwvaXNibj48dXJscz48cmVs
YXRlZC11cmxzPjx1cmw+aHR0cDovL3d3dy5zY2llbmNlZGlyZWN0LmNvbS9zY2llbmNlL2FydGlj
bGUvcGlpLzAzMDA0ODNYODE5MDEzMjM8L3VybD48L3JlbGF0ZWQtdXJscz48L3VybHM+PGVsZWN0
cm9uaWMtcmVzb3VyY2UtbnVtPmh0dHBzOi8vZG9pLm9yZy8xMC4xMDE2LzAzMDAtNDgzWCg4MSk5
MDEzMi0zPC9lbGVjdHJvbmljLXJlc291cmNlLW51bT48L3JlY29yZD48L0NpdGU+PC9FbmROb3Rl
Pn==
</w:fldData>
        </w:fldChar>
      </w:r>
      <w:r>
        <w:rPr>
          <w:rFonts w:cstheme="minorHAnsi"/>
        </w:rPr>
        <w:instrText xml:space="preserve"> ADDIN EN.CITE </w:instrText>
      </w:r>
      <w:r>
        <w:rPr>
          <w:rFonts w:cstheme="minorHAnsi"/>
        </w:rPr>
        <w:fldChar w:fldCharType="begin">
          <w:fldData xml:space="preserve">PEVuZE5vdGU+PENpdGU+PEF1dGhvcj5QbGFja2V0dDwvQXV0aG9yPjxZZWFyPjE5NTI8L1llYXI+
PFJlY051bT4xNDI8L1JlY051bT48RGlzcGxheVRleHQ+KEvDtm5lbWFubiwgMTk4MTsgUGxhY2tl
dHQgYW5kIEhld2xldHQsIDE5NTIpPC9EaXNwbGF5VGV4dD48cmVjb3JkPjxyZWMtbnVtYmVyPjE0
MjwvcmVjLW51bWJlcj48Zm9yZWlnbi1rZXlzPjxrZXkgYXBwPSJFTiIgZGItaWQ9Inh0cHZwd3ow
dWZ4YTJtZTV0djZ2MnBybjJlejVwOWF0c3Z0ciIgdGltZXN0YW1wPSIxNTU1OTg2MTMzIj4xNDI8
L2tleT48L2ZvcmVpZ24ta2V5cz48cmVmLXR5cGUgbmFtZT0iSm91cm5hbCBBcnRpY2xlIj4xNzwv
cmVmLXR5cGU+PGNvbnRyaWJ1dG9ycz48YXV0aG9ycz48YXV0aG9yPlBsYWNrZXR0LCBSLiBMLjwv
YXV0aG9yPjxhdXRob3I+SGV3bGV0dCwgUC4gUy48L2F1dGhvcj48L2F1dGhvcnM+PC9jb250cmli
dXRvcnM+PHRpdGxlcz48dGl0bGU+UXVhbnRhbCBSZXNwb25zZXMgdG8gTWl4dHVyZXMgb2YgUG9p
c29uczwvdGl0bGU+PHNlY29uZGFyeS10aXRsZT5Kb3VybmFsIG9mIHRoZSBSb3lhbCBTdGF0aXN0
aWNhbCBTb2NpZXR5OiBTZXJpZXMgQiAoTWV0aG9kb2xvZ2ljYWwpPC9zZWNvbmRhcnktdGl0bGU+
PC90aXRsZXM+PHBlcmlvZGljYWw+PGZ1bGwtdGl0bGU+Sm91cm5hbCBvZiB0aGUgUm95YWwgU3Rh
dGlzdGljYWwgU29jaWV0eTogU2VyaWVzIEIgKE1ldGhvZG9sb2dpY2FsKTwvZnVsbC10aXRsZT48
L3BlcmlvZGljYWw+PHBhZ2VzPjE0MS0xNTQ8L3BhZ2VzPjx2b2x1bWU+MTQ8L3ZvbHVtZT48bnVt
YmVyPjI8L251bWJlcj48ZGF0ZXM+PHllYXI+MTk1MjwveWVhcj48L2RhdGVzPjxpc2JuPjAwMzUt
OTI0NjwvaXNibj48dXJscz48cmVsYXRlZC11cmxzPjx1cmw+aHR0cHM6Ly9yc3Mub25saW5lbGli
cmFyeS53aWxleS5jb20vZG9pL2Ficy8xMC4xMTExL2ouMjUxNy02MTYxLjE5NTIudGIwMDEwOC54
PC91cmw+PC9yZWxhdGVkLXVybHM+PC91cmxzPjxlbGVjdHJvbmljLXJlc291cmNlLW51bT4xMC4x
MTExL2ouMjUxNy02MTYxLjE5NTIudGIwMDEwOC54PC9lbGVjdHJvbmljLXJlc291cmNlLW51bT48
L3JlY29yZD48L0NpdGU+PENpdGU+PEF1dGhvcj5Lw7ZuZW1hbm48L0F1dGhvcj48WWVhcj4xOTgx
PC9ZZWFyPjxSZWNOdW0+MTQxPC9SZWNOdW0+PHJlY29yZD48cmVjLW51bWJlcj4xNDE8L3JlYy1u
dW1iZXI+PGZvcmVpZ24ta2V5cz48a2V5IGFwcD0iRU4iIGRiLWlkPSJ4dHB2cHd6MHVmeGEybWU1
dHY2djJwcm4yZXo1cDlhdHN2dHIiIHRpbWVzdGFtcD0iMTU1NTk4NTk4NiI+MTQxPC9rZXk+PC9m
b3JlaWduLWtleXM+PHJlZi10eXBlIG5hbWU9IkpvdXJuYWwgQXJ0aWNsZSI+MTc8L3JlZi10eXBl
Pjxjb250cmlidXRvcnM+PGF1dGhvcnM+PGF1dGhvcj5Lw7ZuZW1hbm4sIEhhbnM8L2F1dGhvcj48
L2F1dGhvcnM+PC9jb250cmlidXRvcnM+PHRpdGxlcz48dGl0bGU+RmlzaCB0b3hpY2l0eSB0ZXN0
cyB3aXRoIG1peHR1cmVzIG9mIG1vcmUgdGhhbiB0d28gY2hlbWljYWxzOiBBIHByb3Bvc2FsIGZv
ciBhIHF1YW50aXRhdGl2ZSBhcHByb2FjaCBhbmQgZXhwZXJpbWVudGFsIHJlc3VsdHM8L3RpdGxl
PjxzZWNvbmRhcnktdGl0bGU+VG94aWNvbG9neTwvc2Vjb25kYXJ5LXRpdGxlPjwvdGl0bGVzPjxw
ZXJpb2RpY2FsPjxmdWxsLXRpdGxlPlRveGljb2xvZ3k8L2Z1bGwtdGl0bGU+PC9wZXJpb2RpY2Fs
PjxwYWdlcz4yMjktMjM4PC9wYWdlcz48dm9sdW1lPjE5PC92b2x1bWU+PG51bWJlcj4zPC9udW1i
ZXI+PGRhdGVzPjx5ZWFyPjE5ODE8L3llYXI+PHB1Yi1kYXRlcz48ZGF0ZT4xOTgxLzAxLzAxLzwv
ZGF0ZT48L3B1Yi1kYXRlcz48L2RhdGVzPjxpc2JuPjAzMDAtNDgzWDwvaXNibj48dXJscz48cmVs
YXRlZC11cmxzPjx1cmw+aHR0cDovL3d3dy5zY2llbmNlZGlyZWN0LmNvbS9zY2llbmNlL2FydGlj
bGUvcGlpLzAzMDA0ODNYODE5MDEzMjM8L3VybD48L3JlbGF0ZWQtdXJscz48L3VybHM+PGVsZWN0
cm9uaWMtcmVzb3VyY2UtbnVtPmh0dHBzOi8vZG9pLm9yZy8xMC4xMDE2LzAzMDAtNDgzWCg4MSk5
MDEzMi0zPC9lbGVjdHJvbmljLXJlc291cmNlLW51bT48L3JlY29yZD48L0NpdGU+PC9FbmROb3Rl
Pn==
</w:fldData>
        </w:fldChar>
      </w:r>
      <w:r>
        <w:rPr>
          <w:rFonts w:cstheme="minorHAnsi"/>
        </w:rPr>
        <w:instrText xml:space="preserve"> ADDIN EN.CITE.DATA </w:instrText>
      </w:r>
      <w:r>
        <w:rPr>
          <w:rFonts w:cstheme="minorHAnsi"/>
        </w:rPr>
      </w:r>
      <w:r>
        <w:rPr>
          <w:rFonts w:cstheme="minorHAnsi"/>
        </w:rPr>
        <w:fldChar w:fldCharType="end"/>
      </w:r>
      <w:r>
        <w:rPr>
          <w:rFonts w:cstheme="minorHAnsi"/>
        </w:rPr>
      </w:r>
      <w:r>
        <w:rPr>
          <w:rFonts w:cstheme="minorHAnsi"/>
        </w:rPr>
        <w:fldChar w:fldCharType="separate"/>
      </w:r>
      <w:r>
        <w:rPr>
          <w:rFonts w:cstheme="minorHAnsi"/>
          <w:noProof/>
        </w:rPr>
        <w:t>(Plackett and Hewlett, 1952)</w:t>
      </w:r>
      <w:r>
        <w:rPr>
          <w:rFonts w:cstheme="minorHAnsi"/>
        </w:rPr>
        <w:fldChar w:fldCharType="end"/>
      </w:r>
      <w:r>
        <w:rPr>
          <w:rFonts w:cstheme="minorHAnsi"/>
        </w:rPr>
        <w:t>.</w:t>
      </w:r>
      <w:r w:rsidRPr="00CD227A">
        <w:rPr>
          <w:rFonts w:cstheme="minorHAnsi"/>
        </w:rPr>
        <w:t xml:space="preserve">  Further details on how the pesticide risk metric calculations were made is provided in Warne et al.</w:t>
      </w:r>
      <w:r>
        <w:rPr>
          <w:rFonts w:cstheme="minorHAnsi"/>
        </w:rPr>
        <w:fldChar w:fldCharType="begin"/>
      </w:r>
      <w:r>
        <w:rPr>
          <w:rFonts w:cstheme="minorHAnsi"/>
        </w:rPr>
        <w:instrText xml:space="preserve"> ADDIN EN.CITE &lt;EndNote&gt;&lt;Cite&gt;&lt;Author&gt;Warne&lt;/Author&gt;&lt;Year&gt;(in prep)&lt;/Year&gt;&lt;RecNum&gt;145&lt;/RecNum&gt;&lt;DisplayText&gt;(Warne et al., (in prep))&lt;/DisplayText&gt;&lt;record&gt;&lt;rec-number&gt;145&lt;/rec-number&gt;&lt;foreign-keys&gt;&lt;key app="EN" db-id="xtpvpwz0ufxa2me5tv6v2prn2ez5p9atsvtr" timestamp="1555986938"&gt;145&lt;/key&gt;&lt;/foreign-keys&gt;&lt;ref-type name="Report"&gt;27&lt;/ref-type&gt;&lt;contributors&gt;&lt;authors&gt;&lt;author&gt;Warne, MStJ., &lt;/author&gt;&lt;author&gt;Neelamraju, C., &lt;/author&gt;&lt;author&gt;Strauss, J., &lt;/author&gt;&lt;author&gt;Smith, R.A., &lt;/author&gt;&lt;author&gt;Turner, R.D.R.,&amp;#xD;Mann, R.M.&lt;/author&gt;&lt;/authors&gt;&lt;/contributors&gt;&lt;titles&gt;&lt;title&gt;Development of a Pesticide Risk Baseline for the Reef 2050 Water Quality Improvement Plan&lt;/title&gt;&lt;/titles&gt;&lt;dates&gt;&lt;year&gt;(in prep)&lt;/year&gt;&lt;/dates&gt;&lt;urls&gt;&lt;/urls&gt;&lt;/record&gt;&lt;/Cite&gt;&lt;/EndNote&gt;</w:instrText>
      </w:r>
      <w:r>
        <w:rPr>
          <w:rFonts w:cstheme="minorHAnsi"/>
        </w:rPr>
        <w:fldChar w:fldCharType="separate"/>
      </w:r>
      <w:r>
        <w:rPr>
          <w:rFonts w:cstheme="minorHAnsi"/>
          <w:noProof/>
        </w:rPr>
        <w:t>(Warne et al., (in prep))</w:t>
      </w:r>
      <w:r>
        <w:rPr>
          <w:rFonts w:cstheme="minorHAnsi"/>
        </w:rPr>
        <w:fldChar w:fldCharType="end"/>
      </w:r>
      <w:r w:rsidRPr="00CD227A">
        <w:rPr>
          <w:rFonts w:cstheme="minorHAnsi"/>
        </w:rPr>
        <w:t>.</w:t>
      </w:r>
    </w:p>
    <w:p w14:paraId="2FC26A32" w14:textId="77777777" w:rsidR="0088154A" w:rsidRDefault="0088154A" w:rsidP="00CC7BC7">
      <w:pPr>
        <w:spacing w:line="276" w:lineRule="auto"/>
        <w:jc w:val="left"/>
        <w:rPr>
          <w:rFonts w:cstheme="minorHAnsi"/>
        </w:rPr>
      </w:pPr>
    </w:p>
    <w:p w14:paraId="5070D578" w14:textId="1A5FF58E" w:rsidR="0088154A" w:rsidRDefault="0088154A" w:rsidP="00CC7BC7">
      <w:pPr>
        <w:spacing w:line="276" w:lineRule="auto"/>
        <w:jc w:val="left"/>
        <w:rPr>
          <w:rFonts w:cstheme="minorHAnsi"/>
        </w:rPr>
      </w:pPr>
      <w:r>
        <w:rPr>
          <w:rFonts w:cstheme="minorHAnsi"/>
        </w:rPr>
        <w:t xml:space="preserve">The result of the </w:t>
      </w:r>
      <w:r w:rsidR="005E2B71">
        <w:rPr>
          <w:rFonts w:cstheme="minorHAnsi"/>
        </w:rPr>
        <w:t>ms</w:t>
      </w:r>
      <w:r w:rsidR="005E2B71">
        <w:rPr>
          <w:rFonts w:cstheme="minorHAnsi"/>
        </w:rPr>
        <w:noBreakHyphen/>
        <w:t>PAF</w:t>
      </w:r>
      <w:r>
        <w:rPr>
          <w:rFonts w:cstheme="minorHAnsi"/>
        </w:rPr>
        <w:t xml:space="preserve"> analysis provides an estimate of the toxicity of the mixture of pesticides in each passive sampler device or water sample expressed as a percentage of species affected. </w:t>
      </w:r>
    </w:p>
    <w:p w14:paraId="13BA41DD" w14:textId="77777777" w:rsidR="007D68AF" w:rsidRPr="00CD227A" w:rsidRDefault="007D68AF" w:rsidP="00CC7BC7">
      <w:pPr>
        <w:spacing w:line="276" w:lineRule="auto"/>
        <w:jc w:val="left"/>
        <w:rPr>
          <w:rFonts w:cstheme="minorHAnsi"/>
        </w:rPr>
      </w:pPr>
    </w:p>
    <w:p w14:paraId="6B7D6E3C" w14:textId="66CFB3E3" w:rsidR="0088154A" w:rsidRDefault="0088154A" w:rsidP="00CC7BC7">
      <w:pPr>
        <w:spacing w:line="276" w:lineRule="auto"/>
        <w:jc w:val="left"/>
        <w:rPr>
          <w:rFonts w:cstheme="minorHAnsi"/>
        </w:rPr>
      </w:pPr>
      <w:r w:rsidRPr="00CD227A">
        <w:rPr>
          <w:rFonts w:cstheme="minorHAnsi"/>
        </w:rPr>
        <w:t xml:space="preserve">The corresponding per cent species protected (calculated for each </w:t>
      </w:r>
      <w:r>
        <w:rPr>
          <w:rFonts w:cstheme="minorHAnsi"/>
        </w:rPr>
        <w:t>passive sampler at 11 monitoring sites</w:t>
      </w:r>
      <w:r w:rsidRPr="00CD227A">
        <w:rPr>
          <w:rFonts w:cstheme="minorHAnsi"/>
        </w:rPr>
        <w:t xml:space="preserve">) were then allocated to the risk categories presented in </w:t>
      </w:r>
      <w:r w:rsidR="007D68AF">
        <w:rPr>
          <w:rFonts w:cstheme="minorHAnsi"/>
        </w:rPr>
        <w:fldChar w:fldCharType="begin"/>
      </w:r>
      <w:r w:rsidR="007D68AF">
        <w:rPr>
          <w:rFonts w:cstheme="minorHAnsi"/>
        </w:rPr>
        <w:instrText xml:space="preserve"> REF _Ref10542008 \h </w:instrText>
      </w:r>
      <w:r w:rsidR="002439C8">
        <w:rPr>
          <w:rFonts w:cstheme="minorHAnsi"/>
        </w:rPr>
        <w:instrText xml:space="preserve"> \* MERGEFORMAT </w:instrText>
      </w:r>
      <w:r w:rsidR="007D68AF">
        <w:rPr>
          <w:rFonts w:cstheme="minorHAnsi"/>
        </w:rPr>
      </w:r>
      <w:r w:rsidR="007D68AF">
        <w:rPr>
          <w:rFonts w:cstheme="minorHAnsi"/>
        </w:rPr>
        <w:fldChar w:fldCharType="separate"/>
      </w:r>
      <w:r w:rsidR="00251B46" w:rsidRPr="008C4AFC">
        <w:t xml:space="preserve">Table </w:t>
      </w:r>
      <w:r w:rsidR="00251B46" w:rsidRPr="00251B46">
        <w:rPr>
          <w:noProof/>
        </w:rPr>
        <w:t>7</w:t>
      </w:r>
      <w:r w:rsidR="007D68AF">
        <w:rPr>
          <w:rFonts w:cstheme="minorHAnsi"/>
        </w:rPr>
        <w:fldChar w:fldCharType="end"/>
      </w:r>
      <w:r w:rsidRPr="00CD227A">
        <w:rPr>
          <w:rFonts w:cstheme="minorHAnsi"/>
        </w:rPr>
        <w:t xml:space="preserve">. These categories are consistent with the ecological condition categories used in the </w:t>
      </w:r>
      <w:hyperlink r:id="rId59" w:history="1">
        <w:r w:rsidRPr="00C95949">
          <w:rPr>
            <w:rStyle w:val="Hyperlink"/>
            <w:rFonts w:cstheme="minorHAnsi"/>
          </w:rPr>
          <w:t>Australian and New Zealand Water Quality Guidelines for Fresh and Marine Waters</w:t>
        </w:r>
      </w:hyperlink>
      <w:r w:rsidRPr="00CD227A">
        <w:rPr>
          <w:rFonts w:cstheme="minorHAnsi"/>
        </w:rPr>
        <w:t>.</w:t>
      </w:r>
    </w:p>
    <w:p w14:paraId="45FAE16B" w14:textId="77777777" w:rsidR="0088154A" w:rsidRPr="00CD227A" w:rsidRDefault="0088154A" w:rsidP="00CC7BC7">
      <w:pPr>
        <w:spacing w:line="276" w:lineRule="auto"/>
        <w:jc w:val="left"/>
        <w:rPr>
          <w:rFonts w:cstheme="minorHAnsi"/>
        </w:rPr>
      </w:pPr>
    </w:p>
    <w:p w14:paraId="44A695D2" w14:textId="5BC4C4C2" w:rsidR="0088154A" w:rsidRDefault="0088154A" w:rsidP="00CC7BC7">
      <w:pPr>
        <w:spacing w:line="276" w:lineRule="auto"/>
        <w:jc w:val="left"/>
        <w:rPr>
          <w:rFonts w:cstheme="minorHAnsi"/>
          <w:color w:val="222222"/>
          <w:shd w:val="clear" w:color="auto" w:fill="FFFFFF"/>
        </w:rPr>
      </w:pPr>
      <w:r w:rsidRPr="00C7032A">
        <w:rPr>
          <w:rFonts w:cstheme="minorHAnsi"/>
        </w:rPr>
        <w:t xml:space="preserve">For the 2018 report card onwards, </w:t>
      </w:r>
      <w:r w:rsidR="005E2B71">
        <w:rPr>
          <w:rFonts w:cstheme="minorHAnsi"/>
        </w:rPr>
        <w:t>ms</w:t>
      </w:r>
      <w:r w:rsidR="005E2B71">
        <w:rPr>
          <w:rFonts w:cstheme="minorHAnsi"/>
        </w:rPr>
        <w:noBreakHyphen/>
        <w:t>PAF</w:t>
      </w:r>
      <w:r w:rsidRPr="00C7032A">
        <w:rPr>
          <w:rFonts w:cstheme="minorHAnsi"/>
        </w:rPr>
        <w:t xml:space="preserve"> values were used to determine pesticide grades. All values</w:t>
      </w:r>
      <w:r w:rsidRPr="00CD227A">
        <w:rPr>
          <w:rFonts w:cstheme="minorHAnsi"/>
        </w:rPr>
        <w:t xml:space="preserve"> were rounded to the nearest whole number.</w:t>
      </w:r>
      <w:r w:rsidRPr="00CD227A">
        <w:rPr>
          <w:rFonts w:cstheme="minorHAnsi"/>
          <w:color w:val="222222"/>
          <w:shd w:val="clear" w:color="auto" w:fill="FFFFFF"/>
        </w:rPr>
        <w:t xml:space="preserve"> </w:t>
      </w:r>
    </w:p>
    <w:p w14:paraId="45CE6BDC" w14:textId="77777777" w:rsidR="0088154A" w:rsidRDefault="0088154A" w:rsidP="00CC7BC7"/>
    <w:p w14:paraId="1B0CB735" w14:textId="77777777" w:rsidR="0088154A" w:rsidRPr="008C4AFC" w:rsidRDefault="0088154A" w:rsidP="002439C8">
      <w:pPr>
        <w:pStyle w:val="Caption"/>
        <w:keepNext/>
        <w:rPr>
          <w:b w:val="0"/>
        </w:rPr>
      </w:pPr>
      <w:bookmarkStart w:id="673" w:name="_Ref10542008"/>
      <w:bookmarkStart w:id="674" w:name="_Toc6916721"/>
      <w:bookmarkStart w:id="675" w:name="_Ref10542004"/>
      <w:bookmarkStart w:id="676" w:name="_Toc14435328"/>
      <w:r w:rsidRPr="008C4AFC">
        <w:rPr>
          <w:b w:val="0"/>
        </w:rPr>
        <w:t xml:space="preserve">Table </w:t>
      </w:r>
      <w:r w:rsidRPr="008C4AFC">
        <w:rPr>
          <w:b w:val="0"/>
        </w:rPr>
        <w:fldChar w:fldCharType="begin"/>
      </w:r>
      <w:r w:rsidRPr="008C4AFC">
        <w:rPr>
          <w:b w:val="0"/>
        </w:rPr>
        <w:instrText xml:space="preserve"> SEQ Table \* ARABIC </w:instrText>
      </w:r>
      <w:r w:rsidRPr="008C4AFC">
        <w:rPr>
          <w:b w:val="0"/>
        </w:rPr>
        <w:fldChar w:fldCharType="separate"/>
      </w:r>
      <w:r w:rsidR="00251B46">
        <w:rPr>
          <w:b w:val="0"/>
          <w:noProof/>
        </w:rPr>
        <w:t>7</w:t>
      </w:r>
      <w:r w:rsidRPr="008C4AFC">
        <w:rPr>
          <w:b w:val="0"/>
        </w:rPr>
        <w:fldChar w:fldCharType="end"/>
      </w:r>
      <w:bookmarkEnd w:id="673"/>
      <w:r w:rsidRPr="008C4AFC">
        <w:rPr>
          <w:b w:val="0"/>
        </w:rPr>
        <w:t>: Grading description for the pesticides indicator in the freshwater basin assessments.</w:t>
      </w:r>
      <w:bookmarkEnd w:id="674"/>
      <w:bookmarkEnd w:id="675"/>
      <w:bookmarkEnd w:id="676"/>
    </w:p>
    <w:tbl>
      <w:tblPr>
        <w:tblStyle w:val="TableGrid"/>
        <w:tblW w:w="5000" w:type="pct"/>
        <w:tblLook w:val="04A0" w:firstRow="1" w:lastRow="0" w:firstColumn="1" w:lastColumn="0" w:noHBand="0" w:noVBand="1"/>
        <w:tblCaption w:val="Table 7"/>
        <w:tblDescription w:val="Grading description for the pesticides indicator in the freshwater basin assessments."/>
      </w:tblPr>
      <w:tblGrid>
        <w:gridCol w:w="3275"/>
        <w:gridCol w:w="2608"/>
        <w:gridCol w:w="1567"/>
        <w:gridCol w:w="1567"/>
      </w:tblGrid>
      <w:tr w:rsidR="0088154A" w:rsidRPr="00CD227A" w14:paraId="33CF477D" w14:textId="77777777" w:rsidTr="00553D7D">
        <w:trPr>
          <w:tblHeader/>
        </w:trPr>
        <w:tc>
          <w:tcPr>
            <w:tcW w:w="1816" w:type="pct"/>
            <w:tcBorders>
              <w:bottom w:val="single" w:sz="4" w:space="0" w:color="auto"/>
            </w:tcBorders>
            <w:shd w:val="clear" w:color="auto" w:fill="D9D9D9" w:themeFill="background1" w:themeFillShade="D9"/>
          </w:tcPr>
          <w:p w14:paraId="51DD2F64" w14:textId="77777777" w:rsidR="0088154A" w:rsidRPr="00CD227A" w:rsidRDefault="0088154A" w:rsidP="002439C8">
            <w:pPr>
              <w:pStyle w:val="NormalWeb"/>
              <w:spacing w:before="0" w:beforeAutospacing="0" w:after="0" w:afterAutospacing="0"/>
              <w:jc w:val="left"/>
              <w:rPr>
                <w:rFonts w:asciiTheme="minorHAnsi" w:eastAsiaTheme="minorHAnsi" w:hAnsiTheme="minorHAnsi" w:cstheme="minorHAnsi"/>
                <w:b/>
                <w:sz w:val="18"/>
                <w:szCs w:val="18"/>
              </w:rPr>
            </w:pPr>
            <w:r w:rsidRPr="00CD227A">
              <w:rPr>
                <w:rFonts w:asciiTheme="minorHAnsi" w:eastAsiaTheme="minorHAnsi" w:hAnsiTheme="minorHAnsi" w:cstheme="minorHAnsi"/>
                <w:b/>
                <w:sz w:val="18"/>
                <w:szCs w:val="18"/>
              </w:rPr>
              <w:t>Risk categories</w:t>
            </w:r>
            <w:r>
              <w:rPr>
                <w:rFonts w:asciiTheme="minorHAnsi" w:eastAsiaTheme="minorHAnsi" w:hAnsiTheme="minorHAnsi" w:cstheme="minorHAnsi"/>
                <w:b/>
                <w:sz w:val="18"/>
                <w:szCs w:val="18"/>
              </w:rPr>
              <w:t xml:space="preserve"> </w:t>
            </w:r>
            <w:r w:rsidRPr="00CD227A">
              <w:rPr>
                <w:rFonts w:asciiTheme="minorHAnsi" w:hAnsiTheme="minorHAnsi" w:cstheme="minorHAnsi"/>
                <w:b/>
                <w:bCs/>
                <w:color w:val="000000"/>
                <w:sz w:val="18"/>
                <w:szCs w:val="18"/>
              </w:rPr>
              <w:t>(% species affected)</w:t>
            </w:r>
          </w:p>
        </w:tc>
        <w:tc>
          <w:tcPr>
            <w:tcW w:w="1446" w:type="pct"/>
            <w:tcBorders>
              <w:bottom w:val="single" w:sz="4" w:space="0" w:color="auto"/>
            </w:tcBorders>
            <w:shd w:val="clear" w:color="auto" w:fill="D9D9D9" w:themeFill="background1" w:themeFillShade="D9"/>
          </w:tcPr>
          <w:p w14:paraId="2D6FDF94" w14:textId="77777777" w:rsidR="0088154A" w:rsidRPr="00CD227A" w:rsidRDefault="0088154A" w:rsidP="002439C8">
            <w:pPr>
              <w:pStyle w:val="NormalWeb"/>
              <w:spacing w:before="0" w:beforeAutospacing="0" w:after="0" w:afterAutospacing="0"/>
              <w:jc w:val="left"/>
              <w:rPr>
                <w:rFonts w:asciiTheme="minorHAnsi" w:eastAsiaTheme="minorHAnsi" w:hAnsiTheme="minorHAnsi" w:cstheme="minorHAnsi"/>
                <w:b/>
                <w:sz w:val="18"/>
                <w:szCs w:val="18"/>
              </w:rPr>
            </w:pPr>
            <w:r w:rsidRPr="00CD227A">
              <w:rPr>
                <w:rFonts w:asciiTheme="minorHAnsi" w:eastAsiaTheme="minorHAnsi" w:hAnsiTheme="minorHAnsi" w:cstheme="minorHAnsi"/>
                <w:b/>
                <w:sz w:val="18"/>
                <w:szCs w:val="18"/>
              </w:rPr>
              <w:t>Risk categories</w:t>
            </w:r>
            <w:r>
              <w:rPr>
                <w:rFonts w:asciiTheme="minorHAnsi" w:eastAsiaTheme="minorHAnsi" w:hAnsiTheme="minorHAnsi" w:cstheme="minorHAnsi"/>
                <w:b/>
                <w:sz w:val="18"/>
                <w:szCs w:val="18"/>
              </w:rPr>
              <w:t xml:space="preserve"> (</w:t>
            </w:r>
            <w:r w:rsidRPr="00CD227A">
              <w:rPr>
                <w:rFonts w:asciiTheme="minorHAnsi" w:eastAsiaTheme="minorHAnsi" w:hAnsiTheme="minorHAnsi" w:cstheme="minorHAnsi"/>
                <w:b/>
                <w:sz w:val="18"/>
                <w:szCs w:val="18"/>
              </w:rPr>
              <w:t>% species protected</w:t>
            </w:r>
            <w:r>
              <w:rPr>
                <w:rFonts w:asciiTheme="minorHAnsi" w:eastAsiaTheme="minorHAnsi" w:hAnsiTheme="minorHAnsi" w:cstheme="minorHAnsi"/>
                <w:b/>
                <w:sz w:val="18"/>
                <w:szCs w:val="18"/>
              </w:rPr>
              <w:t>)</w:t>
            </w:r>
          </w:p>
        </w:tc>
        <w:tc>
          <w:tcPr>
            <w:tcW w:w="869" w:type="pct"/>
            <w:tcBorders>
              <w:bottom w:val="single" w:sz="4" w:space="0" w:color="auto"/>
            </w:tcBorders>
            <w:shd w:val="clear" w:color="auto" w:fill="D9D9D9" w:themeFill="background1" w:themeFillShade="D9"/>
          </w:tcPr>
          <w:p w14:paraId="37E0F8D9" w14:textId="77777777" w:rsidR="0088154A" w:rsidRPr="00CD227A" w:rsidRDefault="0088154A" w:rsidP="002439C8">
            <w:pPr>
              <w:pStyle w:val="NormalWeb"/>
              <w:jc w:val="left"/>
              <w:rPr>
                <w:rFonts w:asciiTheme="minorHAnsi" w:eastAsiaTheme="minorHAnsi" w:hAnsiTheme="minorHAnsi" w:cstheme="minorHAnsi"/>
                <w:b/>
                <w:sz w:val="18"/>
                <w:szCs w:val="18"/>
              </w:rPr>
            </w:pPr>
            <w:r>
              <w:rPr>
                <w:rFonts w:asciiTheme="minorHAnsi" w:eastAsiaTheme="minorHAnsi" w:hAnsiTheme="minorHAnsi" w:cstheme="minorHAnsi"/>
                <w:b/>
                <w:sz w:val="18"/>
                <w:szCs w:val="18"/>
              </w:rPr>
              <w:t>Risk category</w:t>
            </w:r>
          </w:p>
        </w:tc>
        <w:tc>
          <w:tcPr>
            <w:tcW w:w="869" w:type="pct"/>
            <w:tcBorders>
              <w:bottom w:val="single" w:sz="4" w:space="0" w:color="auto"/>
            </w:tcBorders>
            <w:shd w:val="clear" w:color="auto" w:fill="D9D9D9" w:themeFill="background1" w:themeFillShade="D9"/>
          </w:tcPr>
          <w:p w14:paraId="4CB76CA1" w14:textId="77777777" w:rsidR="0088154A" w:rsidRPr="00CD227A" w:rsidRDefault="0088154A" w:rsidP="002439C8">
            <w:pPr>
              <w:pStyle w:val="NormalWeb"/>
              <w:jc w:val="left"/>
              <w:rPr>
                <w:rFonts w:asciiTheme="minorHAnsi" w:eastAsiaTheme="minorHAnsi" w:hAnsiTheme="minorHAnsi" w:cstheme="minorHAnsi"/>
                <w:b/>
                <w:sz w:val="18"/>
                <w:szCs w:val="18"/>
              </w:rPr>
            </w:pPr>
            <w:r w:rsidRPr="00CD227A">
              <w:rPr>
                <w:rFonts w:asciiTheme="minorHAnsi" w:eastAsiaTheme="minorHAnsi" w:hAnsiTheme="minorHAnsi" w:cstheme="minorHAnsi"/>
                <w:b/>
                <w:sz w:val="18"/>
                <w:szCs w:val="18"/>
              </w:rPr>
              <w:t>Risk Level</w:t>
            </w:r>
          </w:p>
        </w:tc>
      </w:tr>
      <w:tr w:rsidR="0088154A" w:rsidRPr="00CD227A" w14:paraId="04A8CA59" w14:textId="77777777" w:rsidTr="008844FF">
        <w:tc>
          <w:tcPr>
            <w:tcW w:w="1816" w:type="pct"/>
            <w:tcBorders>
              <w:bottom w:val="single" w:sz="4" w:space="0" w:color="auto"/>
            </w:tcBorders>
            <w:shd w:val="clear" w:color="auto" w:fill="auto"/>
          </w:tcPr>
          <w:p w14:paraId="31F64893"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Calibri" w:hAnsi="Calibri" w:cs="Calibri"/>
                <w:sz w:val="18"/>
                <w:szCs w:val="18"/>
                <w:lang w:eastAsia="en-US"/>
              </w:rPr>
              <w:t>≤1.0%</w:t>
            </w:r>
          </w:p>
        </w:tc>
        <w:tc>
          <w:tcPr>
            <w:tcW w:w="1446" w:type="pct"/>
            <w:tcBorders>
              <w:bottom w:val="single" w:sz="4" w:space="0" w:color="auto"/>
            </w:tcBorders>
          </w:tcPr>
          <w:p w14:paraId="504AF1CA"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Calibri" w:hAnsi="Calibri" w:cs="Calibri"/>
                <w:sz w:val="18"/>
                <w:szCs w:val="18"/>
                <w:lang w:eastAsia="en-US"/>
              </w:rPr>
              <w:t>≥99%</w:t>
            </w:r>
          </w:p>
        </w:tc>
        <w:tc>
          <w:tcPr>
            <w:tcW w:w="869" w:type="pct"/>
            <w:tcBorders>
              <w:bottom w:val="single" w:sz="4" w:space="0" w:color="auto"/>
            </w:tcBorders>
            <w:shd w:val="clear" w:color="auto" w:fill="00B050"/>
          </w:tcPr>
          <w:p w14:paraId="662AA9AC"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Theme="minorHAnsi" w:eastAsiaTheme="minorHAnsi" w:hAnsiTheme="minorHAnsi" w:cstheme="minorHAnsi"/>
                <w:sz w:val="18"/>
                <w:szCs w:val="18"/>
              </w:rPr>
              <w:t>5</w:t>
            </w:r>
          </w:p>
        </w:tc>
        <w:tc>
          <w:tcPr>
            <w:tcW w:w="869" w:type="pct"/>
            <w:tcBorders>
              <w:bottom w:val="single" w:sz="4" w:space="0" w:color="auto"/>
            </w:tcBorders>
            <w:shd w:val="clear" w:color="auto" w:fill="00B050"/>
          </w:tcPr>
          <w:p w14:paraId="0DBC1CC8" w14:textId="77777777" w:rsidR="0088154A" w:rsidRPr="00CD227A" w:rsidRDefault="0088154A" w:rsidP="002439C8">
            <w:pPr>
              <w:pStyle w:val="NormalWeb"/>
              <w:jc w:val="left"/>
              <w:rPr>
                <w:rFonts w:asciiTheme="minorHAnsi" w:eastAsiaTheme="minorHAnsi" w:hAnsiTheme="minorHAnsi" w:cstheme="minorHAnsi"/>
                <w:sz w:val="18"/>
                <w:szCs w:val="18"/>
              </w:rPr>
            </w:pPr>
            <w:r w:rsidRPr="00CD227A">
              <w:rPr>
                <w:rFonts w:asciiTheme="minorHAnsi" w:eastAsiaTheme="minorHAnsi" w:hAnsiTheme="minorHAnsi" w:cstheme="minorHAnsi"/>
                <w:sz w:val="18"/>
                <w:szCs w:val="18"/>
              </w:rPr>
              <w:t>Very low risk</w:t>
            </w:r>
          </w:p>
        </w:tc>
      </w:tr>
      <w:tr w:rsidR="0088154A" w:rsidRPr="00CD227A" w14:paraId="2C00EDB3" w14:textId="77777777" w:rsidTr="008844FF">
        <w:tc>
          <w:tcPr>
            <w:tcW w:w="1816" w:type="pct"/>
            <w:tcBorders>
              <w:bottom w:val="single" w:sz="4" w:space="0" w:color="auto"/>
            </w:tcBorders>
            <w:shd w:val="clear" w:color="auto" w:fill="auto"/>
          </w:tcPr>
          <w:p w14:paraId="5A6779D1"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Calibri" w:hAnsi="Calibri" w:cs="Calibri"/>
                <w:sz w:val="18"/>
                <w:szCs w:val="18"/>
                <w:lang w:eastAsia="en-US"/>
              </w:rPr>
              <w:t xml:space="preserve">&gt;1 </w:t>
            </w:r>
            <w:r>
              <w:rPr>
                <w:rFonts w:ascii="Calibri" w:hAnsi="Calibri" w:cs="Calibri"/>
                <w:b/>
                <w:bCs/>
                <w:color w:val="000000"/>
                <w:sz w:val="18"/>
                <w:szCs w:val="18"/>
                <w:lang w:eastAsia="en-US"/>
              </w:rPr>
              <w:t xml:space="preserve">‒ </w:t>
            </w:r>
            <w:r>
              <w:rPr>
                <w:rFonts w:ascii="Calibri" w:hAnsi="Calibri" w:cs="Calibri"/>
                <w:color w:val="000000"/>
                <w:sz w:val="18"/>
                <w:szCs w:val="18"/>
                <w:lang w:eastAsia="en-US"/>
              </w:rPr>
              <w:t>&lt;</w:t>
            </w:r>
            <w:r>
              <w:rPr>
                <w:rFonts w:ascii="Calibri" w:hAnsi="Calibri" w:cs="Calibri"/>
                <w:sz w:val="18"/>
                <w:szCs w:val="18"/>
                <w:lang w:eastAsia="en-US"/>
              </w:rPr>
              <w:t>5%</w:t>
            </w:r>
          </w:p>
        </w:tc>
        <w:tc>
          <w:tcPr>
            <w:tcW w:w="1446" w:type="pct"/>
            <w:tcBorders>
              <w:bottom w:val="single" w:sz="4" w:space="0" w:color="auto"/>
            </w:tcBorders>
          </w:tcPr>
          <w:p w14:paraId="4EB93DB0"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Calibri" w:hAnsi="Calibri" w:cs="Calibri"/>
                <w:sz w:val="18"/>
                <w:szCs w:val="18"/>
                <w:lang w:eastAsia="en-US"/>
              </w:rPr>
              <w:t xml:space="preserve">&gt;95 </w:t>
            </w:r>
            <w:r>
              <w:rPr>
                <w:rFonts w:ascii="Calibri" w:hAnsi="Calibri" w:cs="Calibri"/>
                <w:b/>
                <w:bCs/>
                <w:color w:val="000000"/>
                <w:sz w:val="18"/>
                <w:szCs w:val="18"/>
                <w:lang w:eastAsia="en-US"/>
              </w:rPr>
              <w:t>‒</w:t>
            </w:r>
            <w:r>
              <w:rPr>
                <w:rFonts w:ascii="Calibri" w:hAnsi="Calibri" w:cs="Calibri"/>
                <w:sz w:val="18"/>
                <w:szCs w:val="18"/>
                <w:lang w:eastAsia="en-US"/>
              </w:rPr>
              <w:t xml:space="preserve"> &lt;99%</w:t>
            </w:r>
          </w:p>
        </w:tc>
        <w:tc>
          <w:tcPr>
            <w:tcW w:w="869" w:type="pct"/>
            <w:tcBorders>
              <w:bottom w:val="single" w:sz="4" w:space="0" w:color="auto"/>
            </w:tcBorders>
            <w:shd w:val="clear" w:color="auto" w:fill="92D050"/>
          </w:tcPr>
          <w:p w14:paraId="33805EF5"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Theme="minorHAnsi" w:eastAsiaTheme="minorHAnsi" w:hAnsiTheme="minorHAnsi" w:cstheme="minorHAnsi"/>
                <w:sz w:val="18"/>
                <w:szCs w:val="18"/>
              </w:rPr>
              <w:t>4</w:t>
            </w:r>
          </w:p>
        </w:tc>
        <w:tc>
          <w:tcPr>
            <w:tcW w:w="869" w:type="pct"/>
            <w:tcBorders>
              <w:bottom w:val="single" w:sz="4" w:space="0" w:color="auto"/>
            </w:tcBorders>
            <w:shd w:val="clear" w:color="auto" w:fill="92D050"/>
          </w:tcPr>
          <w:p w14:paraId="5EC7A48F" w14:textId="77777777" w:rsidR="0088154A" w:rsidRPr="00CD227A" w:rsidRDefault="0088154A" w:rsidP="002439C8">
            <w:pPr>
              <w:pStyle w:val="NormalWeb"/>
              <w:jc w:val="left"/>
              <w:rPr>
                <w:rFonts w:asciiTheme="minorHAnsi" w:eastAsiaTheme="minorHAnsi" w:hAnsiTheme="minorHAnsi" w:cstheme="minorHAnsi"/>
                <w:sz w:val="18"/>
                <w:szCs w:val="18"/>
              </w:rPr>
            </w:pPr>
            <w:r w:rsidRPr="00CD227A">
              <w:rPr>
                <w:rFonts w:asciiTheme="minorHAnsi" w:eastAsiaTheme="minorHAnsi" w:hAnsiTheme="minorHAnsi" w:cstheme="minorHAnsi"/>
                <w:sz w:val="18"/>
                <w:szCs w:val="18"/>
              </w:rPr>
              <w:t>Low risk</w:t>
            </w:r>
          </w:p>
        </w:tc>
      </w:tr>
      <w:tr w:rsidR="0088154A" w:rsidRPr="00CD227A" w14:paraId="00543DA8" w14:textId="77777777" w:rsidTr="008844FF">
        <w:tc>
          <w:tcPr>
            <w:tcW w:w="1816" w:type="pct"/>
            <w:tcBorders>
              <w:bottom w:val="single" w:sz="4" w:space="0" w:color="auto"/>
            </w:tcBorders>
            <w:shd w:val="clear" w:color="auto" w:fill="auto"/>
          </w:tcPr>
          <w:p w14:paraId="3AABA725"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Calibri" w:hAnsi="Calibri" w:cs="Calibri"/>
                <w:sz w:val="18"/>
                <w:szCs w:val="18"/>
                <w:lang w:eastAsia="en-US"/>
              </w:rPr>
              <w:t xml:space="preserve">5 </w:t>
            </w:r>
            <w:r>
              <w:rPr>
                <w:rFonts w:ascii="Calibri" w:hAnsi="Calibri" w:cs="Calibri"/>
                <w:color w:val="000000"/>
                <w:sz w:val="18"/>
                <w:szCs w:val="18"/>
                <w:lang w:eastAsia="en-US"/>
              </w:rPr>
              <w:t>‒ &lt;</w:t>
            </w:r>
            <w:r>
              <w:rPr>
                <w:rFonts w:ascii="Calibri" w:hAnsi="Calibri" w:cs="Calibri"/>
                <w:sz w:val="18"/>
                <w:szCs w:val="18"/>
                <w:lang w:eastAsia="en-US"/>
              </w:rPr>
              <w:t>10%</w:t>
            </w:r>
          </w:p>
        </w:tc>
        <w:tc>
          <w:tcPr>
            <w:tcW w:w="1446" w:type="pct"/>
            <w:tcBorders>
              <w:bottom w:val="single" w:sz="4" w:space="0" w:color="auto"/>
            </w:tcBorders>
          </w:tcPr>
          <w:p w14:paraId="66381C58"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Calibri" w:hAnsi="Calibri" w:cs="Calibri"/>
                <w:sz w:val="18"/>
                <w:szCs w:val="18"/>
                <w:lang w:eastAsia="en-US"/>
              </w:rPr>
              <w:t xml:space="preserve">&gt;90 </w:t>
            </w:r>
            <w:r>
              <w:rPr>
                <w:rFonts w:ascii="Calibri" w:hAnsi="Calibri" w:cs="Calibri"/>
                <w:b/>
                <w:bCs/>
                <w:color w:val="000000"/>
                <w:sz w:val="18"/>
                <w:szCs w:val="18"/>
                <w:lang w:eastAsia="en-US"/>
              </w:rPr>
              <w:t>‒</w:t>
            </w:r>
            <w:r>
              <w:rPr>
                <w:rFonts w:ascii="Calibri" w:hAnsi="Calibri" w:cs="Calibri"/>
                <w:sz w:val="18"/>
                <w:szCs w:val="18"/>
                <w:lang w:eastAsia="en-US"/>
              </w:rPr>
              <w:t xml:space="preserve"> 95%</w:t>
            </w:r>
          </w:p>
        </w:tc>
        <w:tc>
          <w:tcPr>
            <w:tcW w:w="869" w:type="pct"/>
            <w:tcBorders>
              <w:bottom w:val="single" w:sz="4" w:space="0" w:color="auto"/>
            </w:tcBorders>
            <w:shd w:val="clear" w:color="auto" w:fill="FFFF00"/>
          </w:tcPr>
          <w:p w14:paraId="11A43703"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Theme="minorHAnsi" w:eastAsiaTheme="minorHAnsi" w:hAnsiTheme="minorHAnsi" w:cstheme="minorHAnsi"/>
                <w:sz w:val="18"/>
                <w:szCs w:val="18"/>
              </w:rPr>
              <w:t>3</w:t>
            </w:r>
          </w:p>
        </w:tc>
        <w:tc>
          <w:tcPr>
            <w:tcW w:w="869" w:type="pct"/>
            <w:tcBorders>
              <w:bottom w:val="single" w:sz="4" w:space="0" w:color="auto"/>
            </w:tcBorders>
            <w:shd w:val="clear" w:color="auto" w:fill="FFFF00"/>
          </w:tcPr>
          <w:p w14:paraId="63DF15CD" w14:textId="77777777" w:rsidR="0088154A" w:rsidRPr="00CD227A" w:rsidRDefault="0088154A" w:rsidP="002439C8">
            <w:pPr>
              <w:pStyle w:val="NormalWeb"/>
              <w:jc w:val="left"/>
              <w:rPr>
                <w:rFonts w:asciiTheme="minorHAnsi" w:eastAsiaTheme="minorHAnsi" w:hAnsiTheme="minorHAnsi" w:cstheme="minorHAnsi"/>
                <w:sz w:val="18"/>
                <w:szCs w:val="18"/>
              </w:rPr>
            </w:pPr>
            <w:r w:rsidRPr="00CD227A">
              <w:rPr>
                <w:rFonts w:asciiTheme="minorHAnsi" w:eastAsiaTheme="minorHAnsi" w:hAnsiTheme="minorHAnsi" w:cstheme="minorHAnsi"/>
                <w:sz w:val="18"/>
                <w:szCs w:val="18"/>
              </w:rPr>
              <w:t>Moderate risk</w:t>
            </w:r>
          </w:p>
        </w:tc>
      </w:tr>
      <w:tr w:rsidR="0088154A" w:rsidRPr="00CD227A" w14:paraId="6D4DB23C" w14:textId="77777777" w:rsidTr="008844FF">
        <w:tc>
          <w:tcPr>
            <w:tcW w:w="1816" w:type="pct"/>
            <w:tcBorders>
              <w:bottom w:val="single" w:sz="4" w:space="0" w:color="auto"/>
            </w:tcBorders>
            <w:shd w:val="clear" w:color="auto" w:fill="auto"/>
          </w:tcPr>
          <w:p w14:paraId="3ACE03E3"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Calibri" w:hAnsi="Calibri" w:cs="Calibri"/>
                <w:sz w:val="18"/>
                <w:szCs w:val="18"/>
                <w:lang w:eastAsia="en-US"/>
              </w:rPr>
              <w:t xml:space="preserve">10 </w:t>
            </w:r>
            <w:r>
              <w:rPr>
                <w:rFonts w:ascii="Calibri" w:hAnsi="Calibri" w:cs="Calibri"/>
                <w:b/>
                <w:bCs/>
                <w:color w:val="000000"/>
                <w:sz w:val="18"/>
                <w:szCs w:val="18"/>
                <w:lang w:eastAsia="en-US"/>
              </w:rPr>
              <w:t>‒</w:t>
            </w:r>
            <w:r>
              <w:rPr>
                <w:rFonts w:ascii="Calibri" w:hAnsi="Calibri" w:cs="Calibri"/>
                <w:color w:val="000000"/>
                <w:sz w:val="18"/>
                <w:szCs w:val="18"/>
                <w:lang w:eastAsia="en-US"/>
              </w:rPr>
              <w:t xml:space="preserve"> &lt;</w:t>
            </w:r>
            <w:r>
              <w:rPr>
                <w:rFonts w:ascii="Calibri" w:hAnsi="Calibri" w:cs="Calibri"/>
                <w:sz w:val="18"/>
                <w:szCs w:val="18"/>
                <w:lang w:eastAsia="en-US"/>
              </w:rPr>
              <w:t>20%</w:t>
            </w:r>
          </w:p>
        </w:tc>
        <w:tc>
          <w:tcPr>
            <w:tcW w:w="1446" w:type="pct"/>
            <w:tcBorders>
              <w:bottom w:val="single" w:sz="4" w:space="0" w:color="auto"/>
            </w:tcBorders>
          </w:tcPr>
          <w:p w14:paraId="0C77FB9A"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Calibri" w:hAnsi="Calibri" w:cs="Calibri"/>
                <w:sz w:val="18"/>
                <w:szCs w:val="18"/>
                <w:lang w:eastAsia="en-US"/>
              </w:rPr>
              <w:t xml:space="preserve">&gt;80 </w:t>
            </w:r>
            <w:r>
              <w:rPr>
                <w:rFonts w:ascii="Calibri" w:hAnsi="Calibri" w:cs="Calibri"/>
                <w:b/>
                <w:bCs/>
                <w:color w:val="000000"/>
                <w:sz w:val="18"/>
                <w:szCs w:val="18"/>
                <w:lang w:eastAsia="en-US"/>
              </w:rPr>
              <w:t>‒</w:t>
            </w:r>
            <w:r>
              <w:rPr>
                <w:rFonts w:ascii="Calibri" w:hAnsi="Calibri" w:cs="Calibri"/>
                <w:sz w:val="18"/>
                <w:szCs w:val="18"/>
                <w:lang w:eastAsia="en-US"/>
              </w:rPr>
              <w:t xml:space="preserve"> 90%</w:t>
            </w:r>
          </w:p>
        </w:tc>
        <w:tc>
          <w:tcPr>
            <w:tcW w:w="869" w:type="pct"/>
            <w:tcBorders>
              <w:bottom w:val="single" w:sz="4" w:space="0" w:color="auto"/>
            </w:tcBorders>
            <w:shd w:val="clear" w:color="auto" w:fill="FFC000"/>
          </w:tcPr>
          <w:p w14:paraId="71FC0687"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Theme="minorHAnsi" w:eastAsiaTheme="minorHAnsi" w:hAnsiTheme="minorHAnsi" w:cstheme="minorHAnsi"/>
                <w:sz w:val="18"/>
                <w:szCs w:val="18"/>
              </w:rPr>
              <w:t>2</w:t>
            </w:r>
          </w:p>
        </w:tc>
        <w:tc>
          <w:tcPr>
            <w:tcW w:w="869" w:type="pct"/>
            <w:tcBorders>
              <w:bottom w:val="single" w:sz="4" w:space="0" w:color="auto"/>
            </w:tcBorders>
            <w:shd w:val="clear" w:color="auto" w:fill="FFC000"/>
          </w:tcPr>
          <w:p w14:paraId="6C936319" w14:textId="77777777" w:rsidR="0088154A" w:rsidRPr="00CD227A" w:rsidRDefault="0088154A" w:rsidP="002439C8">
            <w:pPr>
              <w:pStyle w:val="NormalWeb"/>
              <w:jc w:val="left"/>
              <w:rPr>
                <w:rFonts w:asciiTheme="minorHAnsi" w:eastAsiaTheme="minorHAnsi" w:hAnsiTheme="minorHAnsi" w:cstheme="minorHAnsi"/>
                <w:sz w:val="18"/>
                <w:szCs w:val="18"/>
              </w:rPr>
            </w:pPr>
            <w:r w:rsidRPr="00CD227A">
              <w:rPr>
                <w:rFonts w:asciiTheme="minorHAnsi" w:eastAsiaTheme="minorHAnsi" w:hAnsiTheme="minorHAnsi" w:cstheme="minorHAnsi"/>
                <w:sz w:val="18"/>
                <w:szCs w:val="18"/>
              </w:rPr>
              <w:t>High risk</w:t>
            </w:r>
          </w:p>
        </w:tc>
      </w:tr>
      <w:tr w:rsidR="0088154A" w:rsidRPr="00CD227A" w14:paraId="53245D36" w14:textId="77777777" w:rsidTr="008844FF">
        <w:tc>
          <w:tcPr>
            <w:tcW w:w="1816" w:type="pct"/>
            <w:shd w:val="clear" w:color="auto" w:fill="auto"/>
          </w:tcPr>
          <w:p w14:paraId="58BBA740"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Calibri" w:hAnsi="Calibri" w:cs="Calibri"/>
                <w:sz w:val="18"/>
                <w:szCs w:val="18"/>
                <w:lang w:eastAsia="en-US"/>
              </w:rPr>
              <w:t>≥20.0%</w:t>
            </w:r>
          </w:p>
        </w:tc>
        <w:tc>
          <w:tcPr>
            <w:tcW w:w="1446" w:type="pct"/>
          </w:tcPr>
          <w:p w14:paraId="320C1B0B"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Calibri" w:hAnsi="Calibri" w:cs="Calibri"/>
                <w:sz w:val="18"/>
                <w:szCs w:val="18"/>
                <w:lang w:eastAsia="en-US"/>
              </w:rPr>
              <w:t>≤80%</w:t>
            </w:r>
          </w:p>
        </w:tc>
        <w:tc>
          <w:tcPr>
            <w:tcW w:w="869" w:type="pct"/>
            <w:shd w:val="clear" w:color="auto" w:fill="FF0000"/>
          </w:tcPr>
          <w:p w14:paraId="157631D7" w14:textId="77777777" w:rsidR="0088154A" w:rsidRPr="00CD227A" w:rsidRDefault="0088154A" w:rsidP="002439C8">
            <w:pPr>
              <w:pStyle w:val="NormalWeb"/>
              <w:jc w:val="left"/>
              <w:rPr>
                <w:rFonts w:asciiTheme="minorHAnsi" w:eastAsiaTheme="minorHAnsi" w:hAnsiTheme="minorHAnsi" w:cstheme="minorHAnsi"/>
                <w:sz w:val="18"/>
                <w:szCs w:val="18"/>
              </w:rPr>
            </w:pPr>
            <w:r>
              <w:rPr>
                <w:rFonts w:asciiTheme="minorHAnsi" w:eastAsiaTheme="minorHAnsi" w:hAnsiTheme="minorHAnsi" w:cstheme="minorHAnsi"/>
                <w:sz w:val="18"/>
                <w:szCs w:val="18"/>
              </w:rPr>
              <w:t>1</w:t>
            </w:r>
          </w:p>
        </w:tc>
        <w:tc>
          <w:tcPr>
            <w:tcW w:w="869" w:type="pct"/>
            <w:shd w:val="clear" w:color="auto" w:fill="FF0000"/>
          </w:tcPr>
          <w:p w14:paraId="7262CB76" w14:textId="77777777" w:rsidR="0088154A" w:rsidRPr="00CD227A" w:rsidRDefault="0088154A" w:rsidP="002439C8">
            <w:pPr>
              <w:pStyle w:val="NormalWeb"/>
              <w:jc w:val="left"/>
              <w:rPr>
                <w:rFonts w:asciiTheme="minorHAnsi" w:eastAsiaTheme="minorHAnsi" w:hAnsiTheme="minorHAnsi" w:cstheme="minorHAnsi"/>
                <w:sz w:val="18"/>
                <w:szCs w:val="18"/>
              </w:rPr>
            </w:pPr>
            <w:r w:rsidRPr="00CD227A">
              <w:rPr>
                <w:rFonts w:asciiTheme="minorHAnsi" w:eastAsiaTheme="minorHAnsi" w:hAnsiTheme="minorHAnsi" w:cstheme="minorHAnsi"/>
                <w:sz w:val="18"/>
                <w:szCs w:val="18"/>
              </w:rPr>
              <w:t>Very high risk</w:t>
            </w:r>
          </w:p>
        </w:tc>
      </w:tr>
    </w:tbl>
    <w:p w14:paraId="3518B776" w14:textId="77777777" w:rsidR="0088154A" w:rsidRDefault="0088154A" w:rsidP="002439C8">
      <w:pPr>
        <w:jc w:val="left"/>
        <w:rPr>
          <w:rFonts w:cstheme="minorHAnsi"/>
        </w:rPr>
      </w:pPr>
    </w:p>
    <w:p w14:paraId="1042F15A" w14:textId="77777777" w:rsidR="0088154A" w:rsidRDefault="0088154A" w:rsidP="002439C8">
      <w:pPr>
        <w:jc w:val="left"/>
        <w:rPr>
          <w:rFonts w:cs="Arial"/>
          <w:lang w:val="en-AU"/>
        </w:rPr>
      </w:pPr>
    </w:p>
    <w:p w14:paraId="7331C81C" w14:textId="77777777" w:rsidR="00A33AB7" w:rsidRDefault="00A33AB7" w:rsidP="002439C8">
      <w:pPr>
        <w:ind w:firstLine="357"/>
        <w:jc w:val="left"/>
        <w:rPr>
          <w:rFonts w:cs="Arial"/>
          <w:lang w:val="en-AU"/>
        </w:rPr>
      </w:pPr>
      <w:r>
        <w:rPr>
          <w:rFonts w:cs="Arial"/>
          <w:lang w:val="en-AU"/>
        </w:rPr>
        <w:br w:type="page"/>
      </w:r>
    </w:p>
    <w:p w14:paraId="57D6BFC6" w14:textId="77777777" w:rsidR="00A33AB7" w:rsidRDefault="00A33AB7" w:rsidP="002439C8">
      <w:pPr>
        <w:pStyle w:val="Caption"/>
        <w:spacing w:after="120"/>
        <w:sectPr w:rsidR="00A33AB7" w:rsidSect="009E5D22">
          <w:type w:val="continuous"/>
          <w:pgSz w:w="11907" w:h="16839" w:code="9"/>
          <w:pgMar w:top="1440" w:right="1440" w:bottom="1440" w:left="1440" w:header="709" w:footer="709" w:gutter="0"/>
          <w:cols w:space="708"/>
          <w:docGrid w:linePitch="360"/>
        </w:sectPr>
      </w:pPr>
      <w:bookmarkStart w:id="677" w:name="_Toc502499811"/>
    </w:p>
    <w:p w14:paraId="6487F475" w14:textId="47BA3398" w:rsidR="00A33AB7" w:rsidRPr="00840E64" w:rsidRDefault="00A33AB7" w:rsidP="002439C8">
      <w:pPr>
        <w:pStyle w:val="Caption"/>
        <w:spacing w:after="120"/>
        <w:rPr>
          <w:b w:val="0"/>
        </w:rPr>
      </w:pPr>
      <w:bookmarkStart w:id="678" w:name="_Toc15283229"/>
      <w:r>
        <w:t xml:space="preserve">Table </w:t>
      </w:r>
      <w:r>
        <w:fldChar w:fldCharType="begin"/>
      </w:r>
      <w:r>
        <w:instrText xml:space="preserve"> STYLEREF 7 \s </w:instrText>
      </w:r>
      <w:r>
        <w:fldChar w:fldCharType="separate"/>
      </w:r>
      <w:r w:rsidR="00251B46">
        <w:rPr>
          <w:noProof/>
        </w:rPr>
        <w:t>C</w:t>
      </w:r>
      <w:r>
        <w:fldChar w:fldCharType="end"/>
      </w:r>
      <w:r>
        <w:noBreakHyphen/>
      </w:r>
      <w:r>
        <w:fldChar w:fldCharType="begin"/>
      </w:r>
      <w:r>
        <w:instrText xml:space="preserve"> SEQ Table_Apx \* ARABIC \s 7 </w:instrText>
      </w:r>
      <w:r>
        <w:fldChar w:fldCharType="separate"/>
      </w:r>
      <w:r w:rsidR="00251B46">
        <w:rPr>
          <w:noProof/>
        </w:rPr>
        <w:t>1</w:t>
      </w:r>
      <w:r>
        <w:fldChar w:fldCharType="end"/>
      </w:r>
      <w:r>
        <w:t xml:space="preserve">: </w:t>
      </w:r>
      <w:r w:rsidRPr="00840E64">
        <w:rPr>
          <w:b w:val="0"/>
        </w:rPr>
        <w:t xml:space="preserve">Scientific publications indicating the effect concentrations and the end-points for the reference PSII herbicide diuron used to define specific </w:t>
      </w:r>
      <w:r w:rsidR="005E2B71">
        <w:rPr>
          <w:b w:val="0"/>
        </w:rPr>
        <w:t>PSII</w:t>
      </w:r>
      <w:r w:rsidR="005E2B71">
        <w:rPr>
          <w:b w:val="0"/>
        </w:rPr>
        <w:noBreakHyphen/>
        <w:t>HEq</w:t>
      </w:r>
      <w:r w:rsidRPr="00840E64">
        <w:rPr>
          <w:b w:val="0"/>
        </w:rPr>
        <w:t xml:space="preserve"> Index categories as an indicator for reporting purposes</w:t>
      </w:r>
      <w:bookmarkEnd w:id="677"/>
      <w:bookmarkEnd w:id="678"/>
    </w:p>
    <w:tbl>
      <w:tblPr>
        <w:tblStyle w:val="TableGrid"/>
        <w:tblW w:w="5000" w:type="pct"/>
        <w:tblLook w:val="04A0" w:firstRow="1" w:lastRow="0" w:firstColumn="1" w:lastColumn="0" w:noHBand="0" w:noVBand="1"/>
        <w:tblCaption w:val="Scientific publications indicating the effect concentrations and the end-points for the reference PSII herbicide diuron used to define specific PSII-HEq Index categories as an indicator for reporting purposes"/>
        <w:tblDescription w:val="Scientific publications indicating the effect concentrations and the end-points for the reference PSII herbicide diuron used to define specific PSII-HEq Index categories as an indicator for reporting purposes"/>
      </w:tblPr>
      <w:tblGrid>
        <w:gridCol w:w="885"/>
        <w:gridCol w:w="1350"/>
        <w:gridCol w:w="4527"/>
        <w:gridCol w:w="1151"/>
        <w:gridCol w:w="1283"/>
        <w:gridCol w:w="1472"/>
        <w:gridCol w:w="865"/>
        <w:gridCol w:w="2426"/>
      </w:tblGrid>
      <w:tr w:rsidR="00A33AB7" w:rsidRPr="00AC0CC1" w14:paraId="5536EB94" w14:textId="77777777" w:rsidTr="00A209AA">
        <w:trPr>
          <w:trHeight w:val="176"/>
          <w:tblHeader/>
        </w:trPr>
        <w:tc>
          <w:tcPr>
            <w:tcW w:w="316" w:type="pct"/>
            <w:vMerge w:val="restart"/>
            <w:tcBorders>
              <w:top w:val="single" w:sz="4" w:space="0" w:color="auto"/>
              <w:left w:val="nil"/>
              <w:right w:val="nil"/>
            </w:tcBorders>
            <w:shd w:val="clear" w:color="auto" w:fill="F2F2F2" w:themeFill="background1" w:themeFillShade="F2"/>
            <w:noWrap/>
            <w:vAlign w:val="center"/>
            <w:hideMark/>
          </w:tcPr>
          <w:p w14:paraId="4EBA0B10" w14:textId="77777777" w:rsidR="00A33AB7" w:rsidRPr="00AC0CC1" w:rsidRDefault="00A33AB7" w:rsidP="002439C8">
            <w:pPr>
              <w:spacing w:line="276" w:lineRule="auto"/>
              <w:jc w:val="left"/>
              <w:rPr>
                <w:rFonts w:asciiTheme="minorHAnsi" w:eastAsia="Times New Roman" w:hAnsiTheme="minorHAnsi" w:cstheme="minorHAnsi"/>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Category</w:t>
            </w:r>
          </w:p>
        </w:tc>
        <w:tc>
          <w:tcPr>
            <w:tcW w:w="327" w:type="pct"/>
            <w:vMerge w:val="restart"/>
            <w:tcBorders>
              <w:top w:val="single" w:sz="4" w:space="0" w:color="auto"/>
              <w:left w:val="nil"/>
              <w:right w:val="nil"/>
            </w:tcBorders>
            <w:shd w:val="clear" w:color="auto" w:fill="F2F2F2" w:themeFill="background1" w:themeFillShade="F2"/>
            <w:noWrap/>
            <w:vAlign w:val="center"/>
            <w:hideMark/>
          </w:tcPr>
          <w:p w14:paraId="5247477E" w14:textId="199C9825" w:rsidR="00A33AB7" w:rsidRPr="00AC0CC1" w:rsidRDefault="005E2B71" w:rsidP="002439C8">
            <w:pPr>
              <w:spacing w:line="276" w:lineRule="auto"/>
              <w:jc w:val="left"/>
              <w:rPr>
                <w:rFonts w:asciiTheme="minorHAnsi" w:eastAsia="Times New Roman" w:hAnsiTheme="minorHAnsi" w:cstheme="minorHAnsi"/>
                <w:b/>
                <w:bCs/>
                <w:color w:val="000000"/>
                <w:sz w:val="18"/>
                <w:szCs w:val="16"/>
                <w:lang w:val="en-AU" w:eastAsia="en-AU"/>
              </w:rPr>
            </w:pPr>
            <w:r>
              <w:rPr>
                <w:rFonts w:asciiTheme="minorHAnsi" w:eastAsia="Times New Roman" w:hAnsiTheme="minorHAnsi" w:cstheme="minorHAnsi"/>
                <w:b/>
                <w:bCs/>
                <w:color w:val="000000"/>
                <w:sz w:val="18"/>
                <w:szCs w:val="16"/>
                <w:lang w:val="en-AU" w:eastAsia="en-AU"/>
              </w:rPr>
              <w:t>PSII</w:t>
            </w:r>
            <w:r>
              <w:rPr>
                <w:rFonts w:asciiTheme="minorHAnsi" w:eastAsia="Times New Roman" w:hAnsiTheme="minorHAnsi" w:cstheme="minorHAnsi"/>
                <w:b/>
                <w:bCs/>
                <w:color w:val="000000"/>
                <w:sz w:val="18"/>
                <w:szCs w:val="16"/>
                <w:lang w:val="en-AU" w:eastAsia="en-AU"/>
              </w:rPr>
              <w:noBreakHyphen/>
              <w:t>HEq</w:t>
            </w:r>
            <w:r w:rsidR="00A33AB7" w:rsidRPr="00AC0CC1">
              <w:rPr>
                <w:rFonts w:asciiTheme="minorHAnsi" w:eastAsia="Times New Roman" w:hAnsiTheme="minorHAnsi" w:cstheme="minorHAnsi"/>
                <w:b/>
                <w:bCs/>
                <w:color w:val="000000"/>
                <w:sz w:val="18"/>
                <w:szCs w:val="16"/>
                <w:lang w:val="en-AU" w:eastAsia="en-AU"/>
              </w:rPr>
              <w:t xml:space="preserve"> Range</w:t>
            </w:r>
          </w:p>
          <w:p w14:paraId="138E8F15" w14:textId="1910B51A" w:rsidR="00A33AB7" w:rsidRPr="00AC0CC1" w:rsidRDefault="00A209AA" w:rsidP="002439C8">
            <w:pPr>
              <w:spacing w:line="276" w:lineRule="auto"/>
              <w:jc w:val="left"/>
              <w:rPr>
                <w:rFonts w:asciiTheme="minorHAnsi" w:eastAsia="Times New Roman" w:hAnsiTheme="minorHAnsi" w:cstheme="minorHAnsi"/>
                <w:color w:val="000000"/>
                <w:sz w:val="18"/>
                <w:szCs w:val="16"/>
                <w:lang w:val="en-AU" w:eastAsia="en-AU"/>
              </w:rPr>
            </w:pPr>
            <w:r w:rsidRPr="00A209AA">
              <w:rPr>
                <w:rFonts w:asciiTheme="minorHAnsi" w:eastAsia="Times New Roman" w:hAnsiTheme="minorHAnsi" w:cstheme="minorHAnsi"/>
                <w:b/>
                <w:bCs/>
                <w:color w:val="000000"/>
                <w:sz w:val="18"/>
                <w:szCs w:val="16"/>
                <w:lang w:val="en-AU" w:eastAsia="en-AU"/>
              </w:rPr>
              <w:t>(ng L</w:t>
            </w:r>
            <w:r w:rsidRPr="00A209AA">
              <w:rPr>
                <w:rFonts w:asciiTheme="minorHAnsi" w:eastAsia="Times New Roman" w:hAnsiTheme="minorHAnsi" w:cstheme="minorHAnsi"/>
                <w:b/>
                <w:bCs/>
                <w:color w:val="000000"/>
                <w:sz w:val="18"/>
                <w:szCs w:val="16"/>
                <w:vertAlign w:val="superscript"/>
                <w:lang w:val="en-AU" w:eastAsia="en-AU"/>
              </w:rPr>
              <w:noBreakHyphen/>
              <w:t>1</w:t>
            </w:r>
            <w:r w:rsidR="00A33AB7" w:rsidRPr="00AC0CC1">
              <w:rPr>
                <w:rFonts w:asciiTheme="minorHAnsi" w:eastAsia="Times New Roman" w:hAnsiTheme="minorHAnsi" w:cstheme="minorHAnsi"/>
                <w:b/>
                <w:bCs/>
                <w:color w:val="000000"/>
                <w:sz w:val="18"/>
                <w:szCs w:val="16"/>
                <w:lang w:val="en-AU" w:eastAsia="en-AU"/>
              </w:rPr>
              <w:t>)</w:t>
            </w:r>
          </w:p>
        </w:tc>
        <w:tc>
          <w:tcPr>
            <w:tcW w:w="1787" w:type="pct"/>
            <w:tcBorders>
              <w:top w:val="single" w:sz="4" w:space="0" w:color="auto"/>
              <w:left w:val="nil"/>
              <w:right w:val="nil"/>
            </w:tcBorders>
            <w:shd w:val="clear" w:color="auto" w:fill="F2F2F2" w:themeFill="background1" w:themeFillShade="F2"/>
            <w:noWrap/>
            <w:vAlign w:val="center"/>
            <w:hideMark/>
          </w:tcPr>
          <w:p w14:paraId="5F13D817" w14:textId="77777777" w:rsidR="00A33AB7" w:rsidRPr="00AC0CC1" w:rsidRDefault="00A33AB7" w:rsidP="002439C8">
            <w:pPr>
              <w:spacing w:line="276" w:lineRule="auto"/>
              <w:jc w:val="left"/>
              <w:rPr>
                <w:rFonts w:asciiTheme="minorHAnsi" w:eastAsia="Times New Roman" w:hAnsiTheme="minorHAnsi" w:cstheme="minorHAnsi"/>
                <w:color w:val="000000"/>
                <w:sz w:val="18"/>
                <w:szCs w:val="16"/>
                <w:lang w:val="en-AU" w:eastAsia="en-AU"/>
              </w:rPr>
            </w:pPr>
          </w:p>
        </w:tc>
        <w:tc>
          <w:tcPr>
            <w:tcW w:w="2570" w:type="pct"/>
            <w:gridSpan w:val="5"/>
            <w:tcBorders>
              <w:top w:val="single" w:sz="4" w:space="0" w:color="auto"/>
              <w:left w:val="nil"/>
              <w:right w:val="nil"/>
            </w:tcBorders>
            <w:shd w:val="clear" w:color="auto" w:fill="F2F2F2" w:themeFill="background1" w:themeFillShade="F2"/>
            <w:noWrap/>
            <w:vAlign w:val="center"/>
            <w:hideMark/>
          </w:tcPr>
          <w:p w14:paraId="1755E4CB" w14:textId="77777777" w:rsidR="00A33AB7" w:rsidRPr="00AC0CC1" w:rsidRDefault="00A33AB7" w:rsidP="002439C8">
            <w:pPr>
              <w:spacing w:line="276" w:lineRule="auto"/>
              <w:jc w:val="left"/>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Supporting Literature with Respect to the Reference Chemical Diuron</w:t>
            </w:r>
          </w:p>
        </w:tc>
      </w:tr>
      <w:tr w:rsidR="00A33AB7" w:rsidRPr="00AC0CC1" w14:paraId="5EBF1912" w14:textId="77777777" w:rsidTr="00A209AA">
        <w:trPr>
          <w:trHeight w:val="457"/>
          <w:tblHeader/>
        </w:trPr>
        <w:tc>
          <w:tcPr>
            <w:tcW w:w="316" w:type="pct"/>
            <w:vMerge/>
            <w:tcBorders>
              <w:left w:val="nil"/>
              <w:bottom w:val="single" w:sz="4" w:space="0" w:color="auto"/>
              <w:right w:val="nil"/>
            </w:tcBorders>
            <w:shd w:val="clear" w:color="auto" w:fill="F2F2F2" w:themeFill="background1" w:themeFillShade="F2"/>
            <w:noWrap/>
            <w:vAlign w:val="center"/>
            <w:hideMark/>
          </w:tcPr>
          <w:p w14:paraId="36F87092" w14:textId="77777777" w:rsidR="00A33AB7" w:rsidRPr="00AC0CC1" w:rsidRDefault="00A33AB7" w:rsidP="002439C8">
            <w:pPr>
              <w:spacing w:line="276" w:lineRule="auto"/>
              <w:jc w:val="left"/>
              <w:rPr>
                <w:rFonts w:asciiTheme="minorHAnsi" w:eastAsia="Times New Roman" w:hAnsiTheme="minorHAnsi" w:cstheme="minorHAnsi"/>
                <w:b/>
                <w:bCs/>
                <w:color w:val="000000"/>
                <w:sz w:val="18"/>
                <w:szCs w:val="16"/>
                <w:lang w:val="en-AU" w:eastAsia="en-AU"/>
              </w:rPr>
            </w:pPr>
          </w:p>
        </w:tc>
        <w:tc>
          <w:tcPr>
            <w:tcW w:w="327" w:type="pct"/>
            <w:vMerge/>
            <w:tcBorders>
              <w:left w:val="nil"/>
              <w:bottom w:val="single" w:sz="4" w:space="0" w:color="auto"/>
              <w:right w:val="nil"/>
            </w:tcBorders>
            <w:shd w:val="clear" w:color="auto" w:fill="F2F2F2" w:themeFill="background1" w:themeFillShade="F2"/>
            <w:noWrap/>
            <w:vAlign w:val="center"/>
            <w:hideMark/>
          </w:tcPr>
          <w:p w14:paraId="740368C7" w14:textId="77777777" w:rsidR="00A33AB7" w:rsidRPr="00AC0CC1" w:rsidRDefault="00A33AB7" w:rsidP="002439C8">
            <w:pPr>
              <w:spacing w:line="276" w:lineRule="auto"/>
              <w:jc w:val="left"/>
              <w:rPr>
                <w:rFonts w:asciiTheme="minorHAnsi" w:eastAsia="Times New Roman" w:hAnsiTheme="minorHAnsi" w:cstheme="minorHAnsi"/>
                <w:b/>
                <w:bCs/>
                <w:color w:val="000000"/>
                <w:sz w:val="18"/>
                <w:szCs w:val="16"/>
                <w:lang w:val="en-AU" w:eastAsia="en-AU"/>
              </w:rPr>
            </w:pPr>
          </w:p>
        </w:tc>
        <w:tc>
          <w:tcPr>
            <w:tcW w:w="1787" w:type="pct"/>
            <w:tcBorders>
              <w:left w:val="nil"/>
              <w:bottom w:val="single" w:sz="4" w:space="0" w:color="auto"/>
              <w:right w:val="nil"/>
            </w:tcBorders>
            <w:shd w:val="clear" w:color="auto" w:fill="F2F2F2" w:themeFill="background1" w:themeFillShade="F2"/>
            <w:noWrap/>
            <w:vAlign w:val="center"/>
            <w:hideMark/>
          </w:tcPr>
          <w:p w14:paraId="41D78F08" w14:textId="77777777" w:rsidR="00A33AB7" w:rsidRPr="00AC0CC1" w:rsidRDefault="00A33AB7" w:rsidP="002439C8">
            <w:pPr>
              <w:spacing w:line="276" w:lineRule="auto"/>
              <w:jc w:val="left"/>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Description</w:t>
            </w:r>
          </w:p>
        </w:tc>
        <w:tc>
          <w:tcPr>
            <w:tcW w:w="467" w:type="pct"/>
            <w:tcBorders>
              <w:left w:val="nil"/>
              <w:bottom w:val="single" w:sz="4" w:space="0" w:color="auto"/>
              <w:right w:val="nil"/>
            </w:tcBorders>
            <w:shd w:val="clear" w:color="auto" w:fill="F2F2F2" w:themeFill="background1" w:themeFillShade="F2"/>
            <w:vAlign w:val="center"/>
            <w:hideMark/>
          </w:tcPr>
          <w:p w14:paraId="0596FFC0" w14:textId="77777777" w:rsidR="00A33AB7" w:rsidRPr="00AC0CC1" w:rsidRDefault="00A33AB7" w:rsidP="002439C8">
            <w:pPr>
              <w:spacing w:line="276" w:lineRule="auto"/>
              <w:jc w:val="left"/>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Species</w:t>
            </w:r>
          </w:p>
        </w:tc>
        <w:tc>
          <w:tcPr>
            <w:tcW w:w="467" w:type="pct"/>
            <w:tcBorders>
              <w:left w:val="nil"/>
              <w:bottom w:val="single" w:sz="4" w:space="0" w:color="auto"/>
              <w:right w:val="nil"/>
            </w:tcBorders>
            <w:shd w:val="clear" w:color="auto" w:fill="F2F2F2" w:themeFill="background1" w:themeFillShade="F2"/>
            <w:vAlign w:val="center"/>
            <w:hideMark/>
          </w:tcPr>
          <w:p w14:paraId="0CDE1410" w14:textId="77777777" w:rsidR="00A33AB7" w:rsidRPr="00AC0CC1" w:rsidRDefault="00A33AB7" w:rsidP="002439C8">
            <w:pPr>
              <w:spacing w:line="276" w:lineRule="auto"/>
              <w:jc w:val="left"/>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 xml:space="preserve">Effects Concentration </w:t>
            </w:r>
          </w:p>
          <w:p w14:paraId="3EB45CD7" w14:textId="76249D4A" w:rsidR="00A33AB7" w:rsidRPr="00AC0CC1" w:rsidRDefault="00A209AA" w:rsidP="002439C8">
            <w:pPr>
              <w:spacing w:line="276" w:lineRule="auto"/>
              <w:jc w:val="left"/>
              <w:rPr>
                <w:rFonts w:asciiTheme="minorHAnsi" w:eastAsia="Times New Roman" w:hAnsiTheme="minorHAnsi" w:cstheme="minorHAnsi"/>
                <w:b/>
                <w:bCs/>
                <w:color w:val="000000"/>
                <w:sz w:val="18"/>
                <w:szCs w:val="16"/>
                <w:lang w:val="en-AU" w:eastAsia="en-AU"/>
              </w:rPr>
            </w:pPr>
            <w:r w:rsidRPr="00A209AA">
              <w:rPr>
                <w:rFonts w:asciiTheme="minorHAnsi" w:eastAsia="Times New Roman" w:hAnsiTheme="minorHAnsi" w:cstheme="minorHAnsi"/>
                <w:b/>
                <w:bCs/>
                <w:color w:val="000000"/>
                <w:sz w:val="18"/>
                <w:szCs w:val="16"/>
                <w:lang w:val="en-AU" w:eastAsia="en-AU"/>
              </w:rPr>
              <w:t>(ng L</w:t>
            </w:r>
            <w:r w:rsidRPr="00A209AA">
              <w:rPr>
                <w:rFonts w:asciiTheme="minorHAnsi" w:eastAsia="Times New Roman" w:hAnsiTheme="minorHAnsi" w:cstheme="minorHAnsi"/>
                <w:b/>
                <w:bCs/>
                <w:color w:val="000000"/>
                <w:sz w:val="18"/>
                <w:szCs w:val="16"/>
                <w:vertAlign w:val="superscript"/>
                <w:lang w:val="en-AU" w:eastAsia="en-AU"/>
              </w:rPr>
              <w:noBreakHyphen/>
              <w:t>1</w:t>
            </w:r>
            <w:r w:rsidR="00A33AB7" w:rsidRPr="00AC0CC1">
              <w:rPr>
                <w:rFonts w:asciiTheme="minorHAnsi" w:eastAsia="Times New Roman" w:hAnsiTheme="minorHAnsi" w:cstheme="minorHAnsi"/>
                <w:b/>
                <w:bCs/>
                <w:color w:val="000000"/>
                <w:sz w:val="18"/>
                <w:szCs w:val="16"/>
                <w:lang w:val="en-AU" w:eastAsia="en-AU"/>
              </w:rPr>
              <w:t>)</w:t>
            </w:r>
          </w:p>
        </w:tc>
        <w:tc>
          <w:tcPr>
            <w:tcW w:w="608" w:type="pct"/>
            <w:tcBorders>
              <w:left w:val="nil"/>
              <w:bottom w:val="single" w:sz="4" w:space="0" w:color="auto"/>
              <w:right w:val="nil"/>
            </w:tcBorders>
            <w:shd w:val="clear" w:color="auto" w:fill="F2F2F2" w:themeFill="background1" w:themeFillShade="F2"/>
            <w:vAlign w:val="center"/>
            <w:hideMark/>
          </w:tcPr>
          <w:p w14:paraId="285A7255" w14:textId="77777777" w:rsidR="00A33AB7" w:rsidRPr="00AC0CC1" w:rsidRDefault="00A33AB7" w:rsidP="002439C8">
            <w:pPr>
              <w:spacing w:line="276" w:lineRule="auto"/>
              <w:jc w:val="left"/>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Endpoint</w:t>
            </w:r>
          </w:p>
        </w:tc>
        <w:tc>
          <w:tcPr>
            <w:tcW w:w="327" w:type="pct"/>
            <w:tcBorders>
              <w:left w:val="nil"/>
              <w:bottom w:val="single" w:sz="4" w:space="0" w:color="auto"/>
              <w:right w:val="nil"/>
            </w:tcBorders>
            <w:shd w:val="clear" w:color="auto" w:fill="F2F2F2" w:themeFill="background1" w:themeFillShade="F2"/>
            <w:vAlign w:val="center"/>
            <w:hideMark/>
          </w:tcPr>
          <w:p w14:paraId="30E0F2A2" w14:textId="77777777" w:rsidR="00A33AB7" w:rsidRPr="00AC0CC1" w:rsidRDefault="00A33AB7" w:rsidP="002439C8">
            <w:pPr>
              <w:spacing w:line="276" w:lineRule="auto"/>
              <w:jc w:val="left"/>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Toxicity measure</w:t>
            </w:r>
          </w:p>
        </w:tc>
        <w:tc>
          <w:tcPr>
            <w:tcW w:w="701" w:type="pct"/>
            <w:tcBorders>
              <w:left w:val="nil"/>
              <w:bottom w:val="single" w:sz="4" w:space="0" w:color="auto"/>
              <w:right w:val="nil"/>
            </w:tcBorders>
            <w:shd w:val="clear" w:color="auto" w:fill="F2F2F2" w:themeFill="background1" w:themeFillShade="F2"/>
            <w:noWrap/>
            <w:vAlign w:val="center"/>
            <w:hideMark/>
          </w:tcPr>
          <w:p w14:paraId="40C8FCD4" w14:textId="77777777" w:rsidR="00A33AB7" w:rsidRDefault="00A33AB7" w:rsidP="002439C8">
            <w:pPr>
              <w:spacing w:line="276" w:lineRule="auto"/>
              <w:jc w:val="left"/>
              <w:rPr>
                <w:rFonts w:asciiTheme="minorHAnsi" w:eastAsia="Times New Roman" w:hAnsiTheme="minorHAnsi" w:cstheme="minorHAnsi"/>
                <w:b/>
                <w:bCs/>
                <w:color w:val="000000"/>
                <w:sz w:val="18"/>
                <w:szCs w:val="16"/>
                <w:lang w:val="en-AU" w:eastAsia="en-AU"/>
              </w:rPr>
            </w:pPr>
            <w:r w:rsidRPr="00AC0CC1">
              <w:rPr>
                <w:rFonts w:asciiTheme="minorHAnsi" w:eastAsia="Times New Roman" w:hAnsiTheme="minorHAnsi" w:cstheme="minorHAnsi"/>
                <w:b/>
                <w:bCs/>
                <w:color w:val="000000"/>
                <w:sz w:val="18"/>
                <w:szCs w:val="16"/>
                <w:lang w:val="en-AU" w:eastAsia="en-AU"/>
              </w:rPr>
              <w:t>Reference</w:t>
            </w:r>
          </w:p>
          <w:p w14:paraId="799831E5" w14:textId="77777777" w:rsidR="00A33AB7" w:rsidRPr="00AC0CC1" w:rsidRDefault="00A33AB7" w:rsidP="002439C8">
            <w:pPr>
              <w:spacing w:line="276" w:lineRule="auto"/>
              <w:jc w:val="left"/>
              <w:rPr>
                <w:rFonts w:asciiTheme="minorHAnsi" w:eastAsia="Times New Roman" w:hAnsiTheme="minorHAnsi" w:cstheme="minorHAnsi"/>
                <w:b/>
                <w:bCs/>
                <w:color w:val="000000"/>
                <w:sz w:val="18"/>
                <w:szCs w:val="16"/>
                <w:lang w:val="en-AU" w:eastAsia="en-AU"/>
              </w:rPr>
            </w:pPr>
            <w:r>
              <w:rPr>
                <w:rFonts w:asciiTheme="minorHAnsi" w:eastAsia="Times New Roman" w:hAnsiTheme="minorHAnsi" w:cstheme="minorHAnsi"/>
                <w:b/>
                <w:bCs/>
                <w:color w:val="000000"/>
                <w:sz w:val="18"/>
                <w:szCs w:val="16"/>
                <w:lang w:val="en-AU" w:eastAsia="en-AU"/>
              </w:rPr>
              <w:t>(see footnotes)</w:t>
            </w:r>
          </w:p>
        </w:tc>
      </w:tr>
      <w:tr w:rsidR="00A33AB7" w:rsidRPr="00AC0CC1" w14:paraId="456CD93F" w14:textId="77777777" w:rsidTr="00A209AA">
        <w:trPr>
          <w:trHeight w:val="1253"/>
        </w:trPr>
        <w:tc>
          <w:tcPr>
            <w:tcW w:w="316" w:type="pct"/>
            <w:tcBorders>
              <w:top w:val="single" w:sz="4" w:space="0" w:color="auto"/>
              <w:left w:val="nil"/>
              <w:bottom w:val="single" w:sz="4" w:space="0" w:color="auto"/>
              <w:right w:val="nil"/>
            </w:tcBorders>
            <w:noWrap/>
            <w:vAlign w:val="center"/>
            <w:hideMark/>
          </w:tcPr>
          <w:p w14:paraId="6431C38B"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5</w:t>
            </w:r>
          </w:p>
        </w:tc>
        <w:tc>
          <w:tcPr>
            <w:tcW w:w="327" w:type="pct"/>
            <w:tcBorders>
              <w:top w:val="single" w:sz="4" w:space="0" w:color="auto"/>
              <w:left w:val="nil"/>
              <w:bottom w:val="single" w:sz="4" w:space="0" w:color="auto"/>
              <w:right w:val="nil"/>
            </w:tcBorders>
            <w:noWrap/>
            <w:vAlign w:val="center"/>
            <w:hideMark/>
          </w:tcPr>
          <w:p w14:paraId="64279CF0"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Pr>
                <w:rFonts w:asciiTheme="minorHAnsi" w:eastAsia="Times New Roman" w:hAnsiTheme="minorHAnsi" w:cstheme="minorHAnsi"/>
                <w:color w:val="000000"/>
                <w:sz w:val="16"/>
                <w:szCs w:val="16"/>
                <w:lang w:val="en-AU" w:eastAsia="en-AU"/>
              </w:rPr>
              <w:t>HEq</w:t>
            </w:r>
            <w:r w:rsidRPr="00AC0CC1">
              <w:rPr>
                <w:rFonts w:asciiTheme="minorHAnsi" w:eastAsia="Times New Roman" w:hAnsiTheme="minorHAnsi" w:cstheme="minorHAnsi"/>
                <w:color w:val="000000"/>
                <w:sz w:val="16"/>
                <w:szCs w:val="16"/>
                <w:lang w:val="en-AU" w:eastAsia="en-AU"/>
              </w:rPr>
              <w:t xml:space="preserve"> ≤ 10</w:t>
            </w:r>
          </w:p>
        </w:tc>
        <w:tc>
          <w:tcPr>
            <w:tcW w:w="1787" w:type="pct"/>
            <w:tcBorders>
              <w:top w:val="single" w:sz="4" w:space="0" w:color="auto"/>
              <w:left w:val="nil"/>
              <w:bottom w:val="single" w:sz="4" w:space="0" w:color="auto"/>
              <w:right w:val="nil"/>
            </w:tcBorders>
            <w:vAlign w:val="center"/>
            <w:hideMark/>
          </w:tcPr>
          <w:p w14:paraId="5EBC7D2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c>
          <w:tcPr>
            <w:tcW w:w="467" w:type="pct"/>
            <w:tcBorders>
              <w:top w:val="single" w:sz="4" w:space="0" w:color="auto"/>
              <w:left w:val="nil"/>
              <w:bottom w:val="single" w:sz="4" w:space="0" w:color="auto"/>
              <w:right w:val="nil"/>
            </w:tcBorders>
            <w:noWrap/>
            <w:vAlign w:val="center"/>
            <w:hideMark/>
          </w:tcPr>
          <w:p w14:paraId="001B06F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p>
        </w:tc>
        <w:tc>
          <w:tcPr>
            <w:tcW w:w="467" w:type="pct"/>
            <w:tcBorders>
              <w:top w:val="single" w:sz="4" w:space="0" w:color="auto"/>
              <w:left w:val="nil"/>
              <w:bottom w:val="single" w:sz="4" w:space="0" w:color="auto"/>
              <w:right w:val="nil"/>
            </w:tcBorders>
            <w:noWrap/>
            <w:vAlign w:val="center"/>
            <w:hideMark/>
          </w:tcPr>
          <w:p w14:paraId="27E6B627"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p>
        </w:tc>
        <w:tc>
          <w:tcPr>
            <w:tcW w:w="608" w:type="pct"/>
            <w:tcBorders>
              <w:top w:val="single" w:sz="4" w:space="0" w:color="auto"/>
              <w:left w:val="nil"/>
              <w:bottom w:val="single" w:sz="4" w:space="0" w:color="auto"/>
              <w:right w:val="nil"/>
            </w:tcBorders>
            <w:noWrap/>
            <w:vAlign w:val="center"/>
            <w:hideMark/>
          </w:tcPr>
          <w:p w14:paraId="58E6C525"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p>
        </w:tc>
        <w:tc>
          <w:tcPr>
            <w:tcW w:w="327" w:type="pct"/>
            <w:tcBorders>
              <w:top w:val="single" w:sz="4" w:space="0" w:color="auto"/>
              <w:left w:val="nil"/>
              <w:bottom w:val="single" w:sz="4" w:space="0" w:color="auto"/>
              <w:right w:val="nil"/>
            </w:tcBorders>
            <w:noWrap/>
            <w:vAlign w:val="center"/>
            <w:hideMark/>
          </w:tcPr>
          <w:p w14:paraId="2825EF8A"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p>
        </w:tc>
        <w:tc>
          <w:tcPr>
            <w:tcW w:w="701" w:type="pct"/>
            <w:tcBorders>
              <w:top w:val="single" w:sz="4" w:space="0" w:color="auto"/>
              <w:left w:val="nil"/>
              <w:bottom w:val="single" w:sz="4" w:space="0" w:color="auto"/>
              <w:right w:val="nil"/>
            </w:tcBorders>
            <w:noWrap/>
            <w:vAlign w:val="center"/>
            <w:hideMark/>
          </w:tcPr>
          <w:p w14:paraId="52634577"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p>
        </w:tc>
      </w:tr>
      <w:tr w:rsidR="00A33AB7" w:rsidRPr="00AC0CC1" w14:paraId="12D13820" w14:textId="77777777" w:rsidTr="00A209AA">
        <w:trPr>
          <w:trHeight w:val="283"/>
        </w:trPr>
        <w:tc>
          <w:tcPr>
            <w:tcW w:w="316" w:type="pct"/>
            <w:vMerge w:val="restart"/>
            <w:tcBorders>
              <w:top w:val="single" w:sz="4" w:space="0" w:color="auto"/>
              <w:left w:val="nil"/>
              <w:right w:val="nil"/>
            </w:tcBorders>
            <w:noWrap/>
            <w:vAlign w:val="center"/>
            <w:hideMark/>
          </w:tcPr>
          <w:p w14:paraId="7BD718C1"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4</w:t>
            </w:r>
          </w:p>
        </w:tc>
        <w:tc>
          <w:tcPr>
            <w:tcW w:w="327" w:type="pct"/>
            <w:vMerge w:val="restart"/>
            <w:tcBorders>
              <w:top w:val="single" w:sz="4" w:space="0" w:color="auto"/>
              <w:left w:val="nil"/>
              <w:right w:val="nil"/>
            </w:tcBorders>
            <w:noWrap/>
            <w:vAlign w:val="center"/>
            <w:hideMark/>
          </w:tcPr>
          <w:p w14:paraId="05DDA046"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10 &lt; </w:t>
            </w:r>
            <w:r>
              <w:rPr>
                <w:rFonts w:asciiTheme="minorHAnsi" w:eastAsia="Times New Roman" w:hAnsiTheme="minorHAnsi" w:cstheme="minorHAnsi"/>
                <w:color w:val="000000"/>
                <w:sz w:val="16"/>
                <w:szCs w:val="16"/>
                <w:lang w:val="en-AU" w:eastAsia="en-AU"/>
              </w:rPr>
              <w:t>HEq</w:t>
            </w:r>
            <w:r w:rsidRPr="00AC0CC1">
              <w:rPr>
                <w:rFonts w:asciiTheme="minorHAnsi" w:eastAsia="Times New Roman" w:hAnsiTheme="minorHAnsi" w:cstheme="minorHAnsi"/>
                <w:color w:val="000000"/>
                <w:sz w:val="16"/>
                <w:szCs w:val="16"/>
                <w:lang w:val="en-AU" w:eastAsia="en-AU"/>
              </w:rPr>
              <w:t xml:space="preserve"> ≤ 50</w:t>
            </w:r>
          </w:p>
        </w:tc>
        <w:tc>
          <w:tcPr>
            <w:tcW w:w="1787" w:type="pct"/>
            <w:vMerge w:val="restart"/>
            <w:tcBorders>
              <w:top w:val="single" w:sz="4" w:space="0" w:color="auto"/>
              <w:left w:val="nil"/>
              <w:right w:val="nil"/>
            </w:tcBorders>
            <w:vAlign w:val="center"/>
            <w:hideMark/>
          </w:tcPr>
          <w:p w14:paraId="225A5029"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Published scientific observations of reduced photosynthesis for two diatoms.</w:t>
            </w:r>
          </w:p>
        </w:tc>
        <w:tc>
          <w:tcPr>
            <w:tcW w:w="2570" w:type="pct"/>
            <w:gridSpan w:val="5"/>
            <w:tcBorders>
              <w:top w:val="single" w:sz="4" w:space="0" w:color="auto"/>
              <w:left w:val="nil"/>
              <w:right w:val="nil"/>
            </w:tcBorders>
            <w:shd w:val="clear" w:color="auto" w:fill="auto"/>
            <w:noWrap/>
            <w:vAlign w:val="center"/>
            <w:hideMark/>
          </w:tcPr>
          <w:p w14:paraId="7DC1E73E"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Diatoms</w:t>
            </w:r>
          </w:p>
        </w:tc>
      </w:tr>
      <w:tr w:rsidR="00A33AB7" w:rsidRPr="00AC0CC1" w14:paraId="31EBA48E" w14:textId="77777777" w:rsidTr="00A209AA">
        <w:trPr>
          <w:trHeight w:val="283"/>
        </w:trPr>
        <w:tc>
          <w:tcPr>
            <w:tcW w:w="316" w:type="pct"/>
            <w:vMerge/>
            <w:tcBorders>
              <w:left w:val="nil"/>
              <w:right w:val="nil"/>
            </w:tcBorders>
            <w:vAlign w:val="center"/>
            <w:hideMark/>
          </w:tcPr>
          <w:p w14:paraId="7F62EE2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11582A4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7E5B08C2"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noWrap/>
            <w:vAlign w:val="center"/>
            <w:hideMark/>
          </w:tcPr>
          <w:p w14:paraId="056BFD4E"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D. tertiolecta</w:t>
            </w:r>
          </w:p>
        </w:tc>
        <w:tc>
          <w:tcPr>
            <w:tcW w:w="467" w:type="pct"/>
            <w:tcBorders>
              <w:left w:val="nil"/>
              <w:right w:val="nil"/>
            </w:tcBorders>
            <w:noWrap/>
            <w:vAlign w:val="center"/>
            <w:hideMark/>
          </w:tcPr>
          <w:p w14:paraId="1AE15282"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50</w:t>
            </w:r>
          </w:p>
        </w:tc>
        <w:tc>
          <w:tcPr>
            <w:tcW w:w="608" w:type="pct"/>
            <w:tcBorders>
              <w:left w:val="nil"/>
              <w:right w:val="nil"/>
            </w:tcBorders>
            <w:noWrap/>
            <w:vAlign w:val="center"/>
            <w:hideMark/>
          </w:tcPr>
          <w:p w14:paraId="51270F68"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327" w:type="pct"/>
            <w:tcBorders>
              <w:left w:val="nil"/>
              <w:right w:val="nil"/>
            </w:tcBorders>
            <w:noWrap/>
            <w:vAlign w:val="center"/>
            <w:hideMark/>
          </w:tcPr>
          <w:p w14:paraId="6286DBE0"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noWrap/>
            <w:vAlign w:val="center"/>
            <w:hideMark/>
          </w:tcPr>
          <w:p w14:paraId="6AAE0B12"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Bengston Nash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A33AB7" w:rsidRPr="00AC0CC1" w14:paraId="0690C4AC" w14:textId="77777777" w:rsidTr="00A209AA">
        <w:trPr>
          <w:trHeight w:val="283"/>
        </w:trPr>
        <w:tc>
          <w:tcPr>
            <w:tcW w:w="316" w:type="pct"/>
            <w:vMerge/>
            <w:tcBorders>
              <w:left w:val="nil"/>
              <w:bottom w:val="single" w:sz="4" w:space="0" w:color="auto"/>
              <w:right w:val="nil"/>
            </w:tcBorders>
            <w:vAlign w:val="center"/>
            <w:hideMark/>
          </w:tcPr>
          <w:p w14:paraId="3814AE75"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bottom w:val="single" w:sz="4" w:space="0" w:color="auto"/>
              <w:right w:val="nil"/>
            </w:tcBorders>
            <w:vAlign w:val="center"/>
            <w:hideMark/>
          </w:tcPr>
          <w:p w14:paraId="0C75944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bottom w:val="single" w:sz="4" w:space="0" w:color="auto"/>
              <w:right w:val="nil"/>
            </w:tcBorders>
            <w:vAlign w:val="center"/>
            <w:hideMark/>
          </w:tcPr>
          <w:p w14:paraId="15C700A1"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bottom w:val="single" w:sz="4" w:space="0" w:color="auto"/>
              <w:right w:val="nil"/>
            </w:tcBorders>
            <w:noWrap/>
            <w:vAlign w:val="center"/>
            <w:hideMark/>
          </w:tcPr>
          <w:p w14:paraId="0E6FCBE0"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N. closterium</w:t>
            </w:r>
          </w:p>
        </w:tc>
        <w:tc>
          <w:tcPr>
            <w:tcW w:w="467" w:type="pct"/>
            <w:tcBorders>
              <w:left w:val="nil"/>
              <w:bottom w:val="single" w:sz="4" w:space="0" w:color="auto"/>
              <w:right w:val="nil"/>
            </w:tcBorders>
            <w:noWrap/>
            <w:vAlign w:val="center"/>
            <w:hideMark/>
          </w:tcPr>
          <w:p w14:paraId="71ED0A5E"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50</w:t>
            </w:r>
          </w:p>
        </w:tc>
        <w:tc>
          <w:tcPr>
            <w:tcW w:w="608" w:type="pct"/>
            <w:tcBorders>
              <w:left w:val="nil"/>
              <w:bottom w:val="single" w:sz="4" w:space="0" w:color="auto"/>
              <w:right w:val="nil"/>
            </w:tcBorders>
            <w:noWrap/>
            <w:vAlign w:val="center"/>
            <w:hideMark/>
          </w:tcPr>
          <w:p w14:paraId="2DB3A89E"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Sensitivity</w:t>
            </w:r>
          </w:p>
        </w:tc>
        <w:tc>
          <w:tcPr>
            <w:tcW w:w="327" w:type="pct"/>
            <w:tcBorders>
              <w:left w:val="nil"/>
              <w:bottom w:val="single" w:sz="4" w:space="0" w:color="auto"/>
              <w:right w:val="nil"/>
            </w:tcBorders>
            <w:noWrap/>
            <w:vAlign w:val="center"/>
            <w:hideMark/>
          </w:tcPr>
          <w:p w14:paraId="6058819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bottom w:val="single" w:sz="4" w:space="0" w:color="auto"/>
              <w:right w:val="nil"/>
            </w:tcBorders>
            <w:noWrap/>
            <w:vAlign w:val="center"/>
            <w:hideMark/>
          </w:tcPr>
          <w:p w14:paraId="3E70C05F"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Bengston Nash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A33AB7" w:rsidRPr="00AC0CC1" w14:paraId="0A0C1A3F" w14:textId="77777777" w:rsidTr="00A209AA">
        <w:trPr>
          <w:trHeight w:val="283"/>
        </w:trPr>
        <w:tc>
          <w:tcPr>
            <w:tcW w:w="316" w:type="pct"/>
            <w:vMerge w:val="restart"/>
            <w:tcBorders>
              <w:top w:val="single" w:sz="4" w:space="0" w:color="auto"/>
              <w:left w:val="nil"/>
              <w:right w:val="nil"/>
            </w:tcBorders>
            <w:noWrap/>
            <w:vAlign w:val="center"/>
            <w:hideMark/>
          </w:tcPr>
          <w:p w14:paraId="7AD5AAE3"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3</w:t>
            </w:r>
          </w:p>
        </w:tc>
        <w:tc>
          <w:tcPr>
            <w:tcW w:w="327" w:type="pct"/>
            <w:vMerge w:val="restart"/>
            <w:tcBorders>
              <w:top w:val="single" w:sz="4" w:space="0" w:color="auto"/>
              <w:left w:val="nil"/>
              <w:right w:val="nil"/>
            </w:tcBorders>
            <w:noWrap/>
            <w:vAlign w:val="center"/>
            <w:hideMark/>
          </w:tcPr>
          <w:p w14:paraId="7209AD57"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50 &lt; </w:t>
            </w:r>
            <w:r>
              <w:rPr>
                <w:rFonts w:asciiTheme="minorHAnsi" w:eastAsia="Times New Roman" w:hAnsiTheme="minorHAnsi" w:cstheme="minorHAnsi"/>
                <w:color w:val="000000"/>
                <w:sz w:val="16"/>
                <w:szCs w:val="16"/>
                <w:lang w:val="en-AU" w:eastAsia="en-AU"/>
              </w:rPr>
              <w:t>HEq</w:t>
            </w:r>
            <w:r w:rsidRPr="00AC0CC1">
              <w:rPr>
                <w:rFonts w:asciiTheme="minorHAnsi" w:eastAsia="Times New Roman" w:hAnsiTheme="minorHAnsi" w:cstheme="minorHAnsi"/>
                <w:color w:val="000000"/>
                <w:sz w:val="16"/>
                <w:szCs w:val="16"/>
                <w:lang w:val="en-AU" w:eastAsia="en-AU"/>
              </w:rPr>
              <w:t xml:space="preserve"> &lt; 250</w:t>
            </w:r>
          </w:p>
        </w:tc>
        <w:tc>
          <w:tcPr>
            <w:tcW w:w="1787" w:type="pct"/>
            <w:vMerge w:val="restart"/>
            <w:tcBorders>
              <w:top w:val="single" w:sz="4" w:space="0" w:color="auto"/>
              <w:left w:val="nil"/>
              <w:right w:val="nil"/>
            </w:tcBorders>
            <w:vAlign w:val="center"/>
            <w:hideMark/>
          </w:tcPr>
          <w:p w14:paraId="784BCB94"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Published scientific observations of reduced photosynthesis for two seagrass species and three diatoms.</w:t>
            </w:r>
          </w:p>
        </w:tc>
        <w:tc>
          <w:tcPr>
            <w:tcW w:w="2570" w:type="pct"/>
            <w:gridSpan w:val="5"/>
            <w:tcBorders>
              <w:top w:val="single" w:sz="4" w:space="0" w:color="auto"/>
              <w:left w:val="nil"/>
              <w:right w:val="nil"/>
            </w:tcBorders>
            <w:shd w:val="clear" w:color="auto" w:fill="auto"/>
            <w:noWrap/>
            <w:vAlign w:val="bottom"/>
            <w:hideMark/>
          </w:tcPr>
          <w:p w14:paraId="0ECDD90A"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Seagrass</w:t>
            </w:r>
          </w:p>
        </w:tc>
      </w:tr>
      <w:tr w:rsidR="00A33AB7" w:rsidRPr="00AC0CC1" w14:paraId="5B96BB35" w14:textId="77777777" w:rsidTr="00A209AA">
        <w:trPr>
          <w:trHeight w:val="283"/>
        </w:trPr>
        <w:tc>
          <w:tcPr>
            <w:tcW w:w="316" w:type="pct"/>
            <w:vMerge/>
            <w:tcBorders>
              <w:left w:val="nil"/>
              <w:right w:val="nil"/>
            </w:tcBorders>
            <w:vAlign w:val="center"/>
            <w:hideMark/>
          </w:tcPr>
          <w:p w14:paraId="0D578C8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72B7B065"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0BF71538"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noWrap/>
            <w:vAlign w:val="center"/>
            <w:hideMark/>
          </w:tcPr>
          <w:p w14:paraId="20F5C902"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H. ovalis</w:t>
            </w:r>
          </w:p>
        </w:tc>
        <w:tc>
          <w:tcPr>
            <w:tcW w:w="467" w:type="pct"/>
            <w:tcBorders>
              <w:left w:val="nil"/>
              <w:right w:val="nil"/>
            </w:tcBorders>
            <w:shd w:val="clear" w:color="auto" w:fill="auto"/>
            <w:noWrap/>
            <w:vAlign w:val="center"/>
            <w:hideMark/>
          </w:tcPr>
          <w:p w14:paraId="102D0608"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w:t>
            </w:r>
          </w:p>
        </w:tc>
        <w:tc>
          <w:tcPr>
            <w:tcW w:w="608" w:type="pct"/>
            <w:tcBorders>
              <w:left w:val="nil"/>
              <w:right w:val="nil"/>
            </w:tcBorders>
            <w:shd w:val="clear" w:color="auto" w:fill="auto"/>
            <w:noWrap/>
            <w:vAlign w:val="center"/>
            <w:hideMark/>
          </w:tcPr>
          <w:p w14:paraId="2A4D0C2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327" w:type="pct"/>
            <w:tcBorders>
              <w:left w:val="nil"/>
              <w:right w:val="nil"/>
            </w:tcBorders>
            <w:shd w:val="clear" w:color="auto" w:fill="auto"/>
            <w:noWrap/>
            <w:vAlign w:val="center"/>
            <w:hideMark/>
          </w:tcPr>
          <w:p w14:paraId="68D7937F"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noWrap/>
            <w:vAlign w:val="center"/>
            <w:hideMark/>
          </w:tcPr>
          <w:p w14:paraId="314267D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Haynes et al 2000</w:t>
            </w:r>
          </w:p>
        </w:tc>
      </w:tr>
      <w:tr w:rsidR="00A33AB7" w:rsidRPr="00AC0CC1" w14:paraId="1D2BC5E9" w14:textId="77777777" w:rsidTr="00A209AA">
        <w:trPr>
          <w:trHeight w:val="283"/>
        </w:trPr>
        <w:tc>
          <w:tcPr>
            <w:tcW w:w="316" w:type="pct"/>
            <w:vMerge/>
            <w:tcBorders>
              <w:left w:val="nil"/>
              <w:right w:val="nil"/>
            </w:tcBorders>
            <w:vAlign w:val="center"/>
            <w:hideMark/>
          </w:tcPr>
          <w:p w14:paraId="4098D61E"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425B0C06"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39E914D4"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noWrap/>
            <w:vAlign w:val="center"/>
            <w:hideMark/>
          </w:tcPr>
          <w:p w14:paraId="3DD0C9E7"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Z. capriconi</w:t>
            </w:r>
          </w:p>
        </w:tc>
        <w:tc>
          <w:tcPr>
            <w:tcW w:w="467" w:type="pct"/>
            <w:tcBorders>
              <w:left w:val="nil"/>
              <w:right w:val="nil"/>
            </w:tcBorders>
            <w:shd w:val="clear" w:color="auto" w:fill="auto"/>
            <w:noWrap/>
            <w:vAlign w:val="center"/>
            <w:hideMark/>
          </w:tcPr>
          <w:p w14:paraId="0DDE884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w:t>
            </w:r>
          </w:p>
        </w:tc>
        <w:tc>
          <w:tcPr>
            <w:tcW w:w="608" w:type="pct"/>
            <w:tcBorders>
              <w:left w:val="nil"/>
              <w:right w:val="nil"/>
            </w:tcBorders>
            <w:shd w:val="clear" w:color="auto" w:fill="auto"/>
            <w:noWrap/>
            <w:vAlign w:val="center"/>
            <w:hideMark/>
          </w:tcPr>
          <w:p w14:paraId="2D1F9C3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327" w:type="pct"/>
            <w:tcBorders>
              <w:left w:val="nil"/>
              <w:right w:val="nil"/>
            </w:tcBorders>
            <w:shd w:val="clear" w:color="auto" w:fill="auto"/>
            <w:noWrap/>
            <w:vAlign w:val="center"/>
            <w:hideMark/>
          </w:tcPr>
          <w:p w14:paraId="30B96E5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noWrap/>
            <w:vAlign w:val="center"/>
            <w:hideMark/>
          </w:tcPr>
          <w:p w14:paraId="54CB7A9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Haynes et al 2000</w:t>
            </w:r>
          </w:p>
        </w:tc>
      </w:tr>
      <w:tr w:rsidR="00A33AB7" w:rsidRPr="00AC0CC1" w14:paraId="3FE3709E" w14:textId="77777777" w:rsidTr="00A209AA">
        <w:trPr>
          <w:trHeight w:val="283"/>
        </w:trPr>
        <w:tc>
          <w:tcPr>
            <w:tcW w:w="316" w:type="pct"/>
            <w:vMerge/>
            <w:tcBorders>
              <w:left w:val="nil"/>
              <w:right w:val="nil"/>
            </w:tcBorders>
            <w:vAlign w:val="center"/>
            <w:hideMark/>
          </w:tcPr>
          <w:p w14:paraId="33542C33"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3F306EF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401E4D7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2570" w:type="pct"/>
            <w:gridSpan w:val="5"/>
            <w:tcBorders>
              <w:left w:val="nil"/>
              <w:right w:val="nil"/>
            </w:tcBorders>
            <w:shd w:val="clear" w:color="auto" w:fill="auto"/>
            <w:vAlign w:val="bottom"/>
            <w:hideMark/>
          </w:tcPr>
          <w:p w14:paraId="658F274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Diatoms</w:t>
            </w:r>
          </w:p>
        </w:tc>
      </w:tr>
      <w:tr w:rsidR="00A33AB7" w:rsidRPr="00AC0CC1" w14:paraId="18F68C85" w14:textId="77777777" w:rsidTr="00A209AA">
        <w:trPr>
          <w:trHeight w:val="283"/>
        </w:trPr>
        <w:tc>
          <w:tcPr>
            <w:tcW w:w="316" w:type="pct"/>
            <w:vMerge/>
            <w:tcBorders>
              <w:left w:val="nil"/>
              <w:right w:val="nil"/>
            </w:tcBorders>
            <w:vAlign w:val="center"/>
            <w:hideMark/>
          </w:tcPr>
          <w:p w14:paraId="1364275B"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04468C41"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217F43F3"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noWrap/>
            <w:vAlign w:val="center"/>
            <w:hideMark/>
          </w:tcPr>
          <w:p w14:paraId="2A5E8CCF"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N. closterium</w:t>
            </w:r>
          </w:p>
        </w:tc>
        <w:tc>
          <w:tcPr>
            <w:tcW w:w="467" w:type="pct"/>
            <w:tcBorders>
              <w:left w:val="nil"/>
              <w:right w:val="nil"/>
            </w:tcBorders>
            <w:noWrap/>
            <w:vAlign w:val="center"/>
            <w:hideMark/>
          </w:tcPr>
          <w:p w14:paraId="084C984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w:t>
            </w:r>
          </w:p>
        </w:tc>
        <w:tc>
          <w:tcPr>
            <w:tcW w:w="608" w:type="pct"/>
            <w:tcBorders>
              <w:left w:val="nil"/>
              <w:right w:val="nil"/>
            </w:tcBorders>
            <w:noWrap/>
            <w:vAlign w:val="center"/>
            <w:hideMark/>
          </w:tcPr>
          <w:p w14:paraId="7D7A7C4F"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Sensitivity</w:t>
            </w:r>
          </w:p>
        </w:tc>
        <w:tc>
          <w:tcPr>
            <w:tcW w:w="327" w:type="pct"/>
            <w:tcBorders>
              <w:left w:val="nil"/>
              <w:right w:val="nil"/>
            </w:tcBorders>
            <w:noWrap/>
            <w:vAlign w:val="center"/>
            <w:hideMark/>
          </w:tcPr>
          <w:p w14:paraId="5EFFDC75"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IC10</w:t>
            </w:r>
          </w:p>
        </w:tc>
        <w:tc>
          <w:tcPr>
            <w:tcW w:w="701" w:type="pct"/>
            <w:tcBorders>
              <w:left w:val="nil"/>
              <w:right w:val="nil"/>
            </w:tcBorders>
            <w:noWrap/>
            <w:vAlign w:val="center"/>
            <w:hideMark/>
          </w:tcPr>
          <w:p w14:paraId="18B954CA"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Bengston Nash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A33AB7" w:rsidRPr="00AC0CC1" w14:paraId="7D81DB74" w14:textId="77777777" w:rsidTr="00A209AA">
        <w:trPr>
          <w:trHeight w:val="283"/>
        </w:trPr>
        <w:tc>
          <w:tcPr>
            <w:tcW w:w="316" w:type="pct"/>
            <w:vMerge/>
            <w:tcBorders>
              <w:left w:val="nil"/>
              <w:right w:val="nil"/>
            </w:tcBorders>
            <w:vAlign w:val="center"/>
            <w:hideMark/>
          </w:tcPr>
          <w:p w14:paraId="45799A91"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652B74C1"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4F2B0646"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noWrap/>
            <w:vAlign w:val="center"/>
            <w:hideMark/>
          </w:tcPr>
          <w:p w14:paraId="409C966D"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tricornutum</w:t>
            </w:r>
          </w:p>
        </w:tc>
        <w:tc>
          <w:tcPr>
            <w:tcW w:w="467" w:type="pct"/>
            <w:tcBorders>
              <w:left w:val="nil"/>
              <w:right w:val="nil"/>
            </w:tcBorders>
            <w:noWrap/>
            <w:vAlign w:val="center"/>
            <w:hideMark/>
          </w:tcPr>
          <w:p w14:paraId="5243BC1F"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w:t>
            </w:r>
          </w:p>
        </w:tc>
        <w:tc>
          <w:tcPr>
            <w:tcW w:w="608" w:type="pct"/>
            <w:tcBorders>
              <w:left w:val="nil"/>
              <w:right w:val="nil"/>
            </w:tcBorders>
            <w:noWrap/>
            <w:vAlign w:val="center"/>
            <w:hideMark/>
          </w:tcPr>
          <w:p w14:paraId="0B94DA0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Sensitivity</w:t>
            </w:r>
          </w:p>
        </w:tc>
        <w:tc>
          <w:tcPr>
            <w:tcW w:w="327" w:type="pct"/>
            <w:tcBorders>
              <w:left w:val="nil"/>
              <w:right w:val="nil"/>
            </w:tcBorders>
            <w:noWrap/>
            <w:vAlign w:val="center"/>
            <w:hideMark/>
          </w:tcPr>
          <w:p w14:paraId="687C7C61"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IC10</w:t>
            </w:r>
          </w:p>
        </w:tc>
        <w:tc>
          <w:tcPr>
            <w:tcW w:w="701" w:type="pct"/>
            <w:tcBorders>
              <w:left w:val="nil"/>
              <w:right w:val="nil"/>
            </w:tcBorders>
            <w:noWrap/>
            <w:vAlign w:val="center"/>
            <w:hideMark/>
          </w:tcPr>
          <w:p w14:paraId="0ABC868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Bengston Nash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A33AB7" w:rsidRPr="00AC0CC1" w14:paraId="603BA2D5" w14:textId="77777777" w:rsidTr="00A209AA">
        <w:trPr>
          <w:trHeight w:val="283"/>
        </w:trPr>
        <w:tc>
          <w:tcPr>
            <w:tcW w:w="316" w:type="pct"/>
            <w:vMerge/>
            <w:tcBorders>
              <w:left w:val="nil"/>
              <w:bottom w:val="single" w:sz="4" w:space="0" w:color="auto"/>
              <w:right w:val="nil"/>
            </w:tcBorders>
            <w:vAlign w:val="center"/>
            <w:hideMark/>
          </w:tcPr>
          <w:p w14:paraId="79CCFF5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bottom w:val="single" w:sz="4" w:space="0" w:color="auto"/>
              <w:right w:val="nil"/>
            </w:tcBorders>
            <w:vAlign w:val="center"/>
            <w:hideMark/>
          </w:tcPr>
          <w:p w14:paraId="486D169B"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bottom w:val="single" w:sz="4" w:space="0" w:color="auto"/>
              <w:right w:val="nil"/>
            </w:tcBorders>
            <w:vAlign w:val="center"/>
            <w:hideMark/>
          </w:tcPr>
          <w:p w14:paraId="1C091C57"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bottom w:val="single" w:sz="4" w:space="0" w:color="auto"/>
              <w:right w:val="nil"/>
            </w:tcBorders>
            <w:noWrap/>
            <w:vAlign w:val="center"/>
            <w:hideMark/>
          </w:tcPr>
          <w:p w14:paraId="2490FBE4"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D. tertiolecta</w:t>
            </w:r>
          </w:p>
        </w:tc>
        <w:tc>
          <w:tcPr>
            <w:tcW w:w="467" w:type="pct"/>
            <w:tcBorders>
              <w:left w:val="nil"/>
              <w:bottom w:val="single" w:sz="4" w:space="0" w:color="auto"/>
              <w:right w:val="nil"/>
            </w:tcBorders>
            <w:noWrap/>
            <w:vAlign w:val="center"/>
            <w:hideMark/>
          </w:tcPr>
          <w:p w14:paraId="691C1BD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110</w:t>
            </w:r>
          </w:p>
        </w:tc>
        <w:tc>
          <w:tcPr>
            <w:tcW w:w="608" w:type="pct"/>
            <w:tcBorders>
              <w:left w:val="nil"/>
              <w:bottom w:val="single" w:sz="4" w:space="0" w:color="auto"/>
              <w:right w:val="nil"/>
            </w:tcBorders>
            <w:noWrap/>
            <w:vAlign w:val="center"/>
            <w:hideMark/>
          </w:tcPr>
          <w:p w14:paraId="7664E1EA"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327" w:type="pct"/>
            <w:tcBorders>
              <w:left w:val="nil"/>
              <w:bottom w:val="single" w:sz="4" w:space="0" w:color="auto"/>
              <w:right w:val="nil"/>
            </w:tcBorders>
            <w:noWrap/>
            <w:vAlign w:val="center"/>
            <w:hideMark/>
          </w:tcPr>
          <w:p w14:paraId="173BD3E8"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IC10</w:t>
            </w:r>
          </w:p>
        </w:tc>
        <w:tc>
          <w:tcPr>
            <w:tcW w:w="701" w:type="pct"/>
            <w:tcBorders>
              <w:left w:val="nil"/>
              <w:bottom w:val="single" w:sz="4" w:space="0" w:color="auto"/>
              <w:right w:val="nil"/>
            </w:tcBorders>
            <w:noWrap/>
            <w:vAlign w:val="center"/>
            <w:hideMark/>
          </w:tcPr>
          <w:p w14:paraId="6D3D3588"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Bengston Nash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A33AB7" w:rsidRPr="00AC0CC1" w14:paraId="25055AAB" w14:textId="77777777" w:rsidTr="00A209AA">
        <w:trPr>
          <w:trHeight w:val="283"/>
        </w:trPr>
        <w:tc>
          <w:tcPr>
            <w:tcW w:w="316" w:type="pct"/>
            <w:vMerge w:val="restart"/>
            <w:tcBorders>
              <w:top w:val="single" w:sz="4" w:space="0" w:color="auto"/>
              <w:left w:val="nil"/>
              <w:right w:val="nil"/>
            </w:tcBorders>
            <w:noWrap/>
            <w:vAlign w:val="center"/>
            <w:hideMark/>
          </w:tcPr>
          <w:p w14:paraId="6AE2AC1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w:t>
            </w:r>
          </w:p>
        </w:tc>
        <w:tc>
          <w:tcPr>
            <w:tcW w:w="327" w:type="pct"/>
            <w:vMerge w:val="restart"/>
            <w:tcBorders>
              <w:top w:val="single" w:sz="4" w:space="0" w:color="auto"/>
              <w:left w:val="nil"/>
              <w:right w:val="nil"/>
            </w:tcBorders>
            <w:noWrap/>
            <w:vAlign w:val="center"/>
            <w:hideMark/>
          </w:tcPr>
          <w:p w14:paraId="14F162C6"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250≤ </w:t>
            </w:r>
            <w:r>
              <w:rPr>
                <w:rFonts w:asciiTheme="minorHAnsi" w:eastAsia="Times New Roman" w:hAnsiTheme="minorHAnsi" w:cstheme="minorHAnsi"/>
                <w:color w:val="000000"/>
                <w:sz w:val="16"/>
                <w:szCs w:val="16"/>
                <w:lang w:val="en-AU" w:eastAsia="en-AU"/>
              </w:rPr>
              <w:t>HEq</w:t>
            </w:r>
            <w:r w:rsidRPr="00AC0CC1">
              <w:rPr>
                <w:rFonts w:asciiTheme="minorHAnsi" w:eastAsia="Times New Roman" w:hAnsiTheme="minorHAnsi" w:cstheme="minorHAnsi"/>
                <w:color w:val="000000"/>
                <w:sz w:val="16"/>
                <w:szCs w:val="16"/>
                <w:lang w:val="en-AU" w:eastAsia="en-AU"/>
              </w:rPr>
              <w:t xml:space="preserve"> ≤ 900</w:t>
            </w:r>
          </w:p>
        </w:tc>
        <w:tc>
          <w:tcPr>
            <w:tcW w:w="1787" w:type="pct"/>
            <w:vMerge w:val="restart"/>
            <w:tcBorders>
              <w:top w:val="single" w:sz="4" w:space="0" w:color="auto"/>
              <w:left w:val="nil"/>
              <w:right w:val="nil"/>
            </w:tcBorders>
            <w:vAlign w:val="center"/>
            <w:hideMark/>
          </w:tcPr>
          <w:p w14:paraId="0B670D31"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Published scientific observations of reduced photosynthesis for three coral species.</w:t>
            </w:r>
          </w:p>
        </w:tc>
        <w:tc>
          <w:tcPr>
            <w:tcW w:w="2570" w:type="pct"/>
            <w:gridSpan w:val="5"/>
            <w:tcBorders>
              <w:top w:val="single" w:sz="4" w:space="0" w:color="auto"/>
              <w:left w:val="nil"/>
              <w:bottom w:val="single" w:sz="4" w:space="0" w:color="auto"/>
              <w:right w:val="nil"/>
            </w:tcBorders>
            <w:shd w:val="clear" w:color="auto" w:fill="auto"/>
            <w:vAlign w:val="bottom"/>
            <w:hideMark/>
          </w:tcPr>
          <w:p w14:paraId="0B71BA51"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Coral - Isolated zooxanthellae</w:t>
            </w:r>
          </w:p>
        </w:tc>
      </w:tr>
      <w:tr w:rsidR="00A33AB7" w:rsidRPr="00AC0CC1" w14:paraId="7916F323" w14:textId="77777777" w:rsidTr="00A209AA">
        <w:trPr>
          <w:trHeight w:val="283"/>
        </w:trPr>
        <w:tc>
          <w:tcPr>
            <w:tcW w:w="316" w:type="pct"/>
            <w:vMerge/>
            <w:tcBorders>
              <w:left w:val="nil"/>
              <w:right w:val="nil"/>
            </w:tcBorders>
            <w:noWrap/>
            <w:vAlign w:val="center"/>
            <w:hideMark/>
          </w:tcPr>
          <w:p w14:paraId="59741029"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noWrap/>
            <w:vAlign w:val="center"/>
            <w:hideMark/>
          </w:tcPr>
          <w:p w14:paraId="549CDE05"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20FE3997"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top w:val="single" w:sz="4" w:space="0" w:color="auto"/>
              <w:left w:val="nil"/>
              <w:bottom w:val="single" w:sz="4" w:space="0" w:color="auto"/>
              <w:right w:val="nil"/>
            </w:tcBorders>
            <w:shd w:val="clear" w:color="auto" w:fill="auto"/>
            <w:vAlign w:val="center"/>
            <w:hideMark/>
          </w:tcPr>
          <w:p w14:paraId="53F40C2D"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S. pistillata</w:t>
            </w:r>
          </w:p>
        </w:tc>
        <w:tc>
          <w:tcPr>
            <w:tcW w:w="467" w:type="pct"/>
            <w:tcBorders>
              <w:top w:val="single" w:sz="4" w:space="0" w:color="auto"/>
              <w:left w:val="nil"/>
              <w:bottom w:val="single" w:sz="4" w:space="0" w:color="auto"/>
              <w:right w:val="nil"/>
            </w:tcBorders>
            <w:shd w:val="clear" w:color="auto" w:fill="auto"/>
            <w:noWrap/>
            <w:vAlign w:val="center"/>
            <w:hideMark/>
          </w:tcPr>
          <w:p w14:paraId="54840EA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250</w:t>
            </w:r>
          </w:p>
        </w:tc>
        <w:tc>
          <w:tcPr>
            <w:tcW w:w="608" w:type="pct"/>
            <w:tcBorders>
              <w:top w:val="single" w:sz="4" w:space="0" w:color="auto"/>
              <w:left w:val="nil"/>
              <w:bottom w:val="single" w:sz="4" w:space="0" w:color="auto"/>
              <w:right w:val="nil"/>
            </w:tcBorders>
            <w:shd w:val="clear" w:color="auto" w:fill="auto"/>
            <w:noWrap/>
            <w:vAlign w:val="center"/>
            <w:hideMark/>
          </w:tcPr>
          <w:p w14:paraId="69325975"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327" w:type="pct"/>
            <w:tcBorders>
              <w:top w:val="single" w:sz="4" w:space="0" w:color="auto"/>
              <w:left w:val="nil"/>
              <w:bottom w:val="single" w:sz="4" w:space="0" w:color="auto"/>
              <w:right w:val="nil"/>
            </w:tcBorders>
            <w:shd w:val="clear" w:color="auto" w:fill="auto"/>
            <w:noWrap/>
            <w:vAlign w:val="center"/>
            <w:hideMark/>
          </w:tcPr>
          <w:p w14:paraId="4B9EB9F7"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top w:val="single" w:sz="4" w:space="0" w:color="auto"/>
              <w:left w:val="nil"/>
              <w:bottom w:val="single" w:sz="4" w:space="0" w:color="auto"/>
              <w:right w:val="nil"/>
            </w:tcBorders>
            <w:shd w:val="clear" w:color="auto" w:fill="auto"/>
            <w:noWrap/>
            <w:vAlign w:val="center"/>
            <w:hideMark/>
          </w:tcPr>
          <w:p w14:paraId="2351181E"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Jones</w:t>
            </w:r>
            <w:r w:rsidRPr="00AC0CC1">
              <w:rPr>
                <w:rFonts w:asciiTheme="minorHAnsi" w:eastAsia="Times New Roman" w:hAnsiTheme="minorHAnsi" w:cstheme="minorHAnsi"/>
                <w:i/>
                <w:iCs/>
                <w:color w:val="000000"/>
                <w:sz w:val="16"/>
                <w:szCs w:val="16"/>
                <w:lang w:val="en-AU" w:eastAsia="en-AU"/>
              </w:rPr>
              <w:t xml:space="preserve"> et al</w:t>
            </w:r>
            <w:r w:rsidRPr="00AC0CC1">
              <w:rPr>
                <w:rFonts w:asciiTheme="minorHAnsi" w:eastAsia="Times New Roman" w:hAnsiTheme="minorHAnsi" w:cstheme="minorHAnsi"/>
                <w:color w:val="000000"/>
                <w:sz w:val="16"/>
                <w:szCs w:val="16"/>
                <w:lang w:val="en-AU" w:eastAsia="en-AU"/>
              </w:rPr>
              <w:t xml:space="preserve"> 2003</w:t>
            </w:r>
          </w:p>
        </w:tc>
      </w:tr>
      <w:tr w:rsidR="00A33AB7" w:rsidRPr="00AC0CC1" w14:paraId="14B50039" w14:textId="77777777" w:rsidTr="00A209AA">
        <w:trPr>
          <w:trHeight w:val="283"/>
        </w:trPr>
        <w:tc>
          <w:tcPr>
            <w:tcW w:w="316" w:type="pct"/>
            <w:vMerge/>
            <w:tcBorders>
              <w:left w:val="nil"/>
              <w:right w:val="nil"/>
            </w:tcBorders>
            <w:noWrap/>
            <w:vAlign w:val="center"/>
            <w:hideMark/>
          </w:tcPr>
          <w:p w14:paraId="007A876C"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noWrap/>
            <w:vAlign w:val="center"/>
            <w:hideMark/>
          </w:tcPr>
          <w:p w14:paraId="77A9D787"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49BE5712"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2570" w:type="pct"/>
            <w:gridSpan w:val="5"/>
            <w:tcBorders>
              <w:top w:val="single" w:sz="4" w:space="0" w:color="auto"/>
              <w:left w:val="nil"/>
              <w:right w:val="nil"/>
            </w:tcBorders>
            <w:shd w:val="clear" w:color="auto" w:fill="auto"/>
            <w:vAlign w:val="bottom"/>
            <w:hideMark/>
          </w:tcPr>
          <w:p w14:paraId="261F2AA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Coral - Adult colonies</w:t>
            </w:r>
          </w:p>
        </w:tc>
      </w:tr>
      <w:tr w:rsidR="00A33AB7" w:rsidRPr="00AC0CC1" w14:paraId="4F9D13CC" w14:textId="77777777" w:rsidTr="00A209AA">
        <w:trPr>
          <w:trHeight w:val="283"/>
        </w:trPr>
        <w:tc>
          <w:tcPr>
            <w:tcW w:w="316" w:type="pct"/>
            <w:vMerge/>
            <w:tcBorders>
              <w:left w:val="nil"/>
              <w:right w:val="nil"/>
            </w:tcBorders>
            <w:noWrap/>
            <w:vAlign w:val="center"/>
            <w:hideMark/>
          </w:tcPr>
          <w:p w14:paraId="7ED64838"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noWrap/>
            <w:vAlign w:val="center"/>
            <w:hideMark/>
          </w:tcPr>
          <w:p w14:paraId="7D9D916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20E08021"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5FA025C3"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formosa</w:t>
            </w:r>
          </w:p>
        </w:tc>
        <w:tc>
          <w:tcPr>
            <w:tcW w:w="467" w:type="pct"/>
            <w:tcBorders>
              <w:left w:val="nil"/>
              <w:right w:val="nil"/>
            </w:tcBorders>
            <w:noWrap/>
            <w:vAlign w:val="center"/>
            <w:hideMark/>
          </w:tcPr>
          <w:p w14:paraId="1DD5976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300</w:t>
            </w:r>
          </w:p>
        </w:tc>
        <w:tc>
          <w:tcPr>
            <w:tcW w:w="608" w:type="pct"/>
            <w:tcBorders>
              <w:left w:val="nil"/>
              <w:right w:val="nil"/>
            </w:tcBorders>
            <w:noWrap/>
            <w:vAlign w:val="center"/>
            <w:hideMark/>
          </w:tcPr>
          <w:p w14:paraId="261D79DF"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327" w:type="pct"/>
            <w:tcBorders>
              <w:left w:val="nil"/>
              <w:right w:val="nil"/>
            </w:tcBorders>
            <w:noWrap/>
            <w:vAlign w:val="center"/>
            <w:hideMark/>
          </w:tcPr>
          <w:p w14:paraId="53D92FB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noWrap/>
            <w:vAlign w:val="center"/>
            <w:hideMark/>
          </w:tcPr>
          <w:p w14:paraId="4E09235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Jones &amp; Kerswell, 2003</w:t>
            </w:r>
          </w:p>
        </w:tc>
      </w:tr>
      <w:tr w:rsidR="00A33AB7" w:rsidRPr="00AC0CC1" w14:paraId="3ACE4A47" w14:textId="77777777" w:rsidTr="00A209AA">
        <w:trPr>
          <w:trHeight w:val="283"/>
        </w:trPr>
        <w:tc>
          <w:tcPr>
            <w:tcW w:w="316" w:type="pct"/>
            <w:vMerge/>
            <w:tcBorders>
              <w:left w:val="nil"/>
              <w:right w:val="nil"/>
            </w:tcBorders>
            <w:noWrap/>
            <w:vAlign w:val="center"/>
            <w:hideMark/>
          </w:tcPr>
          <w:p w14:paraId="580D617C"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noWrap/>
            <w:vAlign w:val="center"/>
            <w:hideMark/>
          </w:tcPr>
          <w:p w14:paraId="1461ACD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02315376"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395B79AF"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S. hystrix</w:t>
            </w:r>
          </w:p>
        </w:tc>
        <w:tc>
          <w:tcPr>
            <w:tcW w:w="467" w:type="pct"/>
            <w:tcBorders>
              <w:left w:val="nil"/>
              <w:right w:val="nil"/>
            </w:tcBorders>
            <w:noWrap/>
            <w:vAlign w:val="center"/>
            <w:hideMark/>
          </w:tcPr>
          <w:p w14:paraId="055801A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300</w:t>
            </w:r>
          </w:p>
        </w:tc>
        <w:tc>
          <w:tcPr>
            <w:tcW w:w="608" w:type="pct"/>
            <w:tcBorders>
              <w:left w:val="nil"/>
              <w:right w:val="nil"/>
            </w:tcBorders>
            <w:noWrap/>
            <w:vAlign w:val="center"/>
            <w:hideMark/>
          </w:tcPr>
          <w:p w14:paraId="1C44FED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327" w:type="pct"/>
            <w:tcBorders>
              <w:left w:val="nil"/>
              <w:right w:val="nil"/>
            </w:tcBorders>
            <w:noWrap/>
            <w:vAlign w:val="center"/>
            <w:hideMark/>
          </w:tcPr>
          <w:p w14:paraId="1DF0A83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noWrap/>
            <w:vAlign w:val="center"/>
            <w:hideMark/>
          </w:tcPr>
          <w:p w14:paraId="3472FFDB"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Jones</w:t>
            </w:r>
            <w:r w:rsidRPr="00AC0CC1">
              <w:rPr>
                <w:rFonts w:asciiTheme="minorHAnsi" w:eastAsia="Times New Roman" w:hAnsiTheme="minorHAnsi" w:cstheme="minorHAnsi"/>
                <w:i/>
                <w:iCs/>
                <w:color w:val="000000"/>
                <w:sz w:val="16"/>
                <w:szCs w:val="16"/>
                <w:lang w:val="en-AU" w:eastAsia="en-AU"/>
              </w:rPr>
              <w:t xml:space="preserve"> et al</w:t>
            </w:r>
            <w:r w:rsidRPr="00AC0CC1">
              <w:rPr>
                <w:rFonts w:asciiTheme="minorHAnsi" w:eastAsia="Times New Roman" w:hAnsiTheme="minorHAnsi" w:cstheme="minorHAnsi"/>
                <w:color w:val="000000"/>
                <w:sz w:val="16"/>
                <w:szCs w:val="16"/>
                <w:lang w:val="en-AU" w:eastAsia="en-AU"/>
              </w:rPr>
              <w:t xml:space="preserve"> 2003</w:t>
            </w:r>
          </w:p>
        </w:tc>
      </w:tr>
      <w:tr w:rsidR="00A33AB7" w:rsidRPr="00AC0CC1" w14:paraId="6C9D121D" w14:textId="77777777" w:rsidTr="00A209AA">
        <w:trPr>
          <w:trHeight w:val="283"/>
        </w:trPr>
        <w:tc>
          <w:tcPr>
            <w:tcW w:w="316" w:type="pct"/>
            <w:vMerge/>
            <w:tcBorders>
              <w:left w:val="nil"/>
              <w:bottom w:val="single" w:sz="4" w:space="0" w:color="auto"/>
              <w:right w:val="nil"/>
            </w:tcBorders>
            <w:vAlign w:val="center"/>
            <w:hideMark/>
          </w:tcPr>
          <w:p w14:paraId="170457D8"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bottom w:val="single" w:sz="4" w:space="0" w:color="auto"/>
              <w:right w:val="nil"/>
            </w:tcBorders>
            <w:vAlign w:val="center"/>
            <w:hideMark/>
          </w:tcPr>
          <w:p w14:paraId="1CAAA8F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bottom w:val="single" w:sz="4" w:space="0" w:color="auto"/>
              <w:right w:val="nil"/>
            </w:tcBorders>
            <w:vAlign w:val="center"/>
            <w:hideMark/>
          </w:tcPr>
          <w:p w14:paraId="5A213870"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bottom w:val="single" w:sz="4" w:space="0" w:color="auto"/>
              <w:right w:val="nil"/>
            </w:tcBorders>
            <w:noWrap/>
            <w:vAlign w:val="center"/>
            <w:hideMark/>
          </w:tcPr>
          <w:p w14:paraId="477F14AD"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S. hystrix</w:t>
            </w:r>
          </w:p>
        </w:tc>
        <w:tc>
          <w:tcPr>
            <w:tcW w:w="467" w:type="pct"/>
            <w:tcBorders>
              <w:left w:val="nil"/>
              <w:bottom w:val="single" w:sz="4" w:space="0" w:color="auto"/>
              <w:right w:val="nil"/>
            </w:tcBorders>
            <w:noWrap/>
            <w:vAlign w:val="center"/>
            <w:hideMark/>
          </w:tcPr>
          <w:p w14:paraId="7149119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300</w:t>
            </w:r>
          </w:p>
        </w:tc>
        <w:tc>
          <w:tcPr>
            <w:tcW w:w="608" w:type="pct"/>
            <w:tcBorders>
              <w:left w:val="nil"/>
              <w:bottom w:val="single" w:sz="4" w:space="0" w:color="auto"/>
              <w:right w:val="nil"/>
            </w:tcBorders>
            <w:noWrap/>
            <w:vAlign w:val="center"/>
            <w:hideMark/>
          </w:tcPr>
          <w:p w14:paraId="1B3447B7"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327" w:type="pct"/>
            <w:tcBorders>
              <w:left w:val="nil"/>
              <w:bottom w:val="single" w:sz="4" w:space="0" w:color="auto"/>
              <w:right w:val="nil"/>
            </w:tcBorders>
            <w:noWrap/>
            <w:vAlign w:val="center"/>
            <w:hideMark/>
          </w:tcPr>
          <w:p w14:paraId="3FAFEF27"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bottom w:val="single" w:sz="4" w:space="0" w:color="auto"/>
              <w:right w:val="nil"/>
            </w:tcBorders>
            <w:noWrap/>
            <w:vAlign w:val="center"/>
            <w:hideMark/>
          </w:tcPr>
          <w:p w14:paraId="5B76836F"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Jones &amp; Kerswell, 2003</w:t>
            </w:r>
          </w:p>
        </w:tc>
      </w:tr>
      <w:tr w:rsidR="00A33AB7" w:rsidRPr="00AC0CC1" w14:paraId="7FCDE232" w14:textId="77777777" w:rsidTr="00A209AA">
        <w:trPr>
          <w:trHeight w:val="283"/>
        </w:trPr>
        <w:tc>
          <w:tcPr>
            <w:tcW w:w="316" w:type="pct"/>
            <w:vMerge w:val="restart"/>
            <w:tcBorders>
              <w:top w:val="single" w:sz="4" w:space="0" w:color="auto"/>
              <w:left w:val="nil"/>
              <w:right w:val="nil"/>
            </w:tcBorders>
            <w:noWrap/>
            <w:vAlign w:val="center"/>
            <w:hideMark/>
          </w:tcPr>
          <w:p w14:paraId="60CCC5B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w:t>
            </w:r>
          </w:p>
        </w:tc>
        <w:tc>
          <w:tcPr>
            <w:tcW w:w="327" w:type="pct"/>
            <w:vMerge w:val="restart"/>
            <w:tcBorders>
              <w:top w:val="single" w:sz="4" w:space="0" w:color="auto"/>
              <w:left w:val="nil"/>
              <w:right w:val="nil"/>
            </w:tcBorders>
            <w:noWrap/>
            <w:vAlign w:val="center"/>
            <w:hideMark/>
          </w:tcPr>
          <w:p w14:paraId="2ACAD062"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Pr>
                <w:rFonts w:asciiTheme="minorHAnsi" w:eastAsia="Times New Roman" w:hAnsiTheme="minorHAnsi" w:cstheme="minorHAnsi"/>
                <w:color w:val="000000"/>
                <w:sz w:val="16"/>
                <w:szCs w:val="16"/>
                <w:lang w:val="en-AU" w:eastAsia="en-AU"/>
              </w:rPr>
              <w:t>HEq</w:t>
            </w:r>
            <w:r w:rsidRPr="00AC0CC1">
              <w:rPr>
                <w:rFonts w:asciiTheme="minorHAnsi" w:eastAsia="Times New Roman" w:hAnsiTheme="minorHAnsi" w:cstheme="minorHAnsi"/>
                <w:color w:val="000000"/>
                <w:sz w:val="16"/>
                <w:szCs w:val="16"/>
                <w:lang w:val="en-AU" w:eastAsia="en-AU"/>
              </w:rPr>
              <w:t xml:space="preserve"> &gt; 900</w:t>
            </w:r>
          </w:p>
        </w:tc>
        <w:tc>
          <w:tcPr>
            <w:tcW w:w="1787" w:type="pct"/>
            <w:vMerge w:val="restart"/>
            <w:tcBorders>
              <w:top w:val="single" w:sz="4" w:space="0" w:color="auto"/>
              <w:left w:val="nil"/>
              <w:right w:val="nil"/>
            </w:tcBorders>
            <w:hideMark/>
          </w:tcPr>
          <w:p w14:paraId="41A90895"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w:t>
            </w:r>
          </w:p>
        </w:tc>
        <w:tc>
          <w:tcPr>
            <w:tcW w:w="2570" w:type="pct"/>
            <w:gridSpan w:val="5"/>
            <w:tcBorders>
              <w:top w:val="single" w:sz="4" w:space="0" w:color="auto"/>
              <w:left w:val="nil"/>
              <w:right w:val="nil"/>
            </w:tcBorders>
            <w:shd w:val="clear" w:color="auto" w:fill="auto"/>
            <w:noWrap/>
            <w:vAlign w:val="bottom"/>
            <w:hideMark/>
          </w:tcPr>
          <w:p w14:paraId="0CBB12D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Seagrass</w:t>
            </w:r>
          </w:p>
        </w:tc>
      </w:tr>
      <w:tr w:rsidR="00A33AB7" w:rsidRPr="00AC0CC1" w14:paraId="7281EE70" w14:textId="77777777" w:rsidTr="00A209AA">
        <w:trPr>
          <w:trHeight w:val="283"/>
        </w:trPr>
        <w:tc>
          <w:tcPr>
            <w:tcW w:w="316" w:type="pct"/>
            <w:vMerge/>
            <w:tcBorders>
              <w:left w:val="nil"/>
              <w:right w:val="nil"/>
            </w:tcBorders>
            <w:noWrap/>
            <w:vAlign w:val="center"/>
            <w:hideMark/>
          </w:tcPr>
          <w:p w14:paraId="186B8530"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noWrap/>
            <w:vAlign w:val="center"/>
            <w:hideMark/>
          </w:tcPr>
          <w:p w14:paraId="6FE14100"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2F87908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shd w:val="clear" w:color="auto" w:fill="auto"/>
            <w:noWrap/>
            <w:vAlign w:val="center"/>
            <w:hideMark/>
          </w:tcPr>
          <w:p w14:paraId="7EC0DB91"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Z. capriconi</w:t>
            </w:r>
          </w:p>
        </w:tc>
        <w:tc>
          <w:tcPr>
            <w:tcW w:w="467" w:type="pct"/>
            <w:tcBorders>
              <w:left w:val="nil"/>
              <w:right w:val="nil"/>
            </w:tcBorders>
            <w:shd w:val="clear" w:color="auto" w:fill="auto"/>
            <w:noWrap/>
            <w:vAlign w:val="center"/>
            <w:hideMark/>
          </w:tcPr>
          <w:p w14:paraId="47B436E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608" w:type="pct"/>
            <w:tcBorders>
              <w:left w:val="nil"/>
              <w:right w:val="nil"/>
            </w:tcBorders>
            <w:shd w:val="clear" w:color="auto" w:fill="auto"/>
            <w:noWrap/>
            <w:vAlign w:val="center"/>
            <w:hideMark/>
          </w:tcPr>
          <w:p w14:paraId="67ABCF47"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327" w:type="pct"/>
            <w:tcBorders>
              <w:left w:val="nil"/>
              <w:right w:val="nil"/>
            </w:tcBorders>
            <w:shd w:val="clear" w:color="auto" w:fill="auto"/>
            <w:noWrap/>
            <w:vAlign w:val="center"/>
            <w:hideMark/>
          </w:tcPr>
          <w:p w14:paraId="453BC4F0"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shd w:val="clear" w:color="auto" w:fill="auto"/>
            <w:noWrap/>
            <w:vAlign w:val="center"/>
            <w:hideMark/>
          </w:tcPr>
          <w:p w14:paraId="20FF057A"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Chesworth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2004</w:t>
            </w:r>
          </w:p>
        </w:tc>
      </w:tr>
      <w:tr w:rsidR="00A33AB7" w:rsidRPr="00AC0CC1" w14:paraId="258282D3" w14:textId="77777777" w:rsidTr="00A209AA">
        <w:trPr>
          <w:trHeight w:val="283"/>
        </w:trPr>
        <w:tc>
          <w:tcPr>
            <w:tcW w:w="316" w:type="pct"/>
            <w:vMerge/>
            <w:tcBorders>
              <w:left w:val="nil"/>
              <w:right w:val="nil"/>
            </w:tcBorders>
            <w:noWrap/>
            <w:vAlign w:val="center"/>
            <w:hideMark/>
          </w:tcPr>
          <w:p w14:paraId="7DA525B6"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noWrap/>
            <w:vAlign w:val="center"/>
            <w:hideMark/>
          </w:tcPr>
          <w:p w14:paraId="43A4AE07"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1FB52693"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shd w:val="clear" w:color="auto" w:fill="auto"/>
            <w:noWrap/>
            <w:vAlign w:val="center"/>
            <w:hideMark/>
          </w:tcPr>
          <w:p w14:paraId="03959BB0"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Z. capriconi</w:t>
            </w:r>
          </w:p>
        </w:tc>
        <w:tc>
          <w:tcPr>
            <w:tcW w:w="467" w:type="pct"/>
            <w:tcBorders>
              <w:left w:val="nil"/>
              <w:right w:val="nil"/>
            </w:tcBorders>
            <w:shd w:val="clear" w:color="auto" w:fill="auto"/>
            <w:noWrap/>
            <w:vAlign w:val="center"/>
            <w:hideMark/>
          </w:tcPr>
          <w:p w14:paraId="1D8270F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5000</w:t>
            </w:r>
          </w:p>
        </w:tc>
        <w:tc>
          <w:tcPr>
            <w:tcW w:w="608" w:type="pct"/>
            <w:tcBorders>
              <w:left w:val="nil"/>
              <w:right w:val="nil"/>
            </w:tcBorders>
            <w:shd w:val="clear" w:color="auto" w:fill="auto"/>
            <w:noWrap/>
            <w:vAlign w:val="center"/>
            <w:hideMark/>
          </w:tcPr>
          <w:p w14:paraId="3033F517"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↓growth</w:t>
            </w:r>
          </w:p>
        </w:tc>
        <w:tc>
          <w:tcPr>
            <w:tcW w:w="327" w:type="pct"/>
            <w:tcBorders>
              <w:left w:val="nil"/>
              <w:right w:val="nil"/>
            </w:tcBorders>
            <w:shd w:val="clear" w:color="auto" w:fill="auto"/>
            <w:noWrap/>
            <w:vAlign w:val="center"/>
            <w:hideMark/>
          </w:tcPr>
          <w:p w14:paraId="544E52E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shd w:val="clear" w:color="auto" w:fill="auto"/>
            <w:noWrap/>
            <w:vAlign w:val="center"/>
            <w:hideMark/>
          </w:tcPr>
          <w:p w14:paraId="5BCEBF01"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Chesworth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2004</w:t>
            </w:r>
          </w:p>
        </w:tc>
      </w:tr>
      <w:tr w:rsidR="00A33AB7" w:rsidRPr="00AC0CC1" w14:paraId="02AFB221" w14:textId="77777777" w:rsidTr="00A209AA">
        <w:trPr>
          <w:trHeight w:val="283"/>
        </w:trPr>
        <w:tc>
          <w:tcPr>
            <w:tcW w:w="316" w:type="pct"/>
            <w:vMerge/>
            <w:tcBorders>
              <w:left w:val="nil"/>
              <w:right w:val="nil"/>
            </w:tcBorders>
            <w:vAlign w:val="center"/>
            <w:hideMark/>
          </w:tcPr>
          <w:p w14:paraId="1AE19CF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5C50628F"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12E20130"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shd w:val="clear" w:color="auto" w:fill="auto"/>
            <w:noWrap/>
            <w:vAlign w:val="center"/>
            <w:hideMark/>
          </w:tcPr>
          <w:p w14:paraId="03543DDF"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Z. capriconi</w:t>
            </w:r>
          </w:p>
        </w:tc>
        <w:tc>
          <w:tcPr>
            <w:tcW w:w="467" w:type="pct"/>
            <w:tcBorders>
              <w:left w:val="nil"/>
              <w:right w:val="nil"/>
            </w:tcBorders>
            <w:shd w:val="clear" w:color="auto" w:fill="auto"/>
            <w:noWrap/>
            <w:vAlign w:val="center"/>
            <w:hideMark/>
          </w:tcPr>
          <w:p w14:paraId="51D646AA"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10000</w:t>
            </w:r>
          </w:p>
        </w:tc>
        <w:tc>
          <w:tcPr>
            <w:tcW w:w="608" w:type="pct"/>
            <w:tcBorders>
              <w:left w:val="nil"/>
              <w:right w:val="nil"/>
            </w:tcBorders>
            <w:shd w:val="clear" w:color="auto" w:fill="auto"/>
            <w:noWrap/>
            <w:vAlign w:val="center"/>
            <w:hideMark/>
          </w:tcPr>
          <w:p w14:paraId="2461B982"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327" w:type="pct"/>
            <w:tcBorders>
              <w:left w:val="nil"/>
              <w:right w:val="nil"/>
            </w:tcBorders>
            <w:shd w:val="clear" w:color="auto" w:fill="auto"/>
            <w:noWrap/>
            <w:vAlign w:val="center"/>
            <w:hideMark/>
          </w:tcPr>
          <w:p w14:paraId="5416813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shd w:val="clear" w:color="auto" w:fill="auto"/>
            <w:noWrap/>
            <w:vAlign w:val="center"/>
            <w:hideMark/>
          </w:tcPr>
          <w:p w14:paraId="7E684F1B"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Macinnis-Ng &amp; Ralph, 2004</w:t>
            </w:r>
          </w:p>
        </w:tc>
      </w:tr>
      <w:tr w:rsidR="00A33AB7" w:rsidRPr="00AC0CC1" w14:paraId="1AEC2BF5" w14:textId="77777777" w:rsidTr="00A209AA">
        <w:trPr>
          <w:trHeight w:val="283"/>
        </w:trPr>
        <w:tc>
          <w:tcPr>
            <w:tcW w:w="316" w:type="pct"/>
            <w:vMerge/>
            <w:tcBorders>
              <w:left w:val="nil"/>
              <w:right w:val="nil"/>
            </w:tcBorders>
            <w:vAlign w:val="center"/>
            <w:hideMark/>
          </w:tcPr>
          <w:p w14:paraId="29513E15"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2CC777E9"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7B4FECAC"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shd w:val="clear" w:color="auto" w:fill="auto"/>
            <w:noWrap/>
            <w:vAlign w:val="center"/>
            <w:hideMark/>
          </w:tcPr>
          <w:p w14:paraId="44378A2E"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C. serrulata</w:t>
            </w:r>
          </w:p>
        </w:tc>
        <w:tc>
          <w:tcPr>
            <w:tcW w:w="467" w:type="pct"/>
            <w:tcBorders>
              <w:left w:val="nil"/>
              <w:right w:val="nil"/>
            </w:tcBorders>
            <w:shd w:val="clear" w:color="auto" w:fill="auto"/>
            <w:noWrap/>
            <w:vAlign w:val="center"/>
            <w:hideMark/>
          </w:tcPr>
          <w:p w14:paraId="21BCDEC1"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10000</w:t>
            </w:r>
          </w:p>
        </w:tc>
        <w:tc>
          <w:tcPr>
            <w:tcW w:w="608" w:type="pct"/>
            <w:tcBorders>
              <w:left w:val="nil"/>
              <w:right w:val="nil"/>
            </w:tcBorders>
            <w:shd w:val="clear" w:color="auto" w:fill="auto"/>
            <w:noWrap/>
            <w:vAlign w:val="center"/>
            <w:hideMark/>
          </w:tcPr>
          <w:p w14:paraId="65BA55FF"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↓photosynthesis</w:t>
            </w:r>
          </w:p>
        </w:tc>
        <w:tc>
          <w:tcPr>
            <w:tcW w:w="327" w:type="pct"/>
            <w:tcBorders>
              <w:left w:val="nil"/>
              <w:right w:val="nil"/>
            </w:tcBorders>
            <w:shd w:val="clear" w:color="auto" w:fill="auto"/>
            <w:noWrap/>
            <w:vAlign w:val="center"/>
            <w:hideMark/>
          </w:tcPr>
          <w:p w14:paraId="38820735"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shd w:val="clear" w:color="auto" w:fill="auto"/>
            <w:noWrap/>
            <w:vAlign w:val="center"/>
            <w:hideMark/>
          </w:tcPr>
          <w:p w14:paraId="6F5B417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Haynes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2000b</w:t>
            </w:r>
          </w:p>
        </w:tc>
      </w:tr>
      <w:tr w:rsidR="00A33AB7" w:rsidRPr="00AC0CC1" w14:paraId="480D3144" w14:textId="77777777" w:rsidTr="00A209AA">
        <w:trPr>
          <w:trHeight w:val="283"/>
        </w:trPr>
        <w:tc>
          <w:tcPr>
            <w:tcW w:w="316" w:type="pct"/>
            <w:vMerge/>
            <w:tcBorders>
              <w:left w:val="nil"/>
              <w:right w:val="nil"/>
            </w:tcBorders>
            <w:vAlign w:val="center"/>
            <w:hideMark/>
          </w:tcPr>
          <w:p w14:paraId="715F1DDC"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6909622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28084FDC"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2570" w:type="pct"/>
            <w:gridSpan w:val="5"/>
            <w:tcBorders>
              <w:left w:val="nil"/>
              <w:right w:val="nil"/>
            </w:tcBorders>
            <w:shd w:val="clear" w:color="auto" w:fill="auto"/>
            <w:noWrap/>
            <w:vAlign w:val="center"/>
            <w:hideMark/>
          </w:tcPr>
          <w:p w14:paraId="61EC79E5"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Coral - Isolated zooxanthellae</w:t>
            </w:r>
          </w:p>
        </w:tc>
      </w:tr>
      <w:tr w:rsidR="00A33AB7" w:rsidRPr="00AC0CC1" w14:paraId="0D632DAC" w14:textId="77777777" w:rsidTr="00A209AA">
        <w:trPr>
          <w:trHeight w:val="283"/>
        </w:trPr>
        <w:tc>
          <w:tcPr>
            <w:tcW w:w="316" w:type="pct"/>
            <w:vMerge/>
            <w:tcBorders>
              <w:left w:val="nil"/>
              <w:right w:val="nil"/>
            </w:tcBorders>
            <w:vAlign w:val="center"/>
            <w:hideMark/>
          </w:tcPr>
          <w:p w14:paraId="3D27C6D5"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3A03BE02"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3C9D2A65"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noWrap/>
            <w:vAlign w:val="center"/>
            <w:hideMark/>
          </w:tcPr>
          <w:p w14:paraId="74702C18"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M. mirabilis</w:t>
            </w:r>
          </w:p>
        </w:tc>
        <w:tc>
          <w:tcPr>
            <w:tcW w:w="467" w:type="pct"/>
            <w:tcBorders>
              <w:left w:val="nil"/>
              <w:right w:val="nil"/>
            </w:tcBorders>
            <w:noWrap/>
            <w:vAlign w:val="center"/>
            <w:hideMark/>
          </w:tcPr>
          <w:p w14:paraId="0E5898E5"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608" w:type="pct"/>
            <w:tcBorders>
              <w:left w:val="nil"/>
              <w:right w:val="nil"/>
            </w:tcBorders>
            <w:noWrap/>
            <w:vAlign w:val="center"/>
            <w:hideMark/>
          </w:tcPr>
          <w:p w14:paraId="77EE4C8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↓C</w:t>
            </w:r>
            <w:r w:rsidRPr="00AC0CC1">
              <w:rPr>
                <w:rFonts w:asciiTheme="minorHAnsi" w:eastAsia="Times New Roman" w:hAnsiTheme="minorHAnsi" w:cstheme="minorHAnsi"/>
                <w:color w:val="000000"/>
                <w:sz w:val="16"/>
                <w:szCs w:val="16"/>
                <w:vertAlign w:val="superscript"/>
                <w:lang w:val="en-AU" w:eastAsia="en-AU"/>
              </w:rPr>
              <w:t>14</w:t>
            </w:r>
            <w:r w:rsidRPr="00AC0CC1">
              <w:rPr>
                <w:rFonts w:asciiTheme="minorHAnsi" w:eastAsia="Times New Roman" w:hAnsiTheme="minorHAnsi" w:cstheme="minorHAnsi"/>
                <w:color w:val="000000"/>
                <w:sz w:val="16"/>
                <w:szCs w:val="16"/>
                <w:lang w:val="en-AU" w:eastAsia="en-AU"/>
              </w:rPr>
              <w:t xml:space="preserve"> incorporation</w:t>
            </w:r>
          </w:p>
        </w:tc>
        <w:tc>
          <w:tcPr>
            <w:tcW w:w="327" w:type="pct"/>
            <w:tcBorders>
              <w:left w:val="nil"/>
              <w:right w:val="nil"/>
            </w:tcBorders>
            <w:noWrap/>
            <w:vAlign w:val="center"/>
            <w:hideMark/>
          </w:tcPr>
          <w:p w14:paraId="0BFBA261"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noWrap/>
            <w:vAlign w:val="center"/>
            <w:hideMark/>
          </w:tcPr>
          <w:p w14:paraId="4F911F1B"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Owen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2003</w:t>
            </w:r>
          </w:p>
        </w:tc>
      </w:tr>
      <w:tr w:rsidR="00A33AB7" w:rsidRPr="00AC0CC1" w14:paraId="743A847D" w14:textId="77777777" w:rsidTr="00A209AA">
        <w:trPr>
          <w:trHeight w:val="283"/>
        </w:trPr>
        <w:tc>
          <w:tcPr>
            <w:tcW w:w="316" w:type="pct"/>
            <w:vMerge/>
            <w:tcBorders>
              <w:left w:val="nil"/>
              <w:right w:val="nil"/>
            </w:tcBorders>
            <w:vAlign w:val="center"/>
            <w:hideMark/>
          </w:tcPr>
          <w:p w14:paraId="30DBD150"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7BF9BBE2"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36A9B46E"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277BA605"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F. fragum</w:t>
            </w:r>
          </w:p>
        </w:tc>
        <w:tc>
          <w:tcPr>
            <w:tcW w:w="467" w:type="pct"/>
            <w:tcBorders>
              <w:left w:val="nil"/>
              <w:right w:val="nil"/>
            </w:tcBorders>
            <w:noWrap/>
            <w:vAlign w:val="center"/>
            <w:hideMark/>
          </w:tcPr>
          <w:p w14:paraId="4D9CE14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2000</w:t>
            </w:r>
          </w:p>
        </w:tc>
        <w:tc>
          <w:tcPr>
            <w:tcW w:w="608" w:type="pct"/>
            <w:tcBorders>
              <w:left w:val="nil"/>
              <w:right w:val="nil"/>
            </w:tcBorders>
            <w:noWrap/>
            <w:vAlign w:val="center"/>
            <w:hideMark/>
          </w:tcPr>
          <w:p w14:paraId="167B94B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↓C</w:t>
            </w:r>
            <w:r w:rsidRPr="00AC0CC1">
              <w:rPr>
                <w:rFonts w:asciiTheme="minorHAnsi" w:eastAsia="Times New Roman" w:hAnsiTheme="minorHAnsi" w:cstheme="minorHAnsi"/>
                <w:color w:val="000000"/>
                <w:sz w:val="16"/>
                <w:szCs w:val="16"/>
                <w:vertAlign w:val="superscript"/>
                <w:lang w:val="en-AU" w:eastAsia="en-AU"/>
              </w:rPr>
              <w:t>14</w:t>
            </w:r>
            <w:r w:rsidRPr="00AC0CC1">
              <w:rPr>
                <w:rFonts w:asciiTheme="minorHAnsi" w:eastAsia="Times New Roman" w:hAnsiTheme="minorHAnsi" w:cstheme="minorHAnsi"/>
                <w:color w:val="000000"/>
                <w:sz w:val="16"/>
                <w:szCs w:val="16"/>
                <w:lang w:val="en-AU" w:eastAsia="en-AU"/>
              </w:rPr>
              <w:t xml:space="preserve"> incorporation</w:t>
            </w:r>
          </w:p>
        </w:tc>
        <w:tc>
          <w:tcPr>
            <w:tcW w:w="327" w:type="pct"/>
            <w:tcBorders>
              <w:left w:val="nil"/>
              <w:right w:val="nil"/>
            </w:tcBorders>
            <w:noWrap/>
            <w:vAlign w:val="center"/>
            <w:hideMark/>
          </w:tcPr>
          <w:p w14:paraId="1E044F1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noWrap/>
            <w:vAlign w:val="center"/>
            <w:hideMark/>
          </w:tcPr>
          <w:p w14:paraId="265A60A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Owen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2003</w:t>
            </w:r>
          </w:p>
        </w:tc>
      </w:tr>
      <w:tr w:rsidR="00A33AB7" w:rsidRPr="00AC0CC1" w14:paraId="65B41392" w14:textId="77777777" w:rsidTr="00A209AA">
        <w:trPr>
          <w:trHeight w:val="283"/>
        </w:trPr>
        <w:tc>
          <w:tcPr>
            <w:tcW w:w="316" w:type="pct"/>
            <w:vMerge/>
            <w:tcBorders>
              <w:left w:val="nil"/>
              <w:right w:val="nil"/>
            </w:tcBorders>
            <w:vAlign w:val="center"/>
            <w:hideMark/>
          </w:tcPr>
          <w:p w14:paraId="03F9947E"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18C25A9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731A7B97"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noWrap/>
            <w:vAlign w:val="center"/>
            <w:hideMark/>
          </w:tcPr>
          <w:p w14:paraId="5A045228"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D. strigosa</w:t>
            </w:r>
          </w:p>
        </w:tc>
        <w:tc>
          <w:tcPr>
            <w:tcW w:w="467" w:type="pct"/>
            <w:tcBorders>
              <w:left w:val="nil"/>
              <w:right w:val="nil"/>
            </w:tcBorders>
            <w:noWrap/>
            <w:vAlign w:val="center"/>
            <w:hideMark/>
          </w:tcPr>
          <w:p w14:paraId="72D09D92"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2000</w:t>
            </w:r>
          </w:p>
        </w:tc>
        <w:tc>
          <w:tcPr>
            <w:tcW w:w="608" w:type="pct"/>
            <w:tcBorders>
              <w:left w:val="nil"/>
              <w:right w:val="nil"/>
            </w:tcBorders>
            <w:noWrap/>
            <w:vAlign w:val="center"/>
            <w:hideMark/>
          </w:tcPr>
          <w:p w14:paraId="4839F07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↓C</w:t>
            </w:r>
            <w:r w:rsidRPr="00AC0CC1">
              <w:rPr>
                <w:rFonts w:asciiTheme="minorHAnsi" w:eastAsia="Times New Roman" w:hAnsiTheme="minorHAnsi" w:cstheme="minorHAnsi"/>
                <w:color w:val="000000"/>
                <w:sz w:val="16"/>
                <w:szCs w:val="16"/>
                <w:vertAlign w:val="superscript"/>
                <w:lang w:val="en-AU" w:eastAsia="en-AU"/>
              </w:rPr>
              <w:t>14</w:t>
            </w:r>
            <w:r w:rsidRPr="00AC0CC1">
              <w:rPr>
                <w:rFonts w:asciiTheme="minorHAnsi" w:eastAsia="Times New Roman" w:hAnsiTheme="minorHAnsi" w:cstheme="minorHAnsi"/>
                <w:color w:val="000000"/>
                <w:sz w:val="16"/>
                <w:szCs w:val="16"/>
                <w:lang w:val="en-AU" w:eastAsia="en-AU"/>
              </w:rPr>
              <w:t xml:space="preserve"> incorporation</w:t>
            </w:r>
          </w:p>
        </w:tc>
        <w:tc>
          <w:tcPr>
            <w:tcW w:w="327" w:type="pct"/>
            <w:tcBorders>
              <w:left w:val="nil"/>
              <w:right w:val="nil"/>
            </w:tcBorders>
            <w:noWrap/>
            <w:vAlign w:val="center"/>
            <w:hideMark/>
          </w:tcPr>
          <w:p w14:paraId="71CAB39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noWrap/>
            <w:vAlign w:val="center"/>
            <w:hideMark/>
          </w:tcPr>
          <w:p w14:paraId="0859523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Owen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2003</w:t>
            </w:r>
          </w:p>
        </w:tc>
      </w:tr>
      <w:tr w:rsidR="00A33AB7" w:rsidRPr="00AC0CC1" w14:paraId="36B3C64C" w14:textId="77777777" w:rsidTr="00A209AA">
        <w:trPr>
          <w:trHeight w:val="283"/>
        </w:trPr>
        <w:tc>
          <w:tcPr>
            <w:tcW w:w="316" w:type="pct"/>
            <w:vMerge/>
            <w:tcBorders>
              <w:left w:val="nil"/>
              <w:right w:val="nil"/>
            </w:tcBorders>
            <w:vAlign w:val="center"/>
            <w:hideMark/>
          </w:tcPr>
          <w:p w14:paraId="485FB117"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1A198C29"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6122BB56"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2570" w:type="pct"/>
            <w:gridSpan w:val="5"/>
            <w:tcBorders>
              <w:left w:val="nil"/>
              <w:right w:val="nil"/>
            </w:tcBorders>
            <w:shd w:val="clear" w:color="auto" w:fill="auto"/>
            <w:noWrap/>
            <w:vAlign w:val="center"/>
            <w:hideMark/>
          </w:tcPr>
          <w:p w14:paraId="0C79C62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Larvae</w:t>
            </w:r>
          </w:p>
        </w:tc>
      </w:tr>
      <w:tr w:rsidR="00A33AB7" w:rsidRPr="00AC0CC1" w14:paraId="4126AFF9" w14:textId="77777777" w:rsidTr="00A209AA">
        <w:trPr>
          <w:trHeight w:val="283"/>
        </w:trPr>
        <w:tc>
          <w:tcPr>
            <w:tcW w:w="316" w:type="pct"/>
            <w:vMerge/>
            <w:tcBorders>
              <w:left w:val="nil"/>
              <w:right w:val="nil"/>
            </w:tcBorders>
            <w:vAlign w:val="center"/>
            <w:hideMark/>
          </w:tcPr>
          <w:p w14:paraId="29CB1C51"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700A0692"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4BAB0341"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shd w:val="clear" w:color="auto" w:fill="auto"/>
            <w:noWrap/>
            <w:vAlign w:val="center"/>
            <w:hideMark/>
          </w:tcPr>
          <w:p w14:paraId="7AA8A3F6"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millepora</w:t>
            </w:r>
          </w:p>
        </w:tc>
        <w:tc>
          <w:tcPr>
            <w:tcW w:w="467" w:type="pct"/>
            <w:tcBorders>
              <w:left w:val="nil"/>
              <w:right w:val="nil"/>
            </w:tcBorders>
            <w:shd w:val="clear" w:color="auto" w:fill="auto"/>
            <w:noWrap/>
            <w:vAlign w:val="center"/>
            <w:hideMark/>
          </w:tcPr>
          <w:p w14:paraId="32A6FBEB"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300</w:t>
            </w:r>
          </w:p>
        </w:tc>
        <w:tc>
          <w:tcPr>
            <w:tcW w:w="608" w:type="pct"/>
            <w:tcBorders>
              <w:left w:val="nil"/>
              <w:right w:val="nil"/>
            </w:tcBorders>
            <w:shd w:val="clear" w:color="auto" w:fill="auto"/>
            <w:noWrap/>
            <w:vAlign w:val="center"/>
            <w:hideMark/>
          </w:tcPr>
          <w:p w14:paraId="4B1B416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Metamorphosis</w:t>
            </w:r>
          </w:p>
        </w:tc>
        <w:tc>
          <w:tcPr>
            <w:tcW w:w="327" w:type="pct"/>
            <w:tcBorders>
              <w:left w:val="nil"/>
              <w:right w:val="nil"/>
            </w:tcBorders>
            <w:shd w:val="clear" w:color="auto" w:fill="auto"/>
            <w:noWrap/>
            <w:vAlign w:val="center"/>
            <w:hideMark/>
          </w:tcPr>
          <w:p w14:paraId="6FA92738"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LOEC</w:t>
            </w:r>
          </w:p>
        </w:tc>
        <w:tc>
          <w:tcPr>
            <w:tcW w:w="701" w:type="pct"/>
            <w:tcBorders>
              <w:left w:val="nil"/>
              <w:right w:val="nil"/>
            </w:tcBorders>
            <w:shd w:val="clear" w:color="auto" w:fill="auto"/>
            <w:noWrap/>
            <w:vAlign w:val="center"/>
            <w:hideMark/>
          </w:tcPr>
          <w:p w14:paraId="4752738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xml:space="preserve">Negri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A33AB7" w:rsidRPr="00AC0CC1" w14:paraId="29B9D371" w14:textId="77777777" w:rsidTr="00A209AA">
        <w:trPr>
          <w:trHeight w:val="283"/>
        </w:trPr>
        <w:tc>
          <w:tcPr>
            <w:tcW w:w="316" w:type="pct"/>
            <w:vMerge/>
            <w:tcBorders>
              <w:left w:val="nil"/>
              <w:right w:val="nil"/>
            </w:tcBorders>
            <w:vAlign w:val="center"/>
            <w:hideMark/>
          </w:tcPr>
          <w:p w14:paraId="0439CA90"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381CA764"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3E4E8032"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shd w:val="clear" w:color="auto" w:fill="auto"/>
            <w:noWrap/>
            <w:vAlign w:val="center"/>
            <w:hideMark/>
          </w:tcPr>
          <w:p w14:paraId="6498C1F9" w14:textId="77777777" w:rsidR="00A33AB7" w:rsidRPr="00AC0CC1" w:rsidRDefault="00A33AB7" w:rsidP="002439C8">
            <w:pPr>
              <w:spacing w:before="40" w:after="40" w:line="276" w:lineRule="auto"/>
              <w:jc w:val="left"/>
              <w:rPr>
                <w:rFonts w:asciiTheme="minorHAnsi" w:eastAsia="Times New Roman" w:hAnsiTheme="minorHAnsi" w:cstheme="minorHAnsi"/>
                <w:b/>
                <w:bCs/>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Coral recruits</w:t>
            </w:r>
          </w:p>
        </w:tc>
        <w:tc>
          <w:tcPr>
            <w:tcW w:w="467" w:type="pct"/>
            <w:tcBorders>
              <w:left w:val="nil"/>
              <w:right w:val="nil"/>
            </w:tcBorders>
            <w:shd w:val="clear" w:color="auto" w:fill="auto"/>
            <w:noWrap/>
            <w:vAlign w:val="center"/>
            <w:hideMark/>
          </w:tcPr>
          <w:p w14:paraId="5356560E"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p>
        </w:tc>
        <w:tc>
          <w:tcPr>
            <w:tcW w:w="608" w:type="pct"/>
            <w:tcBorders>
              <w:left w:val="nil"/>
              <w:right w:val="nil"/>
            </w:tcBorders>
            <w:shd w:val="clear" w:color="auto" w:fill="auto"/>
            <w:noWrap/>
            <w:vAlign w:val="center"/>
            <w:hideMark/>
          </w:tcPr>
          <w:p w14:paraId="323046CE"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p>
        </w:tc>
        <w:tc>
          <w:tcPr>
            <w:tcW w:w="327" w:type="pct"/>
            <w:tcBorders>
              <w:left w:val="nil"/>
              <w:right w:val="nil"/>
            </w:tcBorders>
            <w:shd w:val="clear" w:color="auto" w:fill="auto"/>
            <w:noWrap/>
            <w:vAlign w:val="center"/>
            <w:hideMark/>
          </w:tcPr>
          <w:p w14:paraId="0119200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p>
        </w:tc>
        <w:tc>
          <w:tcPr>
            <w:tcW w:w="701" w:type="pct"/>
            <w:tcBorders>
              <w:left w:val="nil"/>
              <w:right w:val="nil"/>
            </w:tcBorders>
            <w:shd w:val="clear" w:color="auto" w:fill="auto"/>
            <w:noWrap/>
            <w:vAlign w:val="center"/>
            <w:hideMark/>
          </w:tcPr>
          <w:p w14:paraId="3BEDB808"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p>
        </w:tc>
      </w:tr>
      <w:tr w:rsidR="00A33AB7" w:rsidRPr="00AC0CC1" w14:paraId="0C594344" w14:textId="77777777" w:rsidTr="00A209AA">
        <w:trPr>
          <w:trHeight w:val="283"/>
        </w:trPr>
        <w:tc>
          <w:tcPr>
            <w:tcW w:w="316" w:type="pct"/>
            <w:vMerge/>
            <w:tcBorders>
              <w:left w:val="nil"/>
              <w:right w:val="nil"/>
            </w:tcBorders>
            <w:vAlign w:val="center"/>
            <w:hideMark/>
          </w:tcPr>
          <w:p w14:paraId="58F14E65"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3C59694F"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4D29D5C3"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shd w:val="clear" w:color="auto" w:fill="auto"/>
            <w:vAlign w:val="center"/>
            <w:hideMark/>
          </w:tcPr>
          <w:p w14:paraId="58FA806A"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damicornis</w:t>
            </w:r>
          </w:p>
        </w:tc>
        <w:tc>
          <w:tcPr>
            <w:tcW w:w="467" w:type="pct"/>
            <w:tcBorders>
              <w:left w:val="nil"/>
              <w:right w:val="nil"/>
            </w:tcBorders>
            <w:shd w:val="clear" w:color="auto" w:fill="auto"/>
            <w:vAlign w:val="center"/>
            <w:hideMark/>
          </w:tcPr>
          <w:p w14:paraId="1D1D55E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1000</w:t>
            </w:r>
          </w:p>
        </w:tc>
        <w:tc>
          <w:tcPr>
            <w:tcW w:w="608" w:type="pct"/>
            <w:tcBorders>
              <w:left w:val="nil"/>
              <w:right w:val="nil"/>
            </w:tcBorders>
            <w:shd w:val="clear" w:color="auto" w:fill="auto"/>
            <w:vAlign w:val="center"/>
            <w:hideMark/>
          </w:tcPr>
          <w:p w14:paraId="097527E8"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right w:val="nil"/>
            </w:tcBorders>
            <w:shd w:val="clear" w:color="auto" w:fill="auto"/>
            <w:vAlign w:val="center"/>
            <w:hideMark/>
          </w:tcPr>
          <w:p w14:paraId="6E88B077"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shd w:val="clear" w:color="auto" w:fill="auto"/>
            <w:vAlign w:val="center"/>
            <w:hideMark/>
          </w:tcPr>
          <w:p w14:paraId="0CE6C67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xml:space="preserve">Negri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A33AB7" w:rsidRPr="00AC0CC1" w14:paraId="0F583CA2" w14:textId="77777777" w:rsidTr="00A209AA">
        <w:trPr>
          <w:trHeight w:val="283"/>
        </w:trPr>
        <w:tc>
          <w:tcPr>
            <w:tcW w:w="316" w:type="pct"/>
            <w:vMerge/>
            <w:tcBorders>
              <w:left w:val="nil"/>
              <w:right w:val="nil"/>
            </w:tcBorders>
            <w:vAlign w:val="center"/>
            <w:hideMark/>
          </w:tcPr>
          <w:p w14:paraId="57762E5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6BDD9B7F"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2FA33EB0"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shd w:val="clear" w:color="auto" w:fill="auto"/>
            <w:noWrap/>
            <w:vAlign w:val="center"/>
            <w:hideMark/>
          </w:tcPr>
          <w:p w14:paraId="24A8C0FA"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damicornis</w:t>
            </w:r>
          </w:p>
        </w:tc>
        <w:tc>
          <w:tcPr>
            <w:tcW w:w="467" w:type="pct"/>
            <w:tcBorders>
              <w:left w:val="nil"/>
              <w:right w:val="nil"/>
            </w:tcBorders>
            <w:shd w:val="clear" w:color="auto" w:fill="auto"/>
            <w:noWrap/>
            <w:vAlign w:val="center"/>
            <w:hideMark/>
          </w:tcPr>
          <w:p w14:paraId="790004E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10000</w:t>
            </w:r>
          </w:p>
        </w:tc>
        <w:tc>
          <w:tcPr>
            <w:tcW w:w="608" w:type="pct"/>
            <w:tcBorders>
              <w:left w:val="nil"/>
              <w:right w:val="nil"/>
            </w:tcBorders>
            <w:shd w:val="clear" w:color="auto" w:fill="auto"/>
            <w:noWrap/>
            <w:vAlign w:val="center"/>
            <w:hideMark/>
          </w:tcPr>
          <w:p w14:paraId="10C8A960"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Loss of algae</w:t>
            </w:r>
          </w:p>
        </w:tc>
        <w:tc>
          <w:tcPr>
            <w:tcW w:w="327" w:type="pct"/>
            <w:tcBorders>
              <w:left w:val="nil"/>
              <w:right w:val="nil"/>
            </w:tcBorders>
            <w:shd w:val="clear" w:color="auto" w:fill="auto"/>
            <w:noWrap/>
            <w:vAlign w:val="center"/>
            <w:hideMark/>
          </w:tcPr>
          <w:p w14:paraId="7D1675C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shd w:val="clear" w:color="auto" w:fill="auto"/>
            <w:noWrap/>
            <w:vAlign w:val="center"/>
            <w:hideMark/>
          </w:tcPr>
          <w:p w14:paraId="61B246EF"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xml:space="preserve">Negri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2005</w:t>
            </w:r>
          </w:p>
        </w:tc>
      </w:tr>
      <w:tr w:rsidR="00A33AB7" w:rsidRPr="00AC0CC1" w14:paraId="7151158D" w14:textId="77777777" w:rsidTr="00A209AA">
        <w:trPr>
          <w:trHeight w:val="283"/>
        </w:trPr>
        <w:tc>
          <w:tcPr>
            <w:tcW w:w="316" w:type="pct"/>
            <w:vMerge/>
            <w:tcBorders>
              <w:left w:val="nil"/>
              <w:right w:val="nil"/>
            </w:tcBorders>
            <w:vAlign w:val="center"/>
            <w:hideMark/>
          </w:tcPr>
          <w:p w14:paraId="471AC55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6911F7DE"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715EE83F"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2570" w:type="pct"/>
            <w:gridSpan w:val="5"/>
            <w:tcBorders>
              <w:left w:val="nil"/>
              <w:right w:val="nil"/>
            </w:tcBorders>
            <w:shd w:val="clear" w:color="auto" w:fill="auto"/>
            <w:vAlign w:val="center"/>
            <w:hideMark/>
          </w:tcPr>
          <w:p w14:paraId="6100A89A"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Coral - Adult colonies</w:t>
            </w:r>
          </w:p>
        </w:tc>
      </w:tr>
      <w:tr w:rsidR="00A33AB7" w:rsidRPr="00AC0CC1" w14:paraId="7493AFAC" w14:textId="77777777" w:rsidTr="00A209AA">
        <w:trPr>
          <w:trHeight w:val="283"/>
        </w:trPr>
        <w:tc>
          <w:tcPr>
            <w:tcW w:w="316" w:type="pct"/>
            <w:vMerge/>
            <w:tcBorders>
              <w:left w:val="nil"/>
              <w:right w:val="nil"/>
            </w:tcBorders>
            <w:vAlign w:val="center"/>
            <w:hideMark/>
          </w:tcPr>
          <w:p w14:paraId="4EB4BADB"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06714E7C"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43DCA63E"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02E25F09"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formosa</w:t>
            </w:r>
          </w:p>
        </w:tc>
        <w:tc>
          <w:tcPr>
            <w:tcW w:w="467" w:type="pct"/>
            <w:tcBorders>
              <w:left w:val="nil"/>
              <w:right w:val="nil"/>
            </w:tcBorders>
            <w:vAlign w:val="center"/>
            <w:hideMark/>
          </w:tcPr>
          <w:p w14:paraId="41648CD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608" w:type="pct"/>
            <w:tcBorders>
              <w:left w:val="nil"/>
              <w:right w:val="nil"/>
            </w:tcBorders>
            <w:vAlign w:val="center"/>
            <w:hideMark/>
          </w:tcPr>
          <w:p w14:paraId="497B491B"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right w:val="nil"/>
            </w:tcBorders>
            <w:vAlign w:val="center"/>
            <w:hideMark/>
          </w:tcPr>
          <w:p w14:paraId="19B0621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vAlign w:val="center"/>
            <w:hideMark/>
          </w:tcPr>
          <w:p w14:paraId="1EB082B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Jones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2003</w:t>
            </w:r>
          </w:p>
        </w:tc>
      </w:tr>
      <w:tr w:rsidR="00A33AB7" w:rsidRPr="00AC0CC1" w14:paraId="4E1AD305" w14:textId="77777777" w:rsidTr="00A209AA">
        <w:trPr>
          <w:trHeight w:val="283"/>
        </w:trPr>
        <w:tc>
          <w:tcPr>
            <w:tcW w:w="316" w:type="pct"/>
            <w:vMerge/>
            <w:tcBorders>
              <w:left w:val="nil"/>
              <w:right w:val="nil"/>
            </w:tcBorders>
            <w:vAlign w:val="center"/>
            <w:hideMark/>
          </w:tcPr>
          <w:p w14:paraId="60C749B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5864424E"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19508D18"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424194A1"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cylindrica</w:t>
            </w:r>
          </w:p>
        </w:tc>
        <w:tc>
          <w:tcPr>
            <w:tcW w:w="467" w:type="pct"/>
            <w:tcBorders>
              <w:left w:val="nil"/>
              <w:right w:val="nil"/>
            </w:tcBorders>
            <w:noWrap/>
            <w:vAlign w:val="center"/>
            <w:hideMark/>
          </w:tcPr>
          <w:p w14:paraId="68EFC631"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608" w:type="pct"/>
            <w:tcBorders>
              <w:left w:val="nil"/>
              <w:right w:val="nil"/>
            </w:tcBorders>
            <w:noWrap/>
            <w:vAlign w:val="center"/>
            <w:hideMark/>
          </w:tcPr>
          <w:p w14:paraId="5193409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right w:val="nil"/>
            </w:tcBorders>
            <w:noWrap/>
            <w:vAlign w:val="center"/>
            <w:hideMark/>
          </w:tcPr>
          <w:p w14:paraId="19226F5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noWrap/>
            <w:vAlign w:val="center"/>
            <w:hideMark/>
          </w:tcPr>
          <w:p w14:paraId="59167888"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Jones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2003</w:t>
            </w:r>
          </w:p>
        </w:tc>
      </w:tr>
      <w:tr w:rsidR="00A33AB7" w:rsidRPr="00AC0CC1" w14:paraId="3458AD7E" w14:textId="77777777" w:rsidTr="00A209AA">
        <w:trPr>
          <w:trHeight w:val="283"/>
        </w:trPr>
        <w:tc>
          <w:tcPr>
            <w:tcW w:w="316" w:type="pct"/>
            <w:vMerge/>
            <w:tcBorders>
              <w:left w:val="nil"/>
              <w:right w:val="nil"/>
            </w:tcBorders>
            <w:vAlign w:val="center"/>
            <w:hideMark/>
          </w:tcPr>
          <w:p w14:paraId="761E49F2"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0307AEAC"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58C4A35F"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0ABC57C6"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M. digitata</w:t>
            </w:r>
          </w:p>
        </w:tc>
        <w:tc>
          <w:tcPr>
            <w:tcW w:w="467" w:type="pct"/>
            <w:tcBorders>
              <w:left w:val="nil"/>
              <w:right w:val="nil"/>
            </w:tcBorders>
            <w:vAlign w:val="center"/>
            <w:hideMark/>
          </w:tcPr>
          <w:p w14:paraId="767FEC6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608" w:type="pct"/>
            <w:tcBorders>
              <w:left w:val="nil"/>
              <w:right w:val="nil"/>
            </w:tcBorders>
            <w:vAlign w:val="center"/>
            <w:hideMark/>
          </w:tcPr>
          <w:p w14:paraId="249CB1A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right w:val="nil"/>
            </w:tcBorders>
            <w:vAlign w:val="center"/>
            <w:hideMark/>
          </w:tcPr>
          <w:p w14:paraId="2A57970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vAlign w:val="center"/>
            <w:hideMark/>
          </w:tcPr>
          <w:p w14:paraId="7D4AA995"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Jones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2003</w:t>
            </w:r>
          </w:p>
        </w:tc>
      </w:tr>
      <w:tr w:rsidR="00A33AB7" w:rsidRPr="00AC0CC1" w14:paraId="4596FE03" w14:textId="77777777" w:rsidTr="00A209AA">
        <w:trPr>
          <w:trHeight w:val="283"/>
        </w:trPr>
        <w:tc>
          <w:tcPr>
            <w:tcW w:w="316" w:type="pct"/>
            <w:vMerge/>
            <w:tcBorders>
              <w:left w:val="nil"/>
              <w:right w:val="nil"/>
            </w:tcBorders>
            <w:vAlign w:val="center"/>
            <w:hideMark/>
          </w:tcPr>
          <w:p w14:paraId="4904980F"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504A56C2"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4EEF2C1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487C33FE"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S. hystrix</w:t>
            </w:r>
          </w:p>
        </w:tc>
        <w:tc>
          <w:tcPr>
            <w:tcW w:w="467" w:type="pct"/>
            <w:tcBorders>
              <w:left w:val="nil"/>
              <w:right w:val="nil"/>
            </w:tcBorders>
            <w:vAlign w:val="center"/>
            <w:hideMark/>
          </w:tcPr>
          <w:p w14:paraId="5FE380D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608" w:type="pct"/>
            <w:tcBorders>
              <w:left w:val="nil"/>
              <w:right w:val="nil"/>
            </w:tcBorders>
            <w:vAlign w:val="center"/>
            <w:hideMark/>
          </w:tcPr>
          <w:p w14:paraId="35D2DC0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right w:val="nil"/>
            </w:tcBorders>
            <w:vAlign w:val="center"/>
            <w:hideMark/>
          </w:tcPr>
          <w:p w14:paraId="7550A2AE"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vAlign w:val="center"/>
            <w:hideMark/>
          </w:tcPr>
          <w:p w14:paraId="317DE3C0"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Jones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2003, Jones 2004</w:t>
            </w:r>
          </w:p>
        </w:tc>
      </w:tr>
      <w:tr w:rsidR="00A33AB7" w:rsidRPr="00AC0CC1" w14:paraId="33DE050E" w14:textId="77777777" w:rsidTr="00A209AA">
        <w:trPr>
          <w:trHeight w:val="283"/>
        </w:trPr>
        <w:tc>
          <w:tcPr>
            <w:tcW w:w="316" w:type="pct"/>
            <w:vMerge/>
            <w:tcBorders>
              <w:left w:val="nil"/>
              <w:right w:val="nil"/>
            </w:tcBorders>
            <w:vAlign w:val="center"/>
            <w:hideMark/>
          </w:tcPr>
          <w:p w14:paraId="4C9B9AF2"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0894184C"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3474E20B"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03108FF3"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millepora</w:t>
            </w:r>
          </w:p>
        </w:tc>
        <w:tc>
          <w:tcPr>
            <w:tcW w:w="467" w:type="pct"/>
            <w:tcBorders>
              <w:left w:val="nil"/>
              <w:right w:val="nil"/>
            </w:tcBorders>
            <w:vAlign w:val="center"/>
            <w:hideMark/>
          </w:tcPr>
          <w:p w14:paraId="2D6F097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608" w:type="pct"/>
            <w:tcBorders>
              <w:left w:val="nil"/>
              <w:right w:val="nil"/>
            </w:tcBorders>
            <w:vAlign w:val="center"/>
            <w:hideMark/>
          </w:tcPr>
          <w:p w14:paraId="17CBBA5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right w:val="nil"/>
            </w:tcBorders>
            <w:vAlign w:val="center"/>
            <w:hideMark/>
          </w:tcPr>
          <w:p w14:paraId="7DB8290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vAlign w:val="center"/>
            <w:hideMark/>
          </w:tcPr>
          <w:p w14:paraId="1D0A6C00"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xml:space="preserve">Negri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2005</w:t>
            </w:r>
          </w:p>
        </w:tc>
      </w:tr>
      <w:tr w:rsidR="00A33AB7" w:rsidRPr="00AC0CC1" w14:paraId="2EB0BC2A" w14:textId="77777777" w:rsidTr="00A209AA">
        <w:trPr>
          <w:trHeight w:val="283"/>
        </w:trPr>
        <w:tc>
          <w:tcPr>
            <w:tcW w:w="316" w:type="pct"/>
            <w:vMerge/>
            <w:tcBorders>
              <w:left w:val="nil"/>
              <w:right w:val="nil"/>
            </w:tcBorders>
            <w:vAlign w:val="center"/>
            <w:hideMark/>
          </w:tcPr>
          <w:p w14:paraId="6774C7BF"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061FC62E"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0C027362"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55113192"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damicornis</w:t>
            </w:r>
          </w:p>
        </w:tc>
        <w:tc>
          <w:tcPr>
            <w:tcW w:w="467" w:type="pct"/>
            <w:tcBorders>
              <w:left w:val="nil"/>
              <w:right w:val="nil"/>
            </w:tcBorders>
            <w:vAlign w:val="center"/>
            <w:hideMark/>
          </w:tcPr>
          <w:p w14:paraId="0FA78602"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w:t>
            </w:r>
          </w:p>
        </w:tc>
        <w:tc>
          <w:tcPr>
            <w:tcW w:w="608" w:type="pct"/>
            <w:tcBorders>
              <w:left w:val="nil"/>
              <w:right w:val="nil"/>
            </w:tcBorders>
            <w:vAlign w:val="center"/>
            <w:hideMark/>
          </w:tcPr>
          <w:p w14:paraId="28CCB7A5"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right w:val="nil"/>
            </w:tcBorders>
            <w:vAlign w:val="center"/>
            <w:hideMark/>
          </w:tcPr>
          <w:p w14:paraId="50AE024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vAlign w:val="center"/>
            <w:hideMark/>
          </w:tcPr>
          <w:p w14:paraId="3E99D5E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xml:space="preserve">Negri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A33AB7" w:rsidRPr="00AC0CC1" w14:paraId="229A10E2" w14:textId="77777777" w:rsidTr="00A209AA">
        <w:trPr>
          <w:trHeight w:val="283"/>
        </w:trPr>
        <w:tc>
          <w:tcPr>
            <w:tcW w:w="316" w:type="pct"/>
            <w:vMerge/>
            <w:tcBorders>
              <w:left w:val="nil"/>
              <w:right w:val="nil"/>
            </w:tcBorders>
            <w:vAlign w:val="center"/>
            <w:hideMark/>
          </w:tcPr>
          <w:p w14:paraId="4D2F73A5"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3074595C"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7A94DEC8"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3C339FFC"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S. hystrix</w:t>
            </w:r>
          </w:p>
        </w:tc>
        <w:tc>
          <w:tcPr>
            <w:tcW w:w="467" w:type="pct"/>
            <w:tcBorders>
              <w:left w:val="nil"/>
              <w:right w:val="nil"/>
            </w:tcBorders>
            <w:vAlign w:val="center"/>
            <w:hideMark/>
          </w:tcPr>
          <w:p w14:paraId="238D4DCE"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2300</w:t>
            </w:r>
          </w:p>
        </w:tc>
        <w:tc>
          <w:tcPr>
            <w:tcW w:w="608" w:type="pct"/>
            <w:tcBorders>
              <w:left w:val="nil"/>
              <w:right w:val="nil"/>
            </w:tcBorders>
            <w:vAlign w:val="center"/>
            <w:hideMark/>
          </w:tcPr>
          <w:p w14:paraId="7EEEA7B5"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right w:val="nil"/>
            </w:tcBorders>
            <w:vAlign w:val="center"/>
            <w:hideMark/>
          </w:tcPr>
          <w:p w14:paraId="24A4BCB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EC50</w:t>
            </w:r>
          </w:p>
        </w:tc>
        <w:tc>
          <w:tcPr>
            <w:tcW w:w="701" w:type="pct"/>
            <w:tcBorders>
              <w:left w:val="nil"/>
              <w:right w:val="nil"/>
            </w:tcBorders>
            <w:vAlign w:val="center"/>
            <w:hideMark/>
          </w:tcPr>
          <w:p w14:paraId="5EE8C352"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Jones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2003</w:t>
            </w:r>
          </w:p>
        </w:tc>
      </w:tr>
      <w:tr w:rsidR="00A33AB7" w:rsidRPr="00AC0CC1" w14:paraId="30CB665C" w14:textId="77777777" w:rsidTr="00A209AA">
        <w:trPr>
          <w:trHeight w:val="283"/>
        </w:trPr>
        <w:tc>
          <w:tcPr>
            <w:tcW w:w="316" w:type="pct"/>
            <w:vMerge/>
            <w:tcBorders>
              <w:left w:val="nil"/>
              <w:right w:val="nil"/>
            </w:tcBorders>
            <w:vAlign w:val="center"/>
            <w:hideMark/>
          </w:tcPr>
          <w:p w14:paraId="0B867DC1"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41930BD0"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4138F4F7"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411A8FBB"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formosa</w:t>
            </w:r>
          </w:p>
        </w:tc>
        <w:tc>
          <w:tcPr>
            <w:tcW w:w="467" w:type="pct"/>
            <w:tcBorders>
              <w:left w:val="nil"/>
              <w:right w:val="nil"/>
            </w:tcBorders>
            <w:vAlign w:val="center"/>
            <w:hideMark/>
          </w:tcPr>
          <w:p w14:paraId="3308D745"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2700</w:t>
            </w:r>
          </w:p>
        </w:tc>
        <w:tc>
          <w:tcPr>
            <w:tcW w:w="608" w:type="pct"/>
            <w:tcBorders>
              <w:left w:val="nil"/>
              <w:right w:val="nil"/>
            </w:tcBorders>
            <w:vAlign w:val="center"/>
            <w:hideMark/>
          </w:tcPr>
          <w:p w14:paraId="75373FD7"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right w:val="nil"/>
            </w:tcBorders>
            <w:vAlign w:val="center"/>
            <w:hideMark/>
          </w:tcPr>
          <w:p w14:paraId="639909C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EC50</w:t>
            </w:r>
          </w:p>
        </w:tc>
        <w:tc>
          <w:tcPr>
            <w:tcW w:w="701" w:type="pct"/>
            <w:tcBorders>
              <w:left w:val="nil"/>
              <w:right w:val="nil"/>
            </w:tcBorders>
            <w:vAlign w:val="center"/>
            <w:hideMark/>
          </w:tcPr>
          <w:p w14:paraId="0118D5B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Jones &amp; Kerswell, 2003</w:t>
            </w:r>
          </w:p>
        </w:tc>
      </w:tr>
      <w:tr w:rsidR="00A33AB7" w:rsidRPr="00AC0CC1" w14:paraId="20AB82D5" w14:textId="77777777" w:rsidTr="00A209AA">
        <w:trPr>
          <w:trHeight w:val="283"/>
        </w:trPr>
        <w:tc>
          <w:tcPr>
            <w:tcW w:w="316" w:type="pct"/>
            <w:vMerge/>
            <w:tcBorders>
              <w:left w:val="nil"/>
              <w:right w:val="nil"/>
            </w:tcBorders>
            <w:vAlign w:val="center"/>
            <w:hideMark/>
          </w:tcPr>
          <w:p w14:paraId="06229697"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77F7E28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7BBB2C8C"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56A9000D"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M. digitata</w:t>
            </w:r>
          </w:p>
        </w:tc>
        <w:tc>
          <w:tcPr>
            <w:tcW w:w="467" w:type="pct"/>
            <w:tcBorders>
              <w:left w:val="nil"/>
              <w:right w:val="nil"/>
            </w:tcBorders>
            <w:vAlign w:val="center"/>
            <w:hideMark/>
          </w:tcPr>
          <w:p w14:paraId="2C73E30B"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10000</w:t>
            </w:r>
          </w:p>
        </w:tc>
        <w:tc>
          <w:tcPr>
            <w:tcW w:w="608" w:type="pct"/>
            <w:tcBorders>
              <w:left w:val="nil"/>
              <w:right w:val="nil"/>
            </w:tcBorders>
            <w:vAlign w:val="center"/>
            <w:hideMark/>
          </w:tcPr>
          <w:p w14:paraId="74D9DB2F"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Loss of algae</w:t>
            </w:r>
          </w:p>
        </w:tc>
        <w:tc>
          <w:tcPr>
            <w:tcW w:w="327" w:type="pct"/>
            <w:tcBorders>
              <w:left w:val="nil"/>
              <w:right w:val="nil"/>
            </w:tcBorders>
            <w:vAlign w:val="center"/>
            <w:hideMark/>
          </w:tcPr>
          <w:p w14:paraId="64BA9122"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vAlign w:val="center"/>
            <w:hideMark/>
          </w:tcPr>
          <w:p w14:paraId="645EB751"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Jones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2003</w:t>
            </w:r>
          </w:p>
        </w:tc>
      </w:tr>
      <w:tr w:rsidR="00A33AB7" w:rsidRPr="00AC0CC1" w14:paraId="2CB1DD6D" w14:textId="77777777" w:rsidTr="00A209AA">
        <w:trPr>
          <w:trHeight w:val="283"/>
        </w:trPr>
        <w:tc>
          <w:tcPr>
            <w:tcW w:w="316" w:type="pct"/>
            <w:vMerge/>
            <w:tcBorders>
              <w:left w:val="nil"/>
              <w:right w:val="nil"/>
            </w:tcBorders>
            <w:vAlign w:val="center"/>
            <w:hideMark/>
          </w:tcPr>
          <w:p w14:paraId="6EC6E823"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5FC480D9"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108FE1AC"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7AD138FB"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damicornis</w:t>
            </w:r>
          </w:p>
        </w:tc>
        <w:tc>
          <w:tcPr>
            <w:tcW w:w="467" w:type="pct"/>
            <w:tcBorders>
              <w:left w:val="nil"/>
              <w:right w:val="nil"/>
            </w:tcBorders>
            <w:vAlign w:val="center"/>
            <w:hideMark/>
          </w:tcPr>
          <w:p w14:paraId="4783E98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10000</w:t>
            </w:r>
          </w:p>
        </w:tc>
        <w:tc>
          <w:tcPr>
            <w:tcW w:w="608" w:type="pct"/>
            <w:tcBorders>
              <w:left w:val="nil"/>
              <w:right w:val="nil"/>
            </w:tcBorders>
            <w:vAlign w:val="center"/>
            <w:hideMark/>
          </w:tcPr>
          <w:p w14:paraId="2AA37D2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Loss of algae</w:t>
            </w:r>
          </w:p>
        </w:tc>
        <w:tc>
          <w:tcPr>
            <w:tcW w:w="327" w:type="pct"/>
            <w:tcBorders>
              <w:left w:val="nil"/>
              <w:right w:val="nil"/>
            </w:tcBorders>
            <w:vAlign w:val="center"/>
            <w:hideMark/>
          </w:tcPr>
          <w:p w14:paraId="5D04D3C0"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vAlign w:val="center"/>
            <w:hideMark/>
          </w:tcPr>
          <w:p w14:paraId="1D3C486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xml:space="preserve">Negri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2005</w:t>
            </w:r>
          </w:p>
        </w:tc>
      </w:tr>
      <w:tr w:rsidR="00A33AB7" w:rsidRPr="00AC0CC1" w14:paraId="18D5EBEC" w14:textId="77777777" w:rsidTr="00A209AA">
        <w:trPr>
          <w:trHeight w:val="283"/>
        </w:trPr>
        <w:tc>
          <w:tcPr>
            <w:tcW w:w="316" w:type="pct"/>
            <w:vMerge/>
            <w:tcBorders>
              <w:left w:val="nil"/>
              <w:right w:val="nil"/>
            </w:tcBorders>
            <w:vAlign w:val="center"/>
            <w:hideMark/>
          </w:tcPr>
          <w:p w14:paraId="3E8861CF"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111D196B"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2464E1D5"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4D38788D"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S. hystrix</w:t>
            </w:r>
          </w:p>
        </w:tc>
        <w:tc>
          <w:tcPr>
            <w:tcW w:w="467" w:type="pct"/>
            <w:tcBorders>
              <w:left w:val="nil"/>
              <w:right w:val="nil"/>
            </w:tcBorders>
            <w:vAlign w:val="center"/>
            <w:hideMark/>
          </w:tcPr>
          <w:p w14:paraId="0A75A0B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10000</w:t>
            </w:r>
          </w:p>
        </w:tc>
        <w:tc>
          <w:tcPr>
            <w:tcW w:w="608" w:type="pct"/>
            <w:tcBorders>
              <w:left w:val="nil"/>
              <w:right w:val="nil"/>
            </w:tcBorders>
            <w:vAlign w:val="center"/>
            <w:hideMark/>
          </w:tcPr>
          <w:p w14:paraId="5DA2C6F2"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Loss of algae</w:t>
            </w:r>
          </w:p>
        </w:tc>
        <w:tc>
          <w:tcPr>
            <w:tcW w:w="327" w:type="pct"/>
            <w:tcBorders>
              <w:left w:val="nil"/>
              <w:right w:val="nil"/>
            </w:tcBorders>
            <w:vAlign w:val="center"/>
            <w:hideMark/>
          </w:tcPr>
          <w:p w14:paraId="48B71C8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vAlign w:val="center"/>
            <w:hideMark/>
          </w:tcPr>
          <w:p w14:paraId="33CE9FD1"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Jones 2004</w:t>
            </w:r>
          </w:p>
        </w:tc>
      </w:tr>
      <w:tr w:rsidR="00A33AB7" w:rsidRPr="00AC0CC1" w14:paraId="01C4C7D6" w14:textId="77777777" w:rsidTr="00A209AA">
        <w:trPr>
          <w:trHeight w:val="283"/>
        </w:trPr>
        <w:tc>
          <w:tcPr>
            <w:tcW w:w="316" w:type="pct"/>
            <w:vMerge/>
            <w:tcBorders>
              <w:left w:val="nil"/>
              <w:right w:val="nil"/>
            </w:tcBorders>
            <w:vAlign w:val="center"/>
            <w:hideMark/>
          </w:tcPr>
          <w:p w14:paraId="61C86BC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60DC00EB"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731C1DB8"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18AD20B2"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cylindrica</w:t>
            </w:r>
          </w:p>
        </w:tc>
        <w:tc>
          <w:tcPr>
            <w:tcW w:w="467" w:type="pct"/>
            <w:tcBorders>
              <w:left w:val="nil"/>
              <w:right w:val="nil"/>
            </w:tcBorders>
            <w:vAlign w:val="center"/>
            <w:hideMark/>
          </w:tcPr>
          <w:p w14:paraId="44CC0217"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10000</w:t>
            </w:r>
          </w:p>
        </w:tc>
        <w:tc>
          <w:tcPr>
            <w:tcW w:w="608" w:type="pct"/>
            <w:tcBorders>
              <w:left w:val="nil"/>
              <w:right w:val="nil"/>
            </w:tcBorders>
            <w:vAlign w:val="center"/>
            <w:hideMark/>
          </w:tcPr>
          <w:p w14:paraId="6178F36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GPP* rate, GPP to respiration ration, effective quantum yield</w:t>
            </w:r>
          </w:p>
        </w:tc>
        <w:tc>
          <w:tcPr>
            <w:tcW w:w="327" w:type="pct"/>
            <w:tcBorders>
              <w:left w:val="nil"/>
              <w:right w:val="nil"/>
            </w:tcBorders>
            <w:vAlign w:val="center"/>
            <w:hideMark/>
          </w:tcPr>
          <w:p w14:paraId="781DFE4B"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vAlign w:val="center"/>
            <w:hideMark/>
          </w:tcPr>
          <w:p w14:paraId="31B1819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Råberg</w:t>
            </w:r>
            <w:r w:rsidRPr="00AC0CC1">
              <w:rPr>
                <w:rFonts w:asciiTheme="minorHAnsi" w:eastAsia="Times New Roman" w:hAnsiTheme="minorHAnsi" w:cstheme="minorHAnsi"/>
                <w:i/>
                <w:iCs/>
                <w:color w:val="000000"/>
                <w:sz w:val="16"/>
                <w:szCs w:val="16"/>
                <w:lang w:val="en-AU" w:eastAsia="en-AU"/>
              </w:rPr>
              <w:t xml:space="preserve"> et al </w:t>
            </w:r>
            <w:r w:rsidRPr="00AC0CC1">
              <w:rPr>
                <w:rFonts w:asciiTheme="minorHAnsi" w:eastAsia="Times New Roman" w:hAnsiTheme="minorHAnsi" w:cstheme="minorHAnsi"/>
                <w:color w:val="000000"/>
                <w:sz w:val="16"/>
                <w:szCs w:val="16"/>
                <w:lang w:val="en-AU" w:eastAsia="en-AU"/>
              </w:rPr>
              <w:t>2003</w:t>
            </w:r>
          </w:p>
        </w:tc>
      </w:tr>
      <w:tr w:rsidR="00A33AB7" w:rsidRPr="00AC0CC1" w14:paraId="79EC0D02" w14:textId="77777777" w:rsidTr="00A209AA">
        <w:trPr>
          <w:trHeight w:val="283"/>
        </w:trPr>
        <w:tc>
          <w:tcPr>
            <w:tcW w:w="316" w:type="pct"/>
            <w:vMerge/>
            <w:tcBorders>
              <w:left w:val="nil"/>
              <w:right w:val="nil"/>
            </w:tcBorders>
            <w:vAlign w:val="center"/>
            <w:hideMark/>
          </w:tcPr>
          <w:p w14:paraId="753311A3"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4338A390"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6EE793C4"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2570" w:type="pct"/>
            <w:gridSpan w:val="5"/>
            <w:tcBorders>
              <w:left w:val="nil"/>
              <w:right w:val="nil"/>
            </w:tcBorders>
            <w:shd w:val="clear" w:color="auto" w:fill="auto"/>
            <w:vAlign w:val="bottom"/>
            <w:hideMark/>
          </w:tcPr>
          <w:p w14:paraId="451CB8D8"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Macro Algae</w:t>
            </w:r>
          </w:p>
        </w:tc>
      </w:tr>
      <w:tr w:rsidR="00A33AB7" w:rsidRPr="00AC0CC1" w14:paraId="506F7889" w14:textId="77777777" w:rsidTr="00A209AA">
        <w:trPr>
          <w:trHeight w:val="283"/>
        </w:trPr>
        <w:tc>
          <w:tcPr>
            <w:tcW w:w="316" w:type="pct"/>
            <w:vMerge/>
            <w:tcBorders>
              <w:left w:val="nil"/>
              <w:right w:val="nil"/>
            </w:tcBorders>
            <w:vAlign w:val="center"/>
            <w:hideMark/>
          </w:tcPr>
          <w:p w14:paraId="6FBBFE0F"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1A0E7AD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388C3C0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shd w:val="clear" w:color="auto" w:fill="auto"/>
            <w:vAlign w:val="center"/>
            <w:hideMark/>
          </w:tcPr>
          <w:p w14:paraId="76E8179B"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H. banksia</w:t>
            </w:r>
          </w:p>
        </w:tc>
        <w:tc>
          <w:tcPr>
            <w:tcW w:w="467" w:type="pct"/>
            <w:tcBorders>
              <w:left w:val="nil"/>
              <w:right w:val="nil"/>
            </w:tcBorders>
            <w:shd w:val="clear" w:color="auto" w:fill="auto"/>
            <w:vAlign w:val="center"/>
            <w:hideMark/>
          </w:tcPr>
          <w:p w14:paraId="40DE9C8E"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1650</w:t>
            </w:r>
          </w:p>
        </w:tc>
        <w:tc>
          <w:tcPr>
            <w:tcW w:w="608" w:type="pct"/>
            <w:tcBorders>
              <w:left w:val="nil"/>
              <w:right w:val="nil"/>
            </w:tcBorders>
            <w:shd w:val="clear" w:color="auto" w:fill="auto"/>
            <w:vAlign w:val="center"/>
            <w:hideMark/>
          </w:tcPr>
          <w:p w14:paraId="3728C82E"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right w:val="nil"/>
            </w:tcBorders>
            <w:shd w:val="clear" w:color="auto" w:fill="auto"/>
            <w:vAlign w:val="center"/>
            <w:hideMark/>
          </w:tcPr>
          <w:p w14:paraId="3294695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EC50</w:t>
            </w:r>
          </w:p>
        </w:tc>
        <w:tc>
          <w:tcPr>
            <w:tcW w:w="701" w:type="pct"/>
            <w:tcBorders>
              <w:left w:val="nil"/>
              <w:right w:val="nil"/>
            </w:tcBorders>
            <w:shd w:val="clear" w:color="auto" w:fill="auto"/>
            <w:vAlign w:val="center"/>
            <w:hideMark/>
          </w:tcPr>
          <w:p w14:paraId="02995C1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Seery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2006</w:t>
            </w:r>
          </w:p>
        </w:tc>
      </w:tr>
      <w:tr w:rsidR="00A33AB7" w:rsidRPr="00AC0CC1" w14:paraId="750A4660" w14:textId="77777777" w:rsidTr="00A209AA">
        <w:trPr>
          <w:trHeight w:val="283"/>
        </w:trPr>
        <w:tc>
          <w:tcPr>
            <w:tcW w:w="316" w:type="pct"/>
            <w:vMerge/>
            <w:tcBorders>
              <w:left w:val="nil"/>
              <w:right w:val="nil"/>
            </w:tcBorders>
            <w:vAlign w:val="center"/>
            <w:hideMark/>
          </w:tcPr>
          <w:p w14:paraId="5F6FFBDB"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661DFA77"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271E9560"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2570" w:type="pct"/>
            <w:gridSpan w:val="5"/>
            <w:tcBorders>
              <w:left w:val="nil"/>
              <w:right w:val="nil"/>
            </w:tcBorders>
            <w:shd w:val="clear" w:color="auto" w:fill="auto"/>
            <w:vAlign w:val="bottom"/>
            <w:hideMark/>
          </w:tcPr>
          <w:p w14:paraId="5B555E2A"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Red Algae</w:t>
            </w:r>
          </w:p>
        </w:tc>
      </w:tr>
      <w:tr w:rsidR="00A33AB7" w:rsidRPr="00AC0CC1" w14:paraId="0D280A61" w14:textId="77777777" w:rsidTr="00A209AA">
        <w:trPr>
          <w:trHeight w:val="283"/>
        </w:trPr>
        <w:tc>
          <w:tcPr>
            <w:tcW w:w="316" w:type="pct"/>
            <w:vMerge/>
            <w:tcBorders>
              <w:left w:val="nil"/>
              <w:right w:val="nil"/>
            </w:tcBorders>
            <w:vAlign w:val="center"/>
            <w:hideMark/>
          </w:tcPr>
          <w:p w14:paraId="263AB7E7"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35ADE978"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6BE25E2F"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shd w:val="clear" w:color="auto" w:fill="auto"/>
            <w:vAlign w:val="center"/>
            <w:hideMark/>
          </w:tcPr>
          <w:p w14:paraId="664416C0"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P. onkodes</w:t>
            </w:r>
          </w:p>
        </w:tc>
        <w:tc>
          <w:tcPr>
            <w:tcW w:w="467" w:type="pct"/>
            <w:tcBorders>
              <w:left w:val="nil"/>
              <w:right w:val="nil"/>
            </w:tcBorders>
            <w:shd w:val="clear" w:color="auto" w:fill="auto"/>
            <w:vAlign w:val="center"/>
            <w:hideMark/>
          </w:tcPr>
          <w:p w14:paraId="5D29B052"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2900</w:t>
            </w:r>
          </w:p>
        </w:tc>
        <w:tc>
          <w:tcPr>
            <w:tcW w:w="608" w:type="pct"/>
            <w:tcBorders>
              <w:left w:val="nil"/>
              <w:right w:val="nil"/>
            </w:tcBorders>
            <w:shd w:val="clear" w:color="auto" w:fill="auto"/>
            <w:vAlign w:val="center"/>
            <w:hideMark/>
          </w:tcPr>
          <w:p w14:paraId="235E1B3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right w:val="nil"/>
            </w:tcBorders>
            <w:shd w:val="clear" w:color="auto" w:fill="auto"/>
            <w:vAlign w:val="center"/>
            <w:hideMark/>
          </w:tcPr>
          <w:p w14:paraId="6C462C19"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shd w:val="clear" w:color="auto" w:fill="auto"/>
            <w:vAlign w:val="center"/>
            <w:hideMark/>
          </w:tcPr>
          <w:p w14:paraId="5B169A3D"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Harrington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2005</w:t>
            </w:r>
          </w:p>
        </w:tc>
      </w:tr>
      <w:tr w:rsidR="00A33AB7" w:rsidRPr="00AC0CC1" w14:paraId="0C312413" w14:textId="77777777" w:rsidTr="00A209AA">
        <w:trPr>
          <w:trHeight w:val="283"/>
        </w:trPr>
        <w:tc>
          <w:tcPr>
            <w:tcW w:w="316" w:type="pct"/>
            <w:vMerge/>
            <w:tcBorders>
              <w:left w:val="nil"/>
              <w:right w:val="nil"/>
            </w:tcBorders>
            <w:vAlign w:val="center"/>
            <w:hideMark/>
          </w:tcPr>
          <w:p w14:paraId="5422D426"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57319663"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246332F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2570" w:type="pct"/>
            <w:gridSpan w:val="5"/>
            <w:tcBorders>
              <w:left w:val="nil"/>
              <w:right w:val="nil"/>
            </w:tcBorders>
            <w:shd w:val="clear" w:color="auto" w:fill="auto"/>
            <w:vAlign w:val="bottom"/>
            <w:hideMark/>
          </w:tcPr>
          <w:p w14:paraId="0CA7609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b/>
                <w:bCs/>
                <w:color w:val="000000"/>
                <w:sz w:val="16"/>
                <w:szCs w:val="16"/>
                <w:lang w:val="en-AU" w:eastAsia="en-AU"/>
              </w:rPr>
              <w:t>Diatoms</w:t>
            </w:r>
          </w:p>
        </w:tc>
      </w:tr>
      <w:tr w:rsidR="00A33AB7" w:rsidRPr="00AC0CC1" w14:paraId="2F4CEA54" w14:textId="77777777" w:rsidTr="00A209AA">
        <w:trPr>
          <w:trHeight w:val="283"/>
        </w:trPr>
        <w:tc>
          <w:tcPr>
            <w:tcW w:w="316" w:type="pct"/>
            <w:vMerge/>
            <w:tcBorders>
              <w:left w:val="nil"/>
              <w:right w:val="nil"/>
            </w:tcBorders>
            <w:vAlign w:val="center"/>
            <w:hideMark/>
          </w:tcPr>
          <w:p w14:paraId="5441AE9D"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76D4A256"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5664AD42"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shd w:val="clear" w:color="auto" w:fill="auto"/>
            <w:vAlign w:val="center"/>
            <w:hideMark/>
          </w:tcPr>
          <w:p w14:paraId="6F57AC18"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Navicula sp</w:t>
            </w:r>
          </w:p>
        </w:tc>
        <w:tc>
          <w:tcPr>
            <w:tcW w:w="467" w:type="pct"/>
            <w:tcBorders>
              <w:left w:val="nil"/>
              <w:right w:val="nil"/>
            </w:tcBorders>
            <w:shd w:val="clear" w:color="auto" w:fill="auto"/>
            <w:vAlign w:val="center"/>
            <w:hideMark/>
          </w:tcPr>
          <w:p w14:paraId="1171FCDF"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2900</w:t>
            </w:r>
          </w:p>
        </w:tc>
        <w:tc>
          <w:tcPr>
            <w:tcW w:w="608" w:type="pct"/>
            <w:tcBorders>
              <w:left w:val="nil"/>
              <w:right w:val="nil"/>
            </w:tcBorders>
            <w:shd w:val="clear" w:color="auto" w:fill="auto"/>
            <w:vAlign w:val="center"/>
            <w:hideMark/>
          </w:tcPr>
          <w:p w14:paraId="5CFEBD11"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right w:val="nil"/>
            </w:tcBorders>
            <w:shd w:val="clear" w:color="auto" w:fill="auto"/>
            <w:vAlign w:val="center"/>
            <w:hideMark/>
          </w:tcPr>
          <w:p w14:paraId="33A82F0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IC50</w:t>
            </w:r>
            <w:r>
              <w:rPr>
                <w:rFonts w:asciiTheme="minorHAnsi" w:eastAsia="Times New Roman" w:hAnsiTheme="minorHAnsi" w:cstheme="minorHAnsi"/>
                <w:color w:val="000000"/>
                <w:sz w:val="16"/>
                <w:szCs w:val="16"/>
                <w:lang w:val="en-AU" w:eastAsia="en-AU"/>
              </w:rPr>
              <w:t xml:space="preserve"> </w:t>
            </w:r>
            <w:r w:rsidRPr="00AC0CC1">
              <w:rPr>
                <w:rFonts w:asciiTheme="minorHAnsi" w:eastAsia="Times New Roman" w:hAnsiTheme="minorHAnsi" w:cstheme="minorHAnsi"/>
                <w:color w:val="000000"/>
                <w:sz w:val="16"/>
                <w:szCs w:val="16"/>
                <w:lang w:val="en-AU" w:eastAsia="en-AU"/>
              </w:rPr>
              <w:t>Acute, 6 m</w:t>
            </w:r>
          </w:p>
        </w:tc>
        <w:tc>
          <w:tcPr>
            <w:tcW w:w="701" w:type="pct"/>
            <w:tcBorders>
              <w:left w:val="nil"/>
              <w:right w:val="nil"/>
            </w:tcBorders>
            <w:shd w:val="clear" w:color="auto" w:fill="auto"/>
            <w:vAlign w:val="center"/>
            <w:hideMark/>
          </w:tcPr>
          <w:p w14:paraId="562046E7"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Magnusson </w:t>
            </w:r>
            <w:r w:rsidRPr="00AC0CC1">
              <w:rPr>
                <w:rFonts w:asciiTheme="minorHAnsi" w:eastAsia="Times New Roman" w:hAnsiTheme="minorHAnsi" w:cstheme="minorHAnsi"/>
                <w:i/>
                <w:iCs/>
                <w:color w:val="000000"/>
                <w:sz w:val="16"/>
                <w:szCs w:val="16"/>
                <w:lang w:val="en-AU" w:eastAsia="en-AU"/>
              </w:rPr>
              <w:t xml:space="preserve">et al </w:t>
            </w:r>
            <w:r w:rsidRPr="00AC0CC1">
              <w:rPr>
                <w:rFonts w:asciiTheme="minorHAnsi" w:eastAsia="Times New Roman" w:hAnsiTheme="minorHAnsi" w:cstheme="minorHAnsi"/>
                <w:color w:val="000000"/>
                <w:sz w:val="16"/>
                <w:szCs w:val="16"/>
                <w:lang w:val="en-AU" w:eastAsia="en-AU"/>
              </w:rPr>
              <w:t>2006</w:t>
            </w:r>
          </w:p>
        </w:tc>
      </w:tr>
      <w:tr w:rsidR="00A33AB7" w:rsidRPr="00AC0CC1" w14:paraId="5D4B6D67" w14:textId="77777777" w:rsidTr="00A209AA">
        <w:trPr>
          <w:trHeight w:val="283"/>
        </w:trPr>
        <w:tc>
          <w:tcPr>
            <w:tcW w:w="316" w:type="pct"/>
            <w:vMerge/>
            <w:tcBorders>
              <w:left w:val="nil"/>
              <w:right w:val="nil"/>
            </w:tcBorders>
            <w:vAlign w:val="center"/>
            <w:hideMark/>
          </w:tcPr>
          <w:p w14:paraId="34C66D43"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3B5A6786"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164264C3"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shd w:val="clear" w:color="auto" w:fill="auto"/>
            <w:noWrap/>
            <w:vAlign w:val="center"/>
            <w:hideMark/>
          </w:tcPr>
          <w:p w14:paraId="0C204198"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Pr>
                <w:rFonts w:asciiTheme="minorHAnsi" w:eastAsia="Times New Roman" w:hAnsiTheme="minorHAnsi" w:cstheme="minorHAnsi"/>
                <w:i/>
                <w:iCs/>
                <w:color w:val="000000"/>
                <w:sz w:val="16"/>
                <w:szCs w:val="16"/>
                <w:lang w:val="en-AU" w:eastAsia="en-AU"/>
              </w:rPr>
              <w:t>P. tricornutum</w:t>
            </w:r>
          </w:p>
        </w:tc>
        <w:tc>
          <w:tcPr>
            <w:tcW w:w="467" w:type="pct"/>
            <w:tcBorders>
              <w:left w:val="nil"/>
              <w:right w:val="nil"/>
            </w:tcBorders>
            <w:shd w:val="clear" w:color="auto" w:fill="auto"/>
            <w:noWrap/>
            <w:vAlign w:val="center"/>
            <w:hideMark/>
          </w:tcPr>
          <w:p w14:paraId="4C8112E6"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3300</w:t>
            </w:r>
          </w:p>
        </w:tc>
        <w:tc>
          <w:tcPr>
            <w:tcW w:w="608" w:type="pct"/>
            <w:tcBorders>
              <w:left w:val="nil"/>
              <w:right w:val="nil"/>
            </w:tcBorders>
            <w:shd w:val="clear" w:color="auto" w:fill="auto"/>
            <w:noWrap/>
            <w:vAlign w:val="center"/>
            <w:hideMark/>
          </w:tcPr>
          <w:p w14:paraId="0EBEE19E"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iCs/>
                <w:color w:val="000000"/>
                <w:sz w:val="16"/>
                <w:szCs w:val="16"/>
                <w:lang w:val="en-AU" w:eastAsia="en-AU"/>
              </w:rPr>
              <w:t>↓ photosynthesis</w:t>
            </w:r>
          </w:p>
        </w:tc>
        <w:tc>
          <w:tcPr>
            <w:tcW w:w="327" w:type="pct"/>
            <w:tcBorders>
              <w:left w:val="nil"/>
              <w:bottom w:val="single" w:sz="4" w:space="0" w:color="000000" w:themeColor="text1"/>
              <w:right w:val="nil"/>
            </w:tcBorders>
            <w:shd w:val="clear" w:color="auto" w:fill="auto"/>
            <w:noWrap/>
            <w:vAlign w:val="center"/>
            <w:hideMark/>
          </w:tcPr>
          <w:p w14:paraId="4BE218A1"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I50</w:t>
            </w:r>
          </w:p>
        </w:tc>
        <w:tc>
          <w:tcPr>
            <w:tcW w:w="701" w:type="pct"/>
            <w:tcBorders>
              <w:left w:val="nil"/>
              <w:right w:val="nil"/>
            </w:tcBorders>
            <w:shd w:val="clear" w:color="auto" w:fill="auto"/>
            <w:noWrap/>
            <w:vAlign w:val="center"/>
            <w:hideMark/>
          </w:tcPr>
          <w:p w14:paraId="3BD7B51A"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Schreiber </w:t>
            </w:r>
            <w:r w:rsidRPr="00AC0CC1">
              <w:rPr>
                <w:rFonts w:asciiTheme="minorHAnsi" w:eastAsia="Times New Roman" w:hAnsiTheme="minorHAnsi" w:cstheme="minorHAnsi"/>
                <w:i/>
                <w:iCs/>
                <w:color w:val="000000"/>
                <w:sz w:val="16"/>
                <w:szCs w:val="16"/>
                <w:lang w:val="en-AU" w:eastAsia="en-AU"/>
              </w:rPr>
              <w:t>et al</w:t>
            </w:r>
            <w:r>
              <w:rPr>
                <w:rFonts w:asciiTheme="minorHAnsi" w:eastAsia="Times New Roman" w:hAnsiTheme="minorHAnsi" w:cstheme="minorHAnsi"/>
                <w:color w:val="000000"/>
                <w:sz w:val="16"/>
                <w:szCs w:val="16"/>
                <w:lang w:val="en-AU" w:eastAsia="en-AU"/>
              </w:rPr>
              <w:t xml:space="preserve"> 2002</w:t>
            </w:r>
          </w:p>
        </w:tc>
      </w:tr>
      <w:tr w:rsidR="00A33AB7" w:rsidRPr="00AC0CC1" w14:paraId="246B782A" w14:textId="77777777" w:rsidTr="00A209AA">
        <w:trPr>
          <w:trHeight w:val="283"/>
        </w:trPr>
        <w:tc>
          <w:tcPr>
            <w:tcW w:w="316" w:type="pct"/>
            <w:vMerge/>
            <w:tcBorders>
              <w:left w:val="nil"/>
              <w:right w:val="nil"/>
            </w:tcBorders>
            <w:vAlign w:val="center"/>
            <w:hideMark/>
          </w:tcPr>
          <w:p w14:paraId="31B0E2C8"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69F8EEBE"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0DEBD1EF"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2570" w:type="pct"/>
            <w:gridSpan w:val="5"/>
            <w:tcBorders>
              <w:left w:val="nil"/>
              <w:right w:val="nil"/>
            </w:tcBorders>
            <w:shd w:val="clear" w:color="auto" w:fill="auto"/>
            <w:vAlign w:val="bottom"/>
            <w:hideMark/>
          </w:tcPr>
          <w:p w14:paraId="2AE1684F"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Pr>
                <w:rFonts w:asciiTheme="minorHAnsi" w:eastAsia="Times New Roman" w:hAnsiTheme="minorHAnsi" w:cstheme="minorHAnsi"/>
                <w:b/>
                <w:bCs/>
                <w:color w:val="000000"/>
                <w:sz w:val="16"/>
                <w:szCs w:val="16"/>
                <w:lang w:val="en-AU" w:eastAsia="en-AU"/>
              </w:rPr>
              <w:t>Mangroves</w:t>
            </w:r>
          </w:p>
        </w:tc>
      </w:tr>
      <w:tr w:rsidR="00A33AB7" w:rsidRPr="00AC0CC1" w14:paraId="624D21AE" w14:textId="77777777" w:rsidTr="00A209AA">
        <w:trPr>
          <w:trHeight w:val="283"/>
        </w:trPr>
        <w:tc>
          <w:tcPr>
            <w:tcW w:w="316" w:type="pct"/>
            <w:vMerge/>
            <w:tcBorders>
              <w:left w:val="nil"/>
              <w:right w:val="nil"/>
            </w:tcBorders>
            <w:vAlign w:val="center"/>
            <w:hideMark/>
          </w:tcPr>
          <w:p w14:paraId="49EDB873"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3FCA01C6"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43B2D548"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vAlign w:val="center"/>
            <w:hideMark/>
          </w:tcPr>
          <w:p w14:paraId="3EAD0884"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marina</w:t>
            </w:r>
          </w:p>
        </w:tc>
        <w:tc>
          <w:tcPr>
            <w:tcW w:w="467" w:type="pct"/>
            <w:tcBorders>
              <w:left w:val="nil"/>
              <w:right w:val="nil"/>
            </w:tcBorders>
            <w:vAlign w:val="center"/>
            <w:hideMark/>
          </w:tcPr>
          <w:p w14:paraId="0F2C963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1100</w:t>
            </w:r>
          </w:p>
        </w:tc>
        <w:tc>
          <w:tcPr>
            <w:tcW w:w="608" w:type="pct"/>
            <w:tcBorders>
              <w:left w:val="nil"/>
              <w:right w:val="nil"/>
            </w:tcBorders>
            <w:vAlign w:val="center"/>
            <w:hideMark/>
          </w:tcPr>
          <w:p w14:paraId="3C8C2CF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Health</w:t>
            </w:r>
          </w:p>
        </w:tc>
        <w:tc>
          <w:tcPr>
            <w:tcW w:w="327" w:type="pct"/>
            <w:tcBorders>
              <w:left w:val="nil"/>
              <w:right w:val="nil"/>
            </w:tcBorders>
            <w:vAlign w:val="center"/>
            <w:hideMark/>
          </w:tcPr>
          <w:p w14:paraId="68A5461C"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NOEC</w:t>
            </w:r>
          </w:p>
        </w:tc>
        <w:tc>
          <w:tcPr>
            <w:tcW w:w="701" w:type="pct"/>
            <w:tcBorders>
              <w:left w:val="nil"/>
              <w:right w:val="nil"/>
            </w:tcBorders>
            <w:vAlign w:val="center"/>
            <w:hideMark/>
          </w:tcPr>
          <w:p w14:paraId="277F863A"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 xml:space="preserve">Duke </w:t>
            </w:r>
            <w:r w:rsidRPr="00AC0CC1">
              <w:rPr>
                <w:rFonts w:asciiTheme="minorHAnsi" w:eastAsia="Times New Roman" w:hAnsiTheme="minorHAnsi" w:cstheme="minorHAnsi"/>
                <w:i/>
                <w:iCs/>
                <w:color w:val="000000"/>
                <w:sz w:val="16"/>
                <w:szCs w:val="16"/>
                <w:lang w:val="en-AU" w:eastAsia="en-AU"/>
              </w:rPr>
              <w:t>et al</w:t>
            </w:r>
            <w:r w:rsidRPr="00AC0CC1">
              <w:rPr>
                <w:rFonts w:asciiTheme="minorHAnsi" w:eastAsia="Times New Roman" w:hAnsiTheme="minorHAnsi" w:cstheme="minorHAnsi"/>
                <w:color w:val="000000"/>
                <w:sz w:val="16"/>
                <w:szCs w:val="16"/>
                <w:lang w:val="en-AU" w:eastAsia="en-AU"/>
              </w:rPr>
              <w:t xml:space="preserve"> 2003, 2005</w:t>
            </w:r>
          </w:p>
        </w:tc>
      </w:tr>
      <w:tr w:rsidR="00A33AB7" w:rsidRPr="00A556F5" w14:paraId="20994144" w14:textId="77777777" w:rsidTr="00A209AA">
        <w:trPr>
          <w:trHeight w:val="283"/>
        </w:trPr>
        <w:tc>
          <w:tcPr>
            <w:tcW w:w="316" w:type="pct"/>
            <w:vMerge/>
            <w:tcBorders>
              <w:left w:val="nil"/>
              <w:right w:val="nil"/>
            </w:tcBorders>
            <w:vAlign w:val="center"/>
            <w:hideMark/>
          </w:tcPr>
          <w:p w14:paraId="4411FC68"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327" w:type="pct"/>
            <w:vMerge/>
            <w:tcBorders>
              <w:left w:val="nil"/>
              <w:right w:val="nil"/>
            </w:tcBorders>
            <w:vAlign w:val="center"/>
            <w:hideMark/>
          </w:tcPr>
          <w:p w14:paraId="010D06B7"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1787" w:type="pct"/>
            <w:vMerge/>
            <w:tcBorders>
              <w:left w:val="nil"/>
              <w:right w:val="nil"/>
            </w:tcBorders>
            <w:vAlign w:val="center"/>
            <w:hideMark/>
          </w:tcPr>
          <w:p w14:paraId="6BC7414A" w14:textId="77777777" w:rsidR="00A33AB7" w:rsidRPr="00AC0CC1" w:rsidRDefault="00A33AB7" w:rsidP="002439C8">
            <w:pPr>
              <w:spacing w:line="276" w:lineRule="auto"/>
              <w:jc w:val="left"/>
              <w:rPr>
                <w:rFonts w:asciiTheme="minorHAnsi" w:eastAsia="Times New Roman" w:hAnsiTheme="minorHAnsi" w:cstheme="minorHAnsi"/>
                <w:color w:val="000000"/>
                <w:sz w:val="16"/>
                <w:szCs w:val="16"/>
                <w:lang w:val="en-AU" w:eastAsia="en-AU"/>
              </w:rPr>
            </w:pPr>
          </w:p>
        </w:tc>
        <w:tc>
          <w:tcPr>
            <w:tcW w:w="467" w:type="pct"/>
            <w:tcBorders>
              <w:left w:val="nil"/>
              <w:right w:val="nil"/>
            </w:tcBorders>
            <w:noWrap/>
            <w:vAlign w:val="center"/>
            <w:hideMark/>
          </w:tcPr>
          <w:p w14:paraId="5620B788"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marina</w:t>
            </w:r>
          </w:p>
        </w:tc>
        <w:tc>
          <w:tcPr>
            <w:tcW w:w="467" w:type="pct"/>
            <w:tcBorders>
              <w:left w:val="nil"/>
              <w:right w:val="nil"/>
            </w:tcBorders>
            <w:noWrap/>
            <w:vAlign w:val="center"/>
            <w:hideMark/>
          </w:tcPr>
          <w:p w14:paraId="402DC75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1500</w:t>
            </w:r>
          </w:p>
        </w:tc>
        <w:tc>
          <w:tcPr>
            <w:tcW w:w="608" w:type="pct"/>
            <w:tcBorders>
              <w:left w:val="nil"/>
              <w:right w:val="nil"/>
            </w:tcBorders>
            <w:noWrap/>
            <w:vAlign w:val="center"/>
            <w:hideMark/>
          </w:tcPr>
          <w:p w14:paraId="3744C313"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Reduced health</w:t>
            </w:r>
          </w:p>
        </w:tc>
        <w:tc>
          <w:tcPr>
            <w:tcW w:w="327" w:type="pct"/>
            <w:tcBorders>
              <w:left w:val="nil"/>
              <w:right w:val="nil"/>
            </w:tcBorders>
            <w:noWrap/>
            <w:vAlign w:val="center"/>
            <w:hideMark/>
          </w:tcPr>
          <w:p w14:paraId="63FC7668"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right w:val="nil"/>
            </w:tcBorders>
            <w:noWrap/>
            <w:vAlign w:val="center"/>
            <w:hideMark/>
          </w:tcPr>
          <w:p w14:paraId="6757710F" w14:textId="77777777" w:rsidR="00A33AB7" w:rsidRPr="00D01BC4" w:rsidRDefault="00A33AB7" w:rsidP="002439C8">
            <w:pPr>
              <w:spacing w:before="40" w:after="40" w:line="276" w:lineRule="auto"/>
              <w:jc w:val="left"/>
              <w:rPr>
                <w:rFonts w:asciiTheme="minorHAnsi" w:hAnsiTheme="minorHAnsi"/>
                <w:color w:val="000000"/>
                <w:sz w:val="16"/>
                <w:lang w:val="de-DE"/>
              </w:rPr>
            </w:pPr>
            <w:r w:rsidRPr="00D01BC4">
              <w:rPr>
                <w:rFonts w:asciiTheme="minorHAnsi" w:hAnsiTheme="minorHAnsi"/>
                <w:color w:val="000000"/>
                <w:sz w:val="16"/>
                <w:lang w:val="de-DE"/>
              </w:rPr>
              <w:t xml:space="preserve">Duke </w:t>
            </w:r>
            <w:r w:rsidRPr="00D01BC4">
              <w:rPr>
                <w:rFonts w:asciiTheme="minorHAnsi" w:hAnsiTheme="minorHAnsi"/>
                <w:i/>
                <w:color w:val="000000"/>
                <w:sz w:val="16"/>
                <w:lang w:val="de-DE"/>
              </w:rPr>
              <w:t>et al</w:t>
            </w:r>
            <w:r w:rsidRPr="00D01BC4">
              <w:rPr>
                <w:rFonts w:asciiTheme="minorHAnsi" w:hAnsiTheme="minorHAnsi"/>
                <w:color w:val="000000"/>
                <w:sz w:val="16"/>
                <w:lang w:val="de-DE"/>
              </w:rPr>
              <w:t xml:space="preserve"> 2003, Bell &amp; Duke 2005</w:t>
            </w:r>
          </w:p>
        </w:tc>
      </w:tr>
      <w:tr w:rsidR="00A33AB7" w:rsidRPr="00A556F5" w14:paraId="4B6781F5" w14:textId="77777777" w:rsidTr="00A209AA">
        <w:trPr>
          <w:trHeight w:val="283"/>
        </w:trPr>
        <w:tc>
          <w:tcPr>
            <w:tcW w:w="316" w:type="pct"/>
            <w:vMerge/>
            <w:tcBorders>
              <w:left w:val="nil"/>
              <w:right w:val="nil"/>
            </w:tcBorders>
            <w:vAlign w:val="center"/>
            <w:hideMark/>
          </w:tcPr>
          <w:p w14:paraId="32698800" w14:textId="77777777" w:rsidR="00A33AB7" w:rsidRPr="00D01BC4" w:rsidRDefault="00A33AB7" w:rsidP="002439C8">
            <w:pPr>
              <w:spacing w:line="276" w:lineRule="auto"/>
              <w:jc w:val="left"/>
              <w:rPr>
                <w:rFonts w:asciiTheme="minorHAnsi" w:hAnsiTheme="minorHAnsi"/>
                <w:color w:val="000000"/>
                <w:sz w:val="16"/>
                <w:lang w:val="de-DE"/>
              </w:rPr>
            </w:pPr>
          </w:p>
        </w:tc>
        <w:tc>
          <w:tcPr>
            <w:tcW w:w="327" w:type="pct"/>
            <w:vMerge/>
            <w:tcBorders>
              <w:left w:val="nil"/>
              <w:right w:val="nil"/>
            </w:tcBorders>
            <w:vAlign w:val="center"/>
            <w:hideMark/>
          </w:tcPr>
          <w:p w14:paraId="1593279E" w14:textId="77777777" w:rsidR="00A33AB7" w:rsidRPr="00D01BC4" w:rsidRDefault="00A33AB7" w:rsidP="002439C8">
            <w:pPr>
              <w:spacing w:line="276" w:lineRule="auto"/>
              <w:jc w:val="left"/>
              <w:rPr>
                <w:rFonts w:asciiTheme="minorHAnsi" w:hAnsiTheme="minorHAnsi"/>
                <w:color w:val="000000"/>
                <w:sz w:val="16"/>
                <w:lang w:val="de-DE"/>
              </w:rPr>
            </w:pPr>
          </w:p>
        </w:tc>
        <w:tc>
          <w:tcPr>
            <w:tcW w:w="1787" w:type="pct"/>
            <w:vMerge/>
            <w:tcBorders>
              <w:left w:val="nil"/>
              <w:right w:val="nil"/>
            </w:tcBorders>
            <w:vAlign w:val="center"/>
            <w:hideMark/>
          </w:tcPr>
          <w:p w14:paraId="4963940B" w14:textId="77777777" w:rsidR="00A33AB7" w:rsidRPr="00D01BC4" w:rsidRDefault="00A33AB7" w:rsidP="002439C8">
            <w:pPr>
              <w:spacing w:line="276" w:lineRule="auto"/>
              <w:jc w:val="left"/>
              <w:rPr>
                <w:rFonts w:asciiTheme="minorHAnsi" w:hAnsiTheme="minorHAnsi"/>
                <w:color w:val="000000"/>
                <w:sz w:val="16"/>
                <w:lang w:val="de-DE"/>
              </w:rPr>
            </w:pPr>
          </w:p>
        </w:tc>
        <w:tc>
          <w:tcPr>
            <w:tcW w:w="467" w:type="pct"/>
            <w:tcBorders>
              <w:left w:val="nil"/>
              <w:right w:val="nil"/>
            </w:tcBorders>
            <w:vAlign w:val="center"/>
            <w:hideMark/>
          </w:tcPr>
          <w:p w14:paraId="0C3333F4"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marina</w:t>
            </w:r>
          </w:p>
        </w:tc>
        <w:tc>
          <w:tcPr>
            <w:tcW w:w="467" w:type="pct"/>
            <w:tcBorders>
              <w:left w:val="nil"/>
              <w:right w:val="nil"/>
            </w:tcBorders>
            <w:vAlign w:val="center"/>
            <w:hideMark/>
          </w:tcPr>
          <w:p w14:paraId="235CD5D5"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2000</w:t>
            </w:r>
          </w:p>
        </w:tc>
        <w:tc>
          <w:tcPr>
            <w:tcW w:w="608" w:type="pct"/>
            <w:tcBorders>
              <w:left w:val="nil"/>
              <w:right w:val="nil"/>
            </w:tcBorders>
            <w:vAlign w:val="center"/>
            <w:hideMark/>
          </w:tcPr>
          <w:p w14:paraId="3B841D14"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Dieback/ absence</w:t>
            </w:r>
          </w:p>
        </w:tc>
        <w:tc>
          <w:tcPr>
            <w:tcW w:w="327" w:type="pct"/>
            <w:tcBorders>
              <w:left w:val="nil"/>
              <w:right w:val="nil"/>
            </w:tcBorders>
            <w:vAlign w:val="center"/>
            <w:hideMark/>
          </w:tcPr>
          <w:p w14:paraId="565C53CB"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Mortality</w:t>
            </w:r>
          </w:p>
        </w:tc>
        <w:tc>
          <w:tcPr>
            <w:tcW w:w="701" w:type="pct"/>
            <w:tcBorders>
              <w:left w:val="nil"/>
              <w:right w:val="nil"/>
            </w:tcBorders>
            <w:vAlign w:val="center"/>
            <w:hideMark/>
          </w:tcPr>
          <w:p w14:paraId="2F07702F" w14:textId="77777777" w:rsidR="00A33AB7" w:rsidRPr="00D01BC4" w:rsidRDefault="00A33AB7" w:rsidP="002439C8">
            <w:pPr>
              <w:spacing w:before="40" w:after="40" w:line="276" w:lineRule="auto"/>
              <w:jc w:val="left"/>
              <w:rPr>
                <w:rFonts w:asciiTheme="minorHAnsi" w:hAnsiTheme="minorHAnsi"/>
                <w:color w:val="000000"/>
                <w:sz w:val="16"/>
                <w:lang w:val="de-DE"/>
              </w:rPr>
            </w:pPr>
            <w:r w:rsidRPr="00D01BC4">
              <w:rPr>
                <w:rFonts w:asciiTheme="minorHAnsi" w:hAnsiTheme="minorHAnsi"/>
                <w:color w:val="000000"/>
                <w:sz w:val="16"/>
                <w:lang w:val="de-DE"/>
              </w:rPr>
              <w:t>Duke et al 2003, Bell &amp; Duke 2005</w:t>
            </w:r>
          </w:p>
        </w:tc>
      </w:tr>
      <w:tr w:rsidR="00A33AB7" w:rsidRPr="00A556F5" w14:paraId="3F71E6A8" w14:textId="77777777" w:rsidTr="00A209AA">
        <w:trPr>
          <w:trHeight w:val="283"/>
        </w:trPr>
        <w:tc>
          <w:tcPr>
            <w:tcW w:w="316" w:type="pct"/>
            <w:vMerge/>
            <w:tcBorders>
              <w:left w:val="nil"/>
              <w:bottom w:val="single" w:sz="2" w:space="0" w:color="auto"/>
              <w:right w:val="nil"/>
            </w:tcBorders>
            <w:vAlign w:val="center"/>
            <w:hideMark/>
          </w:tcPr>
          <w:p w14:paraId="5CF16766" w14:textId="77777777" w:rsidR="00A33AB7" w:rsidRPr="00D01BC4" w:rsidRDefault="00A33AB7" w:rsidP="002439C8">
            <w:pPr>
              <w:spacing w:line="276" w:lineRule="auto"/>
              <w:jc w:val="left"/>
              <w:rPr>
                <w:rFonts w:asciiTheme="minorHAnsi" w:hAnsiTheme="minorHAnsi"/>
                <w:color w:val="000000"/>
                <w:sz w:val="16"/>
                <w:lang w:val="de-DE"/>
              </w:rPr>
            </w:pPr>
          </w:p>
        </w:tc>
        <w:tc>
          <w:tcPr>
            <w:tcW w:w="327" w:type="pct"/>
            <w:vMerge/>
            <w:tcBorders>
              <w:left w:val="nil"/>
              <w:bottom w:val="single" w:sz="2" w:space="0" w:color="auto"/>
              <w:right w:val="nil"/>
            </w:tcBorders>
            <w:vAlign w:val="center"/>
            <w:hideMark/>
          </w:tcPr>
          <w:p w14:paraId="34189443" w14:textId="77777777" w:rsidR="00A33AB7" w:rsidRPr="00D01BC4" w:rsidRDefault="00A33AB7" w:rsidP="002439C8">
            <w:pPr>
              <w:spacing w:line="276" w:lineRule="auto"/>
              <w:jc w:val="left"/>
              <w:rPr>
                <w:rFonts w:asciiTheme="minorHAnsi" w:hAnsiTheme="minorHAnsi"/>
                <w:color w:val="000000"/>
                <w:sz w:val="16"/>
                <w:lang w:val="de-DE"/>
              </w:rPr>
            </w:pPr>
          </w:p>
        </w:tc>
        <w:tc>
          <w:tcPr>
            <w:tcW w:w="1787" w:type="pct"/>
            <w:vMerge/>
            <w:tcBorders>
              <w:left w:val="nil"/>
              <w:bottom w:val="single" w:sz="2" w:space="0" w:color="auto"/>
              <w:right w:val="nil"/>
            </w:tcBorders>
            <w:vAlign w:val="center"/>
            <w:hideMark/>
          </w:tcPr>
          <w:p w14:paraId="2DFCB0DF" w14:textId="77777777" w:rsidR="00A33AB7" w:rsidRPr="00D01BC4" w:rsidRDefault="00A33AB7" w:rsidP="002439C8">
            <w:pPr>
              <w:spacing w:line="276" w:lineRule="auto"/>
              <w:jc w:val="left"/>
              <w:rPr>
                <w:rFonts w:asciiTheme="minorHAnsi" w:hAnsiTheme="minorHAnsi"/>
                <w:color w:val="000000"/>
                <w:sz w:val="16"/>
                <w:lang w:val="de-DE"/>
              </w:rPr>
            </w:pPr>
          </w:p>
        </w:tc>
        <w:tc>
          <w:tcPr>
            <w:tcW w:w="467" w:type="pct"/>
            <w:tcBorders>
              <w:left w:val="nil"/>
              <w:bottom w:val="single" w:sz="2" w:space="0" w:color="auto"/>
              <w:right w:val="nil"/>
            </w:tcBorders>
            <w:vAlign w:val="center"/>
            <w:hideMark/>
          </w:tcPr>
          <w:p w14:paraId="521A2F61" w14:textId="77777777" w:rsidR="00A33AB7" w:rsidRPr="00AC0CC1" w:rsidRDefault="00A33AB7" w:rsidP="002439C8">
            <w:pPr>
              <w:spacing w:before="40" w:after="40" w:line="276" w:lineRule="auto"/>
              <w:jc w:val="left"/>
              <w:rPr>
                <w:rFonts w:asciiTheme="minorHAnsi" w:eastAsia="Times New Roman" w:hAnsiTheme="minorHAnsi" w:cstheme="minorHAnsi"/>
                <w:i/>
                <w:iCs/>
                <w:color w:val="000000"/>
                <w:sz w:val="16"/>
                <w:szCs w:val="16"/>
                <w:lang w:val="en-AU" w:eastAsia="en-AU"/>
              </w:rPr>
            </w:pPr>
            <w:r w:rsidRPr="00AC0CC1">
              <w:rPr>
                <w:rFonts w:asciiTheme="minorHAnsi" w:eastAsia="Times New Roman" w:hAnsiTheme="minorHAnsi" w:cstheme="minorHAnsi"/>
                <w:i/>
                <w:iCs/>
                <w:color w:val="000000"/>
                <w:sz w:val="16"/>
                <w:szCs w:val="16"/>
                <w:lang w:val="en-AU" w:eastAsia="en-AU"/>
              </w:rPr>
              <w:t>A. marina</w:t>
            </w:r>
          </w:p>
        </w:tc>
        <w:tc>
          <w:tcPr>
            <w:tcW w:w="467" w:type="pct"/>
            <w:tcBorders>
              <w:left w:val="nil"/>
              <w:bottom w:val="single" w:sz="2" w:space="0" w:color="auto"/>
              <w:right w:val="nil"/>
            </w:tcBorders>
            <w:vAlign w:val="center"/>
            <w:hideMark/>
          </w:tcPr>
          <w:p w14:paraId="51988A4F"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1500</w:t>
            </w:r>
          </w:p>
        </w:tc>
        <w:tc>
          <w:tcPr>
            <w:tcW w:w="608" w:type="pct"/>
            <w:tcBorders>
              <w:left w:val="nil"/>
              <w:bottom w:val="single" w:sz="2" w:space="0" w:color="auto"/>
              <w:right w:val="nil"/>
            </w:tcBorders>
            <w:vAlign w:val="center"/>
            <w:hideMark/>
          </w:tcPr>
          <w:p w14:paraId="63FECC05"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Reduced health</w:t>
            </w:r>
          </w:p>
        </w:tc>
        <w:tc>
          <w:tcPr>
            <w:tcW w:w="327" w:type="pct"/>
            <w:tcBorders>
              <w:left w:val="nil"/>
              <w:bottom w:val="single" w:sz="2" w:space="0" w:color="auto"/>
              <w:right w:val="nil"/>
            </w:tcBorders>
            <w:vAlign w:val="center"/>
            <w:hideMark/>
          </w:tcPr>
          <w:p w14:paraId="40E5B50E" w14:textId="77777777" w:rsidR="00A33AB7" w:rsidRPr="00AC0CC1" w:rsidRDefault="00A33AB7" w:rsidP="002439C8">
            <w:pPr>
              <w:spacing w:before="40" w:after="40" w:line="276" w:lineRule="auto"/>
              <w:jc w:val="left"/>
              <w:rPr>
                <w:rFonts w:asciiTheme="minorHAnsi" w:eastAsia="Times New Roman" w:hAnsiTheme="minorHAnsi" w:cstheme="minorHAnsi"/>
                <w:color w:val="000000"/>
                <w:sz w:val="16"/>
                <w:szCs w:val="16"/>
                <w:lang w:val="en-AU" w:eastAsia="en-AU"/>
              </w:rPr>
            </w:pPr>
            <w:r w:rsidRPr="00AC0CC1">
              <w:rPr>
                <w:rFonts w:asciiTheme="minorHAnsi" w:eastAsia="Times New Roman" w:hAnsiTheme="minorHAnsi" w:cstheme="minorHAnsi"/>
                <w:color w:val="000000"/>
                <w:sz w:val="16"/>
                <w:szCs w:val="16"/>
                <w:lang w:val="en-AU" w:eastAsia="en-AU"/>
              </w:rPr>
              <w:t>LOEC</w:t>
            </w:r>
          </w:p>
        </w:tc>
        <w:tc>
          <w:tcPr>
            <w:tcW w:w="701" w:type="pct"/>
            <w:tcBorders>
              <w:left w:val="nil"/>
              <w:bottom w:val="single" w:sz="2" w:space="0" w:color="auto"/>
              <w:right w:val="nil"/>
            </w:tcBorders>
            <w:vAlign w:val="center"/>
            <w:hideMark/>
          </w:tcPr>
          <w:p w14:paraId="475FC0BD" w14:textId="77777777" w:rsidR="00A33AB7" w:rsidRPr="00D01BC4" w:rsidRDefault="00A33AB7" w:rsidP="002439C8">
            <w:pPr>
              <w:spacing w:before="40" w:after="40" w:line="276" w:lineRule="auto"/>
              <w:jc w:val="left"/>
              <w:rPr>
                <w:rFonts w:asciiTheme="minorHAnsi" w:hAnsiTheme="minorHAnsi"/>
                <w:color w:val="000000"/>
                <w:sz w:val="16"/>
                <w:lang w:val="de-DE"/>
              </w:rPr>
            </w:pPr>
            <w:r w:rsidRPr="00D01BC4">
              <w:rPr>
                <w:rFonts w:asciiTheme="minorHAnsi" w:hAnsiTheme="minorHAnsi"/>
                <w:color w:val="000000"/>
                <w:sz w:val="16"/>
                <w:lang w:val="de-DE"/>
              </w:rPr>
              <w:t xml:space="preserve">Duke </w:t>
            </w:r>
            <w:r w:rsidRPr="00D01BC4">
              <w:rPr>
                <w:rFonts w:asciiTheme="minorHAnsi" w:hAnsiTheme="minorHAnsi"/>
                <w:i/>
                <w:color w:val="000000"/>
                <w:sz w:val="16"/>
                <w:lang w:val="de-DE"/>
              </w:rPr>
              <w:t>et al</w:t>
            </w:r>
            <w:r w:rsidRPr="00D01BC4">
              <w:rPr>
                <w:rFonts w:asciiTheme="minorHAnsi" w:hAnsiTheme="minorHAnsi"/>
                <w:color w:val="000000"/>
                <w:sz w:val="16"/>
                <w:lang w:val="de-DE"/>
              </w:rPr>
              <w:t xml:space="preserve"> 2003, Bell &amp; Duke 2005</w:t>
            </w:r>
          </w:p>
        </w:tc>
      </w:tr>
      <w:tr w:rsidR="00A33AB7" w:rsidRPr="00A556F5" w14:paraId="1BED79E8" w14:textId="77777777" w:rsidTr="00A209AA">
        <w:tblPrEx>
          <w:tblBorders>
            <w:top w:val="single" w:sz="18"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5000" w:type="pct"/>
            <w:gridSpan w:val="8"/>
            <w:tcBorders>
              <w:top w:val="single" w:sz="2" w:space="0" w:color="auto"/>
            </w:tcBorders>
          </w:tcPr>
          <w:p w14:paraId="0FAA8643" w14:textId="77777777" w:rsidR="00A33AB7" w:rsidRPr="00D01BC4" w:rsidRDefault="00A33AB7" w:rsidP="002439C8">
            <w:pPr>
              <w:spacing w:line="276" w:lineRule="auto"/>
              <w:jc w:val="left"/>
              <w:rPr>
                <w:rFonts w:asciiTheme="minorHAnsi" w:hAnsiTheme="minorHAnsi"/>
                <w:sz w:val="16"/>
                <w:lang w:val="de-DE"/>
              </w:rPr>
            </w:pPr>
          </w:p>
        </w:tc>
      </w:tr>
    </w:tbl>
    <w:p w14:paraId="006A6A4A" w14:textId="77777777" w:rsidR="00A33AB7" w:rsidRPr="000A467A" w:rsidRDefault="00A33AB7" w:rsidP="002439C8">
      <w:pPr>
        <w:spacing w:line="276" w:lineRule="auto"/>
        <w:ind w:left="567" w:hanging="567"/>
        <w:jc w:val="left"/>
        <w:rPr>
          <w:b/>
          <w:sz w:val="18"/>
          <w:szCs w:val="18"/>
          <w:lang w:val="en-AU"/>
        </w:rPr>
      </w:pPr>
      <w:r w:rsidRPr="000A467A">
        <w:rPr>
          <w:b/>
          <w:sz w:val="18"/>
          <w:szCs w:val="18"/>
          <w:lang w:val="en-AU"/>
        </w:rPr>
        <w:t>References:</w:t>
      </w:r>
    </w:p>
    <w:p w14:paraId="0D7C446B"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ANZECC (Australian and New Zealand Environment and Conservation Council) and ARMCANZ (Agriculture and Resource Management Council of Australia and New Zealand) (2000). </w:t>
      </w:r>
      <w:r w:rsidRPr="00AC0CC1">
        <w:rPr>
          <w:i/>
          <w:sz w:val="18"/>
          <w:szCs w:val="18"/>
          <w:lang w:val="en-AU"/>
        </w:rPr>
        <w:t xml:space="preserve">Australian and New Zealand guidelines for fresh and marine water quality. </w:t>
      </w:r>
      <w:r w:rsidRPr="00AC0CC1">
        <w:rPr>
          <w:sz w:val="18"/>
          <w:szCs w:val="18"/>
          <w:lang w:val="en-AU"/>
        </w:rPr>
        <w:t>National Water Quality Management Strategy. Australian and New Zealand Environment and Conservation Council and Agriculture and Resource Management Council of Australia and New Zealand, Canberra.</w:t>
      </w:r>
    </w:p>
    <w:p w14:paraId="735984CD"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APVMA (Australian Pesticides and Veterinary Medicines Authority (2005). The Reconsideration of Approvals of the Active Constituent Diuron, Registration of Products containing Diuron and their Associated Labels. Preliminary Review Findings. Volume I and II.</w:t>
      </w:r>
    </w:p>
    <w:p w14:paraId="4C48A033"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Bell A and Duke N (2005). Effects of Photosystem II inhibiting herbicides on mangroves – preliminary toxicology trials. </w:t>
      </w:r>
      <w:r w:rsidRPr="00AC0CC1">
        <w:rPr>
          <w:i/>
          <w:sz w:val="18"/>
          <w:szCs w:val="18"/>
          <w:lang w:val="en-AU"/>
        </w:rPr>
        <w:t xml:space="preserve">Marine Pollution Bulletin </w:t>
      </w:r>
      <w:r w:rsidRPr="00AC0CC1">
        <w:rPr>
          <w:sz w:val="18"/>
          <w:szCs w:val="18"/>
          <w:lang w:val="en-AU"/>
        </w:rPr>
        <w:t>51(1-4):297-307.</w:t>
      </w:r>
    </w:p>
    <w:p w14:paraId="1936A02B"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Bengston-Nash S, Quayle PA, Schreiber U and Muller JF (2005).The selection of a model microalgal species as biomaterial for a novel aquatic phytotoxicity assay. </w:t>
      </w:r>
      <w:r w:rsidRPr="00AC0CC1">
        <w:rPr>
          <w:i/>
          <w:sz w:val="18"/>
          <w:szCs w:val="18"/>
          <w:lang w:val="en-AU"/>
        </w:rPr>
        <w:t>Aquatic Toxicology72:315-326</w:t>
      </w:r>
      <w:r w:rsidRPr="00AC0CC1">
        <w:rPr>
          <w:sz w:val="18"/>
          <w:szCs w:val="18"/>
          <w:lang w:val="en-AU"/>
        </w:rPr>
        <w:t>.</w:t>
      </w:r>
    </w:p>
    <w:p w14:paraId="5FAB4AB7"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Chesworth JC, Donkin ME and Brown DT (2004). The interactive effects of the antifouling herbicides Irgarol 1051 and Diuron in the seagrass </w:t>
      </w:r>
      <w:r w:rsidRPr="00AC0CC1">
        <w:rPr>
          <w:i/>
          <w:sz w:val="18"/>
          <w:szCs w:val="18"/>
          <w:lang w:val="en-AU"/>
        </w:rPr>
        <w:t>Zostera marina</w:t>
      </w:r>
      <w:r w:rsidRPr="00AC0CC1">
        <w:rPr>
          <w:sz w:val="18"/>
          <w:szCs w:val="18"/>
          <w:lang w:val="en-AU"/>
        </w:rPr>
        <w:t xml:space="preserve"> (L.). </w:t>
      </w:r>
      <w:r w:rsidRPr="00AC0CC1">
        <w:rPr>
          <w:i/>
          <w:sz w:val="18"/>
          <w:szCs w:val="18"/>
          <w:lang w:val="en-AU"/>
        </w:rPr>
        <w:t>Aquatic Toxicology</w:t>
      </w:r>
      <w:r w:rsidRPr="00AC0CC1">
        <w:rPr>
          <w:sz w:val="18"/>
          <w:szCs w:val="18"/>
          <w:lang w:val="en-AU"/>
        </w:rPr>
        <w:t xml:space="preserve"> 66:293-305.</w:t>
      </w:r>
    </w:p>
    <w:p w14:paraId="495E380E"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Duke N, Bell A, Pederson D, Roelfsema CM, Nash SB, Godson LM, Zahmel KN and Mackenzie J (2003). </w:t>
      </w:r>
      <w:r w:rsidRPr="00AC0CC1">
        <w:rPr>
          <w:i/>
          <w:sz w:val="18"/>
          <w:szCs w:val="18"/>
          <w:lang w:val="en-AU"/>
        </w:rPr>
        <w:t xml:space="preserve">Mackay mangrove dieback. </w:t>
      </w:r>
      <w:r w:rsidRPr="00AC0CC1">
        <w:rPr>
          <w:sz w:val="18"/>
          <w:szCs w:val="18"/>
          <w:lang w:val="en-AU"/>
        </w:rPr>
        <w:t>(Investigations in 2002 with recommendations for further research, monitoring and management).</w:t>
      </w:r>
    </w:p>
    <w:p w14:paraId="3E99484E"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Duke N, Bell A, Pederson D, Roelfsema CM, Nash SB (2005). Herbicides implicated as the cause of severe mangrove dieback in the Mackay region, NE Australia: consequences for marine plant habitats o the Great Barrier Reef World Heritage Area. </w:t>
      </w:r>
      <w:r w:rsidRPr="00AC0CC1">
        <w:rPr>
          <w:i/>
          <w:sz w:val="18"/>
          <w:szCs w:val="18"/>
          <w:lang w:val="en-AU"/>
        </w:rPr>
        <w:t xml:space="preserve">Marine Pollution Bulletin </w:t>
      </w:r>
      <w:r w:rsidRPr="00AC0CC1">
        <w:rPr>
          <w:sz w:val="18"/>
          <w:szCs w:val="18"/>
          <w:lang w:val="en-AU"/>
        </w:rPr>
        <w:t>51(1-4):308-324.</w:t>
      </w:r>
    </w:p>
    <w:p w14:paraId="19779C4C"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Harrington L, Fabricius K, Eaglesham G, Negri A (2005). Synergistic effects of diuron and sedimentation on photosynthesis and survival of crustose coralline algae. </w:t>
      </w:r>
      <w:r w:rsidRPr="00AC0CC1">
        <w:rPr>
          <w:i/>
          <w:sz w:val="18"/>
          <w:szCs w:val="18"/>
          <w:lang w:val="en-AU"/>
        </w:rPr>
        <w:t xml:space="preserve">Marine Pollution Bulletin </w:t>
      </w:r>
      <w:r w:rsidRPr="00AC0CC1">
        <w:rPr>
          <w:sz w:val="18"/>
          <w:szCs w:val="18"/>
          <w:lang w:val="en-AU"/>
        </w:rPr>
        <w:t>51:415-427.</w:t>
      </w:r>
    </w:p>
    <w:p w14:paraId="1CB3DFC9"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Haynes D, Ralph P, Prange J and Dennison B (2000). The impact of the Herbicide Diuron on Photosynthesis in Three Species of Tropical Seagrass. </w:t>
      </w:r>
      <w:r w:rsidRPr="00AC0CC1">
        <w:rPr>
          <w:i/>
          <w:sz w:val="18"/>
          <w:szCs w:val="18"/>
          <w:lang w:val="en-AU"/>
        </w:rPr>
        <w:t xml:space="preserve">Marine Pollution Bulletin </w:t>
      </w:r>
      <w:r w:rsidRPr="00AC0CC1">
        <w:rPr>
          <w:sz w:val="18"/>
          <w:szCs w:val="18"/>
          <w:lang w:val="en-AU"/>
        </w:rPr>
        <w:t>41(7-12):288-293.</w:t>
      </w:r>
    </w:p>
    <w:p w14:paraId="3B9CE322"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Jones RJ (2004). Testing the ‘photoinhibition’ model of coral bleaching using chemical inhibitors. </w:t>
      </w:r>
      <w:r w:rsidRPr="00AC0CC1">
        <w:rPr>
          <w:i/>
          <w:sz w:val="18"/>
          <w:szCs w:val="18"/>
          <w:lang w:val="en-AU"/>
        </w:rPr>
        <w:t xml:space="preserve">Marine Ecology Progress Series </w:t>
      </w:r>
      <w:r w:rsidRPr="00AC0CC1">
        <w:rPr>
          <w:sz w:val="18"/>
          <w:szCs w:val="18"/>
          <w:lang w:val="en-AU"/>
        </w:rPr>
        <w:t>284:133-145.</w:t>
      </w:r>
    </w:p>
    <w:p w14:paraId="0CC26346"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Jones RJ (2005). The ecotoxicological effects of Photosystem II herbicides on corals. </w:t>
      </w:r>
      <w:r w:rsidRPr="00AC0CC1">
        <w:rPr>
          <w:i/>
          <w:sz w:val="18"/>
          <w:szCs w:val="18"/>
          <w:lang w:val="en-AU"/>
        </w:rPr>
        <w:t>Marine Pollution Bulletin</w:t>
      </w:r>
      <w:r w:rsidRPr="00AC0CC1">
        <w:rPr>
          <w:sz w:val="18"/>
          <w:szCs w:val="18"/>
          <w:lang w:val="en-AU"/>
        </w:rPr>
        <w:t xml:space="preserve"> 51(5-7):495-506.</w:t>
      </w:r>
    </w:p>
    <w:p w14:paraId="186738B1"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Jones RJ and Kerswell AP (2003). Phytotoxicity of Photosystem II (PSII) herbicides to coral. </w:t>
      </w:r>
      <w:r w:rsidRPr="00AC0CC1">
        <w:rPr>
          <w:i/>
          <w:sz w:val="18"/>
          <w:szCs w:val="18"/>
          <w:lang w:val="en-AU"/>
        </w:rPr>
        <w:t xml:space="preserve">Marine Ecology Progress Series </w:t>
      </w:r>
      <w:r w:rsidRPr="00AC0CC1">
        <w:rPr>
          <w:sz w:val="18"/>
          <w:szCs w:val="18"/>
          <w:lang w:val="en-AU"/>
        </w:rPr>
        <w:t>261 (October 17):149-159.</w:t>
      </w:r>
    </w:p>
    <w:p w14:paraId="4AF6A3FC"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Jones R, Muller J, Haynes D, Schreiber U (2003). Effects of herbicides diuron and atrazine on corals of the Great Barrier Reef, Australia. </w:t>
      </w:r>
      <w:r w:rsidRPr="00AC0CC1">
        <w:rPr>
          <w:i/>
          <w:sz w:val="18"/>
          <w:szCs w:val="18"/>
          <w:lang w:val="en-AU"/>
        </w:rPr>
        <w:t xml:space="preserve"> Marine Ecology Progress Series 251</w:t>
      </w:r>
      <w:r w:rsidRPr="00AC0CC1">
        <w:rPr>
          <w:sz w:val="18"/>
          <w:szCs w:val="18"/>
          <w:lang w:val="en-AU"/>
        </w:rPr>
        <w:t>:153-167.</w:t>
      </w:r>
    </w:p>
    <w:p w14:paraId="72FDD189"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Macinnis-Ng CMO and Ralph PJ (2003). Short term response and recovery of Zostera capricorni photosynthesis after herbicide exposure. </w:t>
      </w:r>
      <w:r w:rsidRPr="00AC0CC1">
        <w:rPr>
          <w:i/>
          <w:sz w:val="18"/>
          <w:szCs w:val="18"/>
          <w:lang w:val="en-AU"/>
        </w:rPr>
        <w:t xml:space="preserve">Aquatic Botany </w:t>
      </w:r>
      <w:r w:rsidRPr="00AC0CC1">
        <w:rPr>
          <w:sz w:val="18"/>
          <w:szCs w:val="18"/>
          <w:lang w:val="en-AU"/>
        </w:rPr>
        <w:t>76:1-15.</w:t>
      </w:r>
    </w:p>
    <w:p w14:paraId="0E5C708E"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Magnusson M, Heimann K, Negri A, Ridd M (2006). Pesticide Toxicity to estuarine benthic microflora in tropical Queensland. Oral Presentation, Australian Marine Sciences Association, 9-13 July 2006, Cairns Convention Centre, Queensland, Australia.</w:t>
      </w:r>
    </w:p>
    <w:p w14:paraId="0B56ADC3"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Negri A , Vollhardt C, Humphrey C, Heyward A, Jones R, Eaglesham G and Fabricius K (2005). Effects of the herbicide diuron on the early life history stages of coral. </w:t>
      </w:r>
      <w:r w:rsidRPr="00AC0CC1">
        <w:rPr>
          <w:i/>
          <w:sz w:val="18"/>
          <w:szCs w:val="18"/>
          <w:lang w:val="en-AU"/>
        </w:rPr>
        <w:t xml:space="preserve">Marine Pollution Bulletin </w:t>
      </w:r>
      <w:r w:rsidRPr="00AC0CC1">
        <w:rPr>
          <w:sz w:val="18"/>
          <w:szCs w:val="18"/>
          <w:lang w:val="en-AU"/>
        </w:rPr>
        <w:t>51:370-383.</w:t>
      </w:r>
    </w:p>
    <w:p w14:paraId="1754D1D5"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Owen R, Knap A, Ostrander N and Carbery K (2003). Comparative acute toxicity of herbicides to photosynthesis of Coral Zooxanthellae. </w:t>
      </w:r>
      <w:r w:rsidRPr="00AC0CC1">
        <w:rPr>
          <w:i/>
          <w:sz w:val="18"/>
          <w:szCs w:val="18"/>
          <w:lang w:val="en-AU"/>
        </w:rPr>
        <w:t xml:space="preserve">Bulletin of Environmental Contamination and Toxicology </w:t>
      </w:r>
      <w:r w:rsidRPr="00AC0CC1">
        <w:rPr>
          <w:sz w:val="18"/>
          <w:szCs w:val="18"/>
          <w:lang w:val="en-AU"/>
        </w:rPr>
        <w:t>70:541-548.</w:t>
      </w:r>
    </w:p>
    <w:p w14:paraId="2C029080" w14:textId="664C2E88"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Råberg S, Nystrom M, Eros M and Plantman P (2003). Impact of the herbicides </w:t>
      </w:r>
      <w:r w:rsidR="00FE6E97">
        <w:rPr>
          <w:sz w:val="18"/>
          <w:szCs w:val="18"/>
          <w:lang w:val="en-AU"/>
        </w:rPr>
        <w:t>2,4</w:t>
      </w:r>
      <w:r w:rsidR="00FE6E97">
        <w:rPr>
          <w:sz w:val="18"/>
          <w:szCs w:val="18"/>
          <w:lang w:val="en-AU"/>
        </w:rPr>
        <w:noBreakHyphen/>
        <w:t>D</w:t>
      </w:r>
      <w:r w:rsidRPr="00AC0CC1">
        <w:rPr>
          <w:sz w:val="18"/>
          <w:szCs w:val="18"/>
          <w:lang w:val="en-AU"/>
        </w:rPr>
        <w:t xml:space="preserve"> and diuron on the metabolism of the coral Porites cylindrical. </w:t>
      </w:r>
      <w:r w:rsidRPr="00AC0CC1">
        <w:rPr>
          <w:i/>
          <w:sz w:val="18"/>
          <w:szCs w:val="18"/>
          <w:lang w:val="en-AU"/>
        </w:rPr>
        <w:t xml:space="preserve">Marine Environmental Research </w:t>
      </w:r>
      <w:r w:rsidRPr="00AC0CC1">
        <w:rPr>
          <w:sz w:val="18"/>
          <w:szCs w:val="18"/>
          <w:lang w:val="en-AU"/>
        </w:rPr>
        <w:t>503-514.</w:t>
      </w:r>
    </w:p>
    <w:p w14:paraId="796E5A36"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Schreiber U, Muller JF, Haugg A and Gademann R (2002). New type of dual-channel PAM chlorophyll fluorometer for highly sensitive water toxicity biotests. </w:t>
      </w:r>
      <w:r w:rsidRPr="00AC0CC1">
        <w:rPr>
          <w:i/>
          <w:sz w:val="18"/>
          <w:szCs w:val="18"/>
          <w:lang w:val="en-AU"/>
        </w:rPr>
        <w:t xml:space="preserve">Photosynthesis Research </w:t>
      </w:r>
      <w:r w:rsidRPr="00AC0CC1">
        <w:rPr>
          <w:sz w:val="18"/>
          <w:szCs w:val="18"/>
          <w:lang w:val="en-AU"/>
        </w:rPr>
        <w:t>74:317-330.</w:t>
      </w:r>
    </w:p>
    <w:p w14:paraId="1987B00C" w14:textId="77777777" w:rsidR="002A5B58" w:rsidRPr="00AC0CC1" w:rsidRDefault="002A5B58" w:rsidP="002439C8">
      <w:pPr>
        <w:spacing w:line="276" w:lineRule="auto"/>
        <w:ind w:left="567" w:hanging="567"/>
        <w:jc w:val="left"/>
        <w:rPr>
          <w:sz w:val="18"/>
          <w:szCs w:val="18"/>
          <w:lang w:val="en-AU"/>
        </w:rPr>
      </w:pPr>
      <w:r w:rsidRPr="00AC0CC1">
        <w:rPr>
          <w:sz w:val="18"/>
          <w:szCs w:val="18"/>
          <w:lang w:val="en-AU"/>
        </w:rPr>
        <w:t xml:space="preserve">Seery CR, Gunthorpe L and Ralph PJ (2006). Herbicide impact on Hormosira banksii gametes measured by fluorescence and germination bioassays. </w:t>
      </w:r>
      <w:r w:rsidRPr="00AC0CC1">
        <w:rPr>
          <w:i/>
          <w:sz w:val="18"/>
          <w:szCs w:val="18"/>
          <w:lang w:val="en-AU"/>
        </w:rPr>
        <w:t xml:space="preserve">Environmental pollution </w:t>
      </w:r>
      <w:r w:rsidRPr="00AC0CC1">
        <w:rPr>
          <w:sz w:val="18"/>
          <w:szCs w:val="18"/>
          <w:lang w:val="en-AU"/>
        </w:rPr>
        <w:t>140:43-51.</w:t>
      </w:r>
    </w:p>
    <w:p w14:paraId="05797B87" w14:textId="77777777" w:rsidR="002A5B58" w:rsidRPr="005C069F" w:rsidRDefault="002A5B58" w:rsidP="002439C8">
      <w:pPr>
        <w:spacing w:line="276" w:lineRule="auto"/>
        <w:ind w:left="567" w:hanging="567"/>
        <w:jc w:val="left"/>
        <w:rPr>
          <w:sz w:val="18"/>
          <w:szCs w:val="18"/>
          <w:lang w:val="en-AU"/>
        </w:rPr>
      </w:pPr>
      <w:r w:rsidRPr="00AC0CC1">
        <w:rPr>
          <w:sz w:val="18"/>
          <w:szCs w:val="18"/>
          <w:lang w:val="en-AU"/>
        </w:rPr>
        <w:t xml:space="preserve">Sunsderam RIM, Warne MSJ, Chapman JC, Pablo F, Hawkins J, Rose RM, Patra RW (2000). </w:t>
      </w:r>
      <w:r w:rsidRPr="00AC0CC1">
        <w:rPr>
          <w:i/>
          <w:sz w:val="18"/>
          <w:szCs w:val="18"/>
          <w:lang w:val="en-AU"/>
        </w:rPr>
        <w:t xml:space="preserve">The ANZECC and ARMCANZ water quality guideline database for toxicants. </w:t>
      </w:r>
      <w:r w:rsidRPr="00AC0CC1">
        <w:rPr>
          <w:sz w:val="18"/>
          <w:szCs w:val="18"/>
          <w:lang w:val="en-AU"/>
        </w:rPr>
        <w:t>Supplied as a CD-rom in the ANZECC and ARMCANZ (2000) Australian and New Zealand Guidelines for Fresh and Marine Water Quality.</w:t>
      </w:r>
    </w:p>
    <w:p w14:paraId="2084A23E" w14:textId="77777777" w:rsidR="00A33AB7" w:rsidRDefault="00A33AB7" w:rsidP="002439C8">
      <w:pPr>
        <w:spacing w:after="120" w:line="276" w:lineRule="auto"/>
        <w:jc w:val="left"/>
        <w:rPr>
          <w:lang w:val="en-AU"/>
        </w:rPr>
      </w:pPr>
    </w:p>
    <w:p w14:paraId="1B50E0D8" w14:textId="77777777" w:rsidR="00100FD2" w:rsidRDefault="00100FD2" w:rsidP="002439C8">
      <w:pPr>
        <w:spacing w:line="276" w:lineRule="auto"/>
        <w:jc w:val="left"/>
        <w:rPr>
          <w:rFonts w:cs="Arial"/>
          <w:lang w:val="en-AU"/>
        </w:rPr>
      </w:pPr>
    </w:p>
    <w:p w14:paraId="08CE7A6A" w14:textId="77777777" w:rsidR="006A44D3" w:rsidRDefault="006A44D3" w:rsidP="002439C8">
      <w:pPr>
        <w:pStyle w:val="Caption"/>
        <w:spacing w:after="120"/>
      </w:pPr>
    </w:p>
    <w:p w14:paraId="743AF3F8" w14:textId="77777777" w:rsidR="006A44D3" w:rsidRDefault="006A44D3" w:rsidP="002439C8">
      <w:pPr>
        <w:pStyle w:val="Caption"/>
        <w:spacing w:after="120"/>
        <w:sectPr w:rsidR="006A44D3" w:rsidSect="009E5D22">
          <w:type w:val="continuous"/>
          <w:pgSz w:w="16839" w:h="11907" w:orient="landscape" w:code="9"/>
          <w:pgMar w:top="1440" w:right="1440" w:bottom="1440" w:left="1440" w:header="709" w:footer="709" w:gutter="0"/>
          <w:cols w:space="708"/>
          <w:docGrid w:linePitch="360"/>
        </w:sectPr>
      </w:pPr>
    </w:p>
    <w:p w14:paraId="14AE6B88" w14:textId="77777777" w:rsidR="008A4B4F" w:rsidRPr="00F0737C" w:rsidRDefault="00305667" w:rsidP="002439C8">
      <w:pPr>
        <w:pStyle w:val="Heading7"/>
      </w:pPr>
      <w:bookmarkStart w:id="679" w:name="_Toc527464342"/>
      <w:bookmarkStart w:id="680" w:name="_Toc527464343"/>
      <w:bookmarkStart w:id="681" w:name="_Toc527464344"/>
      <w:bookmarkStart w:id="682" w:name="_Toc527464345"/>
      <w:bookmarkStart w:id="683" w:name="_Toc527464346"/>
      <w:bookmarkStart w:id="684" w:name="_Toc527464347"/>
      <w:bookmarkStart w:id="685" w:name="_Toc527464348"/>
      <w:bookmarkStart w:id="686" w:name="_Toc527464349"/>
      <w:bookmarkStart w:id="687" w:name="_Toc527464350"/>
      <w:bookmarkStart w:id="688" w:name="_Toc527464351"/>
      <w:bookmarkStart w:id="689" w:name="_Toc527464357"/>
      <w:bookmarkStart w:id="690" w:name="_Toc527464467"/>
      <w:bookmarkStart w:id="691" w:name="_Toc527464468"/>
      <w:bookmarkStart w:id="692" w:name="_Toc527464469"/>
      <w:bookmarkStart w:id="693" w:name="_Toc527464470"/>
      <w:bookmarkStart w:id="694" w:name="_Toc527464471"/>
      <w:bookmarkStart w:id="695" w:name="_Toc527464472"/>
      <w:bookmarkStart w:id="696" w:name="_Toc527464473"/>
      <w:bookmarkStart w:id="697" w:name="_Toc527464499"/>
      <w:bookmarkStart w:id="698" w:name="_Toc527464500"/>
      <w:bookmarkStart w:id="699" w:name="_Toc527464501"/>
      <w:bookmarkStart w:id="700" w:name="_Toc527464502"/>
      <w:bookmarkStart w:id="701" w:name="_Toc527464503"/>
      <w:bookmarkStart w:id="702" w:name="_Toc527464504"/>
      <w:bookmarkStart w:id="703" w:name="_Toc461457793"/>
      <w:bookmarkStart w:id="704" w:name="_Ref480727255"/>
      <w:bookmarkStart w:id="705" w:name="_Ref480727261"/>
      <w:bookmarkStart w:id="706" w:name="_Toc461457788"/>
      <w:bookmarkEnd w:id="669"/>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r w:rsidRPr="00305667">
        <w:t>Supplemental information on drivers</w:t>
      </w:r>
      <w:bookmarkEnd w:id="703"/>
      <w:bookmarkEnd w:id="704"/>
      <w:bookmarkEnd w:id="705"/>
    </w:p>
    <w:p w14:paraId="025FEC65" w14:textId="77777777" w:rsidR="00AC47A9" w:rsidRDefault="00AC47A9" w:rsidP="002439C8">
      <w:pPr>
        <w:keepNext/>
        <w:spacing w:line="276" w:lineRule="auto"/>
        <w:jc w:val="left"/>
      </w:pPr>
    </w:p>
    <w:p w14:paraId="34FC83B5" w14:textId="77777777" w:rsidR="008A4B4F" w:rsidRDefault="005F1879" w:rsidP="002439C8">
      <w:pPr>
        <w:keepNext/>
        <w:spacing w:after="120" w:line="276" w:lineRule="auto"/>
        <w:jc w:val="left"/>
      </w:pPr>
      <w:r w:rsidRPr="005F1879">
        <w:rPr>
          <w:noProof/>
          <w:lang w:val="en-AU" w:eastAsia="en-AU" w:bidi="ar-SA"/>
        </w:rPr>
        <w:drawing>
          <wp:inline distT="0" distB="0" distL="0" distR="0" wp14:anchorId="46BE8336" wp14:editId="15BC816A">
            <wp:extent cx="4794885" cy="6782435"/>
            <wp:effectExtent l="0" t="0" r="5715" b="0"/>
            <wp:docPr id="7168" name="Picture 7168" descr="Land Use map of the Reef basin (2009) from (DSITIA, 2012c)." title="Figure 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6"/>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794885" cy="6782435"/>
                    </a:xfrm>
                    <a:prstGeom prst="rect">
                      <a:avLst/>
                    </a:prstGeom>
                    <a:noFill/>
                    <a:ln>
                      <a:noFill/>
                    </a:ln>
                  </pic:spPr>
                </pic:pic>
              </a:graphicData>
            </a:graphic>
          </wp:inline>
        </w:drawing>
      </w:r>
    </w:p>
    <w:p w14:paraId="56558641" w14:textId="77777777" w:rsidR="008A4B4F" w:rsidRDefault="002A20D5" w:rsidP="002439C8">
      <w:pPr>
        <w:pStyle w:val="Caption"/>
        <w:rPr>
          <w:b w:val="0"/>
        </w:rPr>
      </w:pPr>
      <w:bookmarkStart w:id="707" w:name="_Ref480727274"/>
      <w:bookmarkStart w:id="708" w:name="_Toc527468607"/>
      <w:bookmarkStart w:id="709" w:name="_Toc15042776"/>
      <w:r>
        <w:t xml:space="preserve">Figure </w:t>
      </w:r>
      <w:r w:rsidR="00C91BF5">
        <w:fldChar w:fldCharType="begin"/>
      </w:r>
      <w:r w:rsidR="008C60F9">
        <w:instrText xml:space="preserve"> STYLEREF 7 \s </w:instrText>
      </w:r>
      <w:r w:rsidR="00C91BF5">
        <w:fldChar w:fldCharType="separate"/>
      </w:r>
      <w:r w:rsidR="00251B46">
        <w:rPr>
          <w:noProof/>
        </w:rPr>
        <w:t>D</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1</w:t>
      </w:r>
      <w:r w:rsidR="00C91BF5">
        <w:fldChar w:fldCharType="end"/>
      </w:r>
      <w:bookmarkEnd w:id="707"/>
      <w:r w:rsidR="008A4B4F">
        <w:rPr>
          <w:b w:val="0"/>
        </w:rPr>
        <w:t>:</w:t>
      </w:r>
      <w:r w:rsidR="008A4B4F" w:rsidRPr="00836530">
        <w:rPr>
          <w:b w:val="0"/>
        </w:rPr>
        <w:t xml:space="preserve"> Land Use map of the Reef </w:t>
      </w:r>
      <w:r w:rsidR="00BF37D6">
        <w:rPr>
          <w:b w:val="0"/>
        </w:rPr>
        <w:t>basin</w:t>
      </w:r>
      <w:r w:rsidR="008A4B4F" w:rsidRPr="00836530">
        <w:rPr>
          <w:b w:val="0"/>
        </w:rPr>
        <w:t xml:space="preserve"> (20</w:t>
      </w:r>
      <w:r w:rsidR="005F1879">
        <w:rPr>
          <w:b w:val="0"/>
        </w:rPr>
        <w:t>09</w:t>
      </w:r>
      <w:r w:rsidR="008A4B4F" w:rsidRPr="00836530">
        <w:rPr>
          <w:b w:val="0"/>
        </w:rPr>
        <w:t>)</w:t>
      </w:r>
      <w:r w:rsidR="005F1879">
        <w:rPr>
          <w:b w:val="0"/>
        </w:rPr>
        <w:t xml:space="preserve"> </w:t>
      </w:r>
      <w:r w:rsidR="0021439F">
        <w:rPr>
          <w:b w:val="0"/>
        </w:rPr>
        <w:t>from</w:t>
      </w:r>
      <w:r w:rsidR="005F1879">
        <w:rPr>
          <w:b w:val="0"/>
        </w:rPr>
        <w:t xml:space="preserve"> </w:t>
      </w:r>
      <w:r w:rsidR="005F1879">
        <w:rPr>
          <w:b w:val="0"/>
        </w:rPr>
        <w:fldChar w:fldCharType="begin"/>
      </w:r>
      <w:r w:rsidR="005F1879">
        <w:rPr>
          <w:b w:val="0"/>
        </w:rPr>
        <w:instrText xml:space="preserve"> ADDIN EN.CITE &lt;EndNote&gt;&lt;Cite&gt;&lt;Author&gt;DSITIA&lt;/Author&gt;&lt;Year&gt;2012&lt;/Year&gt;&lt;RecNum&gt;58&lt;/RecNum&gt;&lt;DisplayText&gt;(DSITIA, 2012c)&lt;/DisplayText&gt;&lt;record&gt;&lt;rec-number&gt;58&lt;/rec-number&gt;&lt;foreign-keys&gt;&lt;key app="EN" db-id="xtpvpwz0ufxa2me5tv6v2prn2ez5p9atsvtr" timestamp="1539144944"&gt;58&lt;/key&gt;&lt;/foreign-keys&gt;&lt;ref-type name="Report"&gt;27&lt;/ref-type&gt;&lt;contributors&gt;&lt;authors&gt;&lt;author&gt;DSITIA&lt;/author&gt;&lt;/authors&gt;&lt;/contributors&gt;&lt;titles&gt;&lt;title&gt;Land use summary 1999–2009: Great Barrier Reef catchments&lt;/title&gt;&lt;/titles&gt;&lt;dates&gt;&lt;year&gt;2012&lt;/year&gt;&lt;/dates&gt;&lt;pub-location&gt;Brisbane&lt;/pub-location&gt;&lt;publisher&gt;Queensland Department of Science, Information Technology, Innovation and the Arts&lt;/publisher&gt;&lt;urls&gt;&lt;/urls&gt;&lt;/record&gt;&lt;/Cite&gt;&lt;/EndNote&gt;</w:instrText>
      </w:r>
      <w:r w:rsidR="005F1879">
        <w:rPr>
          <w:b w:val="0"/>
        </w:rPr>
        <w:fldChar w:fldCharType="separate"/>
      </w:r>
      <w:r w:rsidR="005F1879">
        <w:rPr>
          <w:b w:val="0"/>
          <w:noProof/>
        </w:rPr>
        <w:t>(DSITIA, 2012c)</w:t>
      </w:r>
      <w:r w:rsidR="005F1879">
        <w:rPr>
          <w:b w:val="0"/>
        </w:rPr>
        <w:fldChar w:fldCharType="end"/>
      </w:r>
      <w:r w:rsidR="008A4B4F" w:rsidRPr="00836530">
        <w:rPr>
          <w:b w:val="0"/>
        </w:rPr>
        <w:t>.</w:t>
      </w:r>
      <w:bookmarkEnd w:id="708"/>
      <w:bookmarkEnd w:id="709"/>
    </w:p>
    <w:p w14:paraId="71161DD9" w14:textId="77777777" w:rsidR="00CC7BC7" w:rsidRPr="00CC7BC7" w:rsidRDefault="00CC7BC7" w:rsidP="00CC7BC7"/>
    <w:p w14:paraId="7A3C8949" w14:textId="77777777" w:rsidR="00CC7BC7" w:rsidRDefault="00CC7BC7">
      <w:pPr>
        <w:ind w:firstLine="357"/>
        <w:jc w:val="left"/>
        <w:sectPr w:rsidR="00CC7BC7" w:rsidSect="009E5D22">
          <w:type w:val="continuous"/>
          <w:pgSz w:w="11907" w:h="16839" w:code="9"/>
          <w:pgMar w:top="1440" w:right="1440" w:bottom="1440" w:left="1440" w:header="709" w:footer="709" w:gutter="0"/>
          <w:cols w:space="708"/>
          <w:docGrid w:linePitch="360"/>
        </w:sectPr>
      </w:pPr>
      <w:bookmarkStart w:id="710" w:name="_Ref480727144"/>
      <w:bookmarkStart w:id="711" w:name="_Ref480727236"/>
      <w:bookmarkStart w:id="712" w:name="_Ref480727353"/>
      <w:bookmarkStart w:id="713" w:name="_Ref480727368"/>
      <w:bookmarkStart w:id="714" w:name="_Ref480727672"/>
      <w:bookmarkStart w:id="715" w:name="_Ref480739067"/>
      <w:bookmarkStart w:id="716" w:name="_Ref480911002"/>
      <w:bookmarkEnd w:id="706"/>
    </w:p>
    <w:p w14:paraId="35A8AF9B" w14:textId="63B1B70C" w:rsidR="0059608E" w:rsidRPr="00B81693" w:rsidRDefault="00097E35" w:rsidP="002439C8">
      <w:pPr>
        <w:pStyle w:val="Heading7"/>
        <w:spacing w:after="240"/>
        <w:ind w:left="425" w:hanging="425"/>
      </w:pPr>
      <w:r>
        <w:t>Supplemental</w:t>
      </w:r>
      <w:r w:rsidRPr="00097E35">
        <w:t xml:space="preserve"> information on pressures</w:t>
      </w:r>
      <w:bookmarkEnd w:id="710"/>
      <w:bookmarkEnd w:id="711"/>
      <w:bookmarkEnd w:id="712"/>
      <w:bookmarkEnd w:id="713"/>
      <w:bookmarkEnd w:id="714"/>
      <w:bookmarkEnd w:id="715"/>
      <w:bookmarkEnd w:id="716"/>
    </w:p>
    <w:p w14:paraId="23658F06" w14:textId="77777777" w:rsidR="00CE1BA0" w:rsidRPr="00CE1BA0" w:rsidRDefault="00CE1BA0" w:rsidP="002439C8">
      <w:pPr>
        <w:jc w:val="left"/>
        <w:rPr>
          <w:sz w:val="16"/>
          <w:szCs w:val="16"/>
        </w:rPr>
      </w:pPr>
      <w:bookmarkStart w:id="717" w:name="_Ref480727661"/>
    </w:p>
    <w:p w14:paraId="40CE6C04" w14:textId="77777777" w:rsidR="00954FCA" w:rsidRPr="00CB093C" w:rsidRDefault="002A20D5" w:rsidP="00954FCA">
      <w:pPr>
        <w:pStyle w:val="Caption"/>
        <w:rPr>
          <w:rFonts w:cs="Arial"/>
          <w:i/>
          <w:vanish/>
          <w:color w:val="000000"/>
          <w:specVanish/>
        </w:rPr>
      </w:pPr>
      <w:bookmarkStart w:id="718" w:name="_Toc15283230"/>
      <w:bookmarkStart w:id="719" w:name="_Toc527468633"/>
      <w:r>
        <w:t xml:space="preserve">Table </w:t>
      </w:r>
      <w:r w:rsidR="00C91BF5">
        <w:fldChar w:fldCharType="begin"/>
      </w:r>
      <w:r w:rsidR="008C60F9">
        <w:instrText xml:space="preserve"> STYLEREF 7 \s </w:instrText>
      </w:r>
      <w:r w:rsidR="00C91BF5">
        <w:fldChar w:fldCharType="separate"/>
      </w:r>
      <w:r w:rsidR="00251B46">
        <w:rPr>
          <w:noProof/>
        </w:rPr>
        <w:t>E</w:t>
      </w:r>
      <w:r w:rsidR="00C91BF5">
        <w:fldChar w:fldCharType="end"/>
      </w:r>
      <w:r w:rsidR="008C60F9">
        <w:noBreakHyphen/>
      </w:r>
      <w:r w:rsidR="00C91BF5">
        <w:fldChar w:fldCharType="begin"/>
      </w:r>
      <w:r w:rsidR="008C60F9">
        <w:instrText xml:space="preserve"> SEQ Table_Apx \* ARABIC \s 7 </w:instrText>
      </w:r>
      <w:r w:rsidR="00C91BF5">
        <w:fldChar w:fldCharType="separate"/>
      </w:r>
      <w:r w:rsidR="00251B46">
        <w:rPr>
          <w:noProof/>
        </w:rPr>
        <w:t>1</w:t>
      </w:r>
      <w:r w:rsidR="00C91BF5">
        <w:fldChar w:fldCharType="end"/>
      </w:r>
      <w:bookmarkEnd w:id="717"/>
      <w:r>
        <w:t xml:space="preserve">: </w:t>
      </w:r>
      <w:r w:rsidR="00732158" w:rsidRPr="00732158">
        <w:rPr>
          <w:rStyle w:val="FigureChar"/>
          <w:rFonts w:eastAsia="SimSun"/>
          <w:b w:val="0"/>
        </w:rPr>
        <w:t>Wet season discharge (ML; million litres) of the main GBR rivers</w:t>
      </w:r>
      <w:bookmarkEnd w:id="718"/>
    </w:p>
    <w:p w14:paraId="0A2C9820" w14:textId="77777777" w:rsidR="00732158" w:rsidRDefault="00732158" w:rsidP="002439C8">
      <w:pPr>
        <w:pStyle w:val="Caption"/>
        <w:spacing w:after="120"/>
        <w:rPr>
          <w:rStyle w:val="IntenseReference"/>
          <w:rFonts w:eastAsiaTheme="majorEastAsia"/>
          <w:b/>
        </w:rPr>
      </w:pPr>
      <w:r w:rsidRPr="00732158">
        <w:rPr>
          <w:rStyle w:val="FigureChar"/>
          <w:rFonts w:eastAsia="SimSun"/>
          <w:b w:val="0"/>
        </w:rPr>
        <w:t xml:space="preserve"> (1 October 201</w:t>
      </w:r>
      <w:r>
        <w:rPr>
          <w:rStyle w:val="FigureChar"/>
          <w:rFonts w:eastAsia="SimSun"/>
          <w:b w:val="0"/>
        </w:rPr>
        <w:t>0</w:t>
      </w:r>
      <w:r w:rsidRPr="00732158">
        <w:rPr>
          <w:rStyle w:val="FigureChar"/>
          <w:rFonts w:eastAsia="SimSun"/>
          <w:b w:val="0"/>
        </w:rPr>
        <w:t xml:space="preserve"> to 30 September </w:t>
      </w:r>
      <w:r w:rsidR="00DF7B57" w:rsidRPr="00732158">
        <w:rPr>
          <w:rStyle w:val="FigureChar"/>
          <w:rFonts w:eastAsia="SimSun"/>
          <w:b w:val="0"/>
        </w:rPr>
        <w:t>201</w:t>
      </w:r>
      <w:r w:rsidR="00DF7B57">
        <w:rPr>
          <w:rStyle w:val="FigureChar"/>
          <w:rFonts w:eastAsia="SimSun"/>
          <w:b w:val="0"/>
        </w:rPr>
        <w:t>8</w:t>
      </w:r>
      <w:r w:rsidRPr="00732158">
        <w:rPr>
          <w:rStyle w:val="FigureChar"/>
          <w:rFonts w:eastAsia="SimSun"/>
          <w:b w:val="0"/>
        </w:rPr>
        <w:t xml:space="preserve">, inclusive) compared to the previous </w:t>
      </w:r>
      <w:r w:rsidR="00DF7B57">
        <w:rPr>
          <w:rStyle w:val="FigureChar"/>
          <w:rFonts w:eastAsia="SimSun"/>
          <w:b w:val="0"/>
        </w:rPr>
        <w:t>five</w:t>
      </w:r>
      <w:r w:rsidR="00DF7B57" w:rsidRPr="00732158">
        <w:rPr>
          <w:rStyle w:val="FigureChar"/>
          <w:rFonts w:eastAsia="SimSun"/>
          <w:b w:val="0"/>
        </w:rPr>
        <w:t xml:space="preserve"> </w:t>
      </w:r>
      <w:r w:rsidRPr="00732158">
        <w:rPr>
          <w:rStyle w:val="FigureChar"/>
          <w:rFonts w:eastAsia="SimSun"/>
          <w:b w:val="0"/>
        </w:rPr>
        <w:t>wet seasons and long-term (LT) median discharge (1986</w:t>
      </w:r>
      <w:r w:rsidRPr="00732158">
        <w:rPr>
          <w:b w:val="0"/>
        </w:rPr>
        <w:t>–</w:t>
      </w:r>
      <w:r w:rsidR="00DF7B57">
        <w:rPr>
          <w:rStyle w:val="FigureChar"/>
          <w:rFonts w:eastAsia="SimSun"/>
          <w:b w:val="0"/>
        </w:rPr>
        <w:t>2018</w:t>
      </w:r>
      <w:r w:rsidRPr="00732158">
        <w:rPr>
          <w:rStyle w:val="FigureChar"/>
          <w:rFonts w:eastAsia="SimSun"/>
          <w:b w:val="0"/>
        </w:rPr>
        <w:t>).</w:t>
      </w:r>
      <w:r w:rsidRPr="00732158">
        <w:rPr>
          <w:rStyle w:val="FigureChar"/>
          <w:rFonts w:eastAsiaTheme="majorEastAsia"/>
          <w:b w:val="0"/>
        </w:rPr>
        <w:t xml:space="preserve"> Colours indicate levels above the long-term median: yellow for 1.5 to 2 times, orange for 2 to 3 times and red greater than 3 times. Data source: DNRM</w:t>
      </w:r>
      <w:r>
        <w:rPr>
          <w:rStyle w:val="FigureChar"/>
          <w:rFonts w:eastAsiaTheme="majorEastAsia"/>
          <w:b w:val="0"/>
        </w:rPr>
        <w:t xml:space="preserve"> </w:t>
      </w:r>
      <w:r w:rsidRPr="00732158">
        <w:rPr>
          <w:b w:val="0"/>
          <w:sz w:val="16"/>
          <w:lang w:val="en-AU"/>
        </w:rPr>
        <w:t>(</w:t>
      </w:r>
      <w:hyperlink r:id="rId61" w:history="1">
        <w:r w:rsidRPr="00732158">
          <w:rPr>
            <w:rStyle w:val="Hyperlink"/>
            <w:b w:val="0"/>
            <w:sz w:val="16"/>
            <w:lang w:val="en-AU"/>
          </w:rPr>
          <w:t>http://watermonitoring.dnrm.qld.gov.au/host.htm</w:t>
        </w:r>
      </w:hyperlink>
      <w:r w:rsidRPr="00732158">
        <w:rPr>
          <w:b w:val="0"/>
          <w:sz w:val="16"/>
          <w:lang w:val="en-AU"/>
        </w:rPr>
        <w:t>)</w:t>
      </w:r>
      <w:r w:rsidRPr="00732158">
        <w:rPr>
          <w:rStyle w:val="FigureChar"/>
          <w:rFonts w:eastAsiaTheme="majorEastAsia"/>
          <w:b w:val="0"/>
        </w:rPr>
        <w:t xml:space="preserve">. Table </w:t>
      </w:r>
      <w:r w:rsidR="00DF7B57">
        <w:rPr>
          <w:rStyle w:val="FigureChar"/>
          <w:rFonts w:eastAsiaTheme="majorEastAsia"/>
          <w:b w:val="0"/>
        </w:rPr>
        <w:t xml:space="preserve">provided by Steve Lewis, JCU. </w:t>
      </w:r>
      <w:r w:rsidR="00DF7B57" w:rsidRPr="00732158">
        <w:rPr>
          <w:rStyle w:val="FigureChar"/>
          <w:rFonts w:eastAsiaTheme="majorEastAsia"/>
          <w:b w:val="0"/>
        </w:rPr>
        <w:t xml:space="preserve"> </w:t>
      </w:r>
      <w:r w:rsidRPr="00732158">
        <w:rPr>
          <w:rStyle w:val="FigureChar"/>
          <w:rFonts w:eastAsiaTheme="majorEastAsia"/>
          <w:b w:val="0"/>
        </w:rPr>
        <w:t xml:space="preserve"> (– = data not available)</w:t>
      </w:r>
      <w:r w:rsidRPr="00732158">
        <w:rPr>
          <w:rStyle w:val="IntenseReference"/>
          <w:rFonts w:eastAsiaTheme="majorEastAsia"/>
          <w:b/>
        </w:rPr>
        <w:t>.</w:t>
      </w:r>
      <w:bookmarkEnd w:id="719"/>
      <w:r w:rsidRPr="00732158">
        <w:rPr>
          <w:rStyle w:val="IntenseReference"/>
          <w:rFonts w:eastAsiaTheme="majorEastAsia"/>
          <w:b/>
        </w:rPr>
        <w:t xml:space="preserve"> </w:t>
      </w:r>
    </w:p>
    <w:tbl>
      <w:tblPr>
        <w:tblW w:w="5000" w:type="pct"/>
        <w:tblLook w:val="04A0" w:firstRow="1" w:lastRow="0" w:firstColumn="1" w:lastColumn="0" w:noHBand="0" w:noVBand="1"/>
      </w:tblPr>
      <w:tblGrid>
        <w:gridCol w:w="2260"/>
        <w:gridCol w:w="1243"/>
        <w:gridCol w:w="1307"/>
        <w:gridCol w:w="1307"/>
        <w:gridCol w:w="1307"/>
        <w:gridCol w:w="1307"/>
        <w:gridCol w:w="1307"/>
        <w:gridCol w:w="1307"/>
        <w:gridCol w:w="1307"/>
        <w:gridCol w:w="1307"/>
      </w:tblGrid>
      <w:tr w:rsidR="00DF7B57" w:rsidRPr="00017BC5" w14:paraId="33ED07C1" w14:textId="77777777" w:rsidTr="00503D38">
        <w:trPr>
          <w:trHeight w:val="450"/>
        </w:trPr>
        <w:tc>
          <w:tcPr>
            <w:tcW w:w="809" w:type="pct"/>
            <w:tcBorders>
              <w:top w:val="single" w:sz="4" w:space="0" w:color="auto"/>
              <w:left w:val="nil"/>
              <w:bottom w:val="double" w:sz="6" w:space="0" w:color="auto"/>
              <w:right w:val="nil"/>
            </w:tcBorders>
            <w:shd w:val="clear" w:color="auto" w:fill="auto"/>
            <w:noWrap/>
            <w:vAlign w:val="center"/>
            <w:hideMark/>
          </w:tcPr>
          <w:p w14:paraId="6BD4A6EA" w14:textId="77777777" w:rsidR="00DF7B57" w:rsidRPr="00503D38" w:rsidRDefault="00DF7B57" w:rsidP="002439C8">
            <w:pPr>
              <w:jc w:val="left"/>
              <w:rPr>
                <w:rFonts w:eastAsia="Times New Roman" w:cs="Arial"/>
                <w:b/>
                <w:bCs/>
                <w:sz w:val="16"/>
                <w:szCs w:val="20"/>
                <w:lang w:val="en-AU" w:eastAsia="en-AU" w:bidi="ar-SA"/>
              </w:rPr>
            </w:pPr>
            <w:r w:rsidRPr="00503D38">
              <w:rPr>
                <w:rFonts w:eastAsia="Times New Roman" w:cs="Arial"/>
                <w:b/>
                <w:bCs/>
                <w:sz w:val="16"/>
                <w:szCs w:val="20"/>
                <w:lang w:val="en-AU" w:eastAsia="en-AU" w:bidi="ar-SA"/>
              </w:rPr>
              <w:t>Basin</w:t>
            </w:r>
          </w:p>
        </w:tc>
        <w:tc>
          <w:tcPr>
            <w:tcW w:w="445" w:type="pct"/>
            <w:tcBorders>
              <w:top w:val="single" w:sz="4" w:space="0" w:color="auto"/>
              <w:left w:val="nil"/>
              <w:bottom w:val="double" w:sz="6" w:space="0" w:color="auto"/>
              <w:right w:val="nil"/>
            </w:tcBorders>
            <w:shd w:val="clear" w:color="auto" w:fill="auto"/>
            <w:noWrap/>
            <w:vAlign w:val="center"/>
            <w:hideMark/>
          </w:tcPr>
          <w:p w14:paraId="58144E0D" w14:textId="77777777" w:rsidR="00DF7B57" w:rsidRPr="00503D38" w:rsidRDefault="00DF7B57" w:rsidP="002439C8">
            <w:pPr>
              <w:jc w:val="left"/>
              <w:rPr>
                <w:rFonts w:eastAsia="Times New Roman" w:cs="Arial"/>
                <w:b/>
                <w:bCs/>
                <w:sz w:val="16"/>
                <w:szCs w:val="20"/>
                <w:lang w:val="en-AU" w:eastAsia="en-AU" w:bidi="ar-SA"/>
              </w:rPr>
            </w:pPr>
            <w:r w:rsidRPr="00503D38">
              <w:rPr>
                <w:rFonts w:eastAsia="Times New Roman" w:cs="Arial"/>
                <w:b/>
                <w:bCs/>
                <w:sz w:val="16"/>
                <w:szCs w:val="20"/>
                <w:lang w:val="en-AU" w:eastAsia="en-AU" w:bidi="ar-SA"/>
              </w:rPr>
              <w:t>LT median</w:t>
            </w:r>
          </w:p>
        </w:tc>
        <w:tc>
          <w:tcPr>
            <w:tcW w:w="468" w:type="pct"/>
            <w:tcBorders>
              <w:top w:val="single" w:sz="4" w:space="0" w:color="auto"/>
              <w:left w:val="nil"/>
              <w:bottom w:val="double" w:sz="6" w:space="0" w:color="auto"/>
              <w:right w:val="nil"/>
            </w:tcBorders>
            <w:shd w:val="clear" w:color="auto" w:fill="auto"/>
            <w:noWrap/>
            <w:vAlign w:val="center"/>
            <w:hideMark/>
          </w:tcPr>
          <w:p w14:paraId="1E032A0F" w14:textId="77777777" w:rsidR="00DF7B57" w:rsidRPr="00503D38" w:rsidRDefault="00DF7B57" w:rsidP="002439C8">
            <w:pPr>
              <w:jc w:val="left"/>
              <w:rPr>
                <w:rFonts w:eastAsia="Times New Roman" w:cs="Arial"/>
                <w:b/>
                <w:bCs/>
                <w:sz w:val="16"/>
                <w:szCs w:val="20"/>
                <w:lang w:val="en-AU" w:eastAsia="en-AU" w:bidi="ar-SA"/>
              </w:rPr>
            </w:pPr>
            <w:r w:rsidRPr="00503D38">
              <w:rPr>
                <w:rFonts w:eastAsia="Times New Roman" w:cs="Arial"/>
                <w:b/>
                <w:bCs/>
                <w:sz w:val="16"/>
                <w:szCs w:val="20"/>
                <w:lang w:val="en-AU" w:eastAsia="en-AU" w:bidi="ar-SA"/>
              </w:rPr>
              <w:t>2010 - 2011</w:t>
            </w:r>
          </w:p>
        </w:tc>
        <w:tc>
          <w:tcPr>
            <w:tcW w:w="468" w:type="pct"/>
            <w:tcBorders>
              <w:top w:val="single" w:sz="4" w:space="0" w:color="auto"/>
              <w:left w:val="nil"/>
              <w:bottom w:val="double" w:sz="6" w:space="0" w:color="auto"/>
              <w:right w:val="nil"/>
            </w:tcBorders>
            <w:shd w:val="clear" w:color="auto" w:fill="auto"/>
            <w:noWrap/>
            <w:vAlign w:val="center"/>
            <w:hideMark/>
          </w:tcPr>
          <w:p w14:paraId="7A71330C" w14:textId="77777777" w:rsidR="00DF7B57" w:rsidRPr="00503D38" w:rsidRDefault="00DF7B57" w:rsidP="002439C8">
            <w:pPr>
              <w:jc w:val="left"/>
              <w:rPr>
                <w:rFonts w:eastAsia="Times New Roman" w:cs="Arial"/>
                <w:b/>
                <w:bCs/>
                <w:sz w:val="16"/>
                <w:szCs w:val="20"/>
                <w:lang w:val="en-AU" w:eastAsia="en-AU" w:bidi="ar-SA"/>
              </w:rPr>
            </w:pPr>
            <w:r w:rsidRPr="00503D38">
              <w:rPr>
                <w:rFonts w:eastAsia="Times New Roman" w:cs="Arial"/>
                <w:b/>
                <w:bCs/>
                <w:sz w:val="16"/>
                <w:szCs w:val="20"/>
                <w:lang w:val="en-AU" w:eastAsia="en-AU" w:bidi="ar-SA"/>
              </w:rPr>
              <w:t>2011 - 2012</w:t>
            </w:r>
          </w:p>
        </w:tc>
        <w:tc>
          <w:tcPr>
            <w:tcW w:w="468" w:type="pct"/>
            <w:tcBorders>
              <w:top w:val="single" w:sz="4" w:space="0" w:color="auto"/>
              <w:left w:val="nil"/>
              <w:bottom w:val="double" w:sz="6" w:space="0" w:color="auto"/>
              <w:right w:val="nil"/>
            </w:tcBorders>
            <w:shd w:val="clear" w:color="auto" w:fill="auto"/>
            <w:noWrap/>
            <w:vAlign w:val="center"/>
            <w:hideMark/>
          </w:tcPr>
          <w:p w14:paraId="63C05D00" w14:textId="77777777" w:rsidR="00DF7B57" w:rsidRPr="00503D38" w:rsidRDefault="00DF7B57" w:rsidP="002439C8">
            <w:pPr>
              <w:jc w:val="left"/>
              <w:rPr>
                <w:rFonts w:eastAsia="Times New Roman" w:cs="Arial"/>
                <w:b/>
                <w:bCs/>
                <w:sz w:val="16"/>
                <w:szCs w:val="20"/>
                <w:lang w:val="en-AU" w:eastAsia="en-AU" w:bidi="ar-SA"/>
              </w:rPr>
            </w:pPr>
            <w:r w:rsidRPr="00503D38">
              <w:rPr>
                <w:rFonts w:eastAsia="Times New Roman" w:cs="Arial"/>
                <w:b/>
                <w:bCs/>
                <w:sz w:val="16"/>
                <w:szCs w:val="20"/>
                <w:lang w:val="en-AU" w:eastAsia="en-AU" w:bidi="ar-SA"/>
              </w:rPr>
              <w:t>2012 - 2013</w:t>
            </w:r>
          </w:p>
        </w:tc>
        <w:tc>
          <w:tcPr>
            <w:tcW w:w="468" w:type="pct"/>
            <w:tcBorders>
              <w:top w:val="single" w:sz="4" w:space="0" w:color="auto"/>
              <w:left w:val="nil"/>
              <w:bottom w:val="double" w:sz="6" w:space="0" w:color="auto"/>
              <w:right w:val="nil"/>
            </w:tcBorders>
            <w:shd w:val="clear" w:color="auto" w:fill="auto"/>
            <w:noWrap/>
            <w:vAlign w:val="center"/>
            <w:hideMark/>
          </w:tcPr>
          <w:p w14:paraId="65BCBCC3" w14:textId="77777777" w:rsidR="00DF7B57" w:rsidRPr="00503D38" w:rsidRDefault="00DF7B57" w:rsidP="002439C8">
            <w:pPr>
              <w:jc w:val="left"/>
              <w:rPr>
                <w:rFonts w:eastAsia="Times New Roman" w:cs="Arial"/>
                <w:b/>
                <w:bCs/>
                <w:sz w:val="16"/>
                <w:szCs w:val="20"/>
                <w:lang w:val="en-AU" w:eastAsia="en-AU" w:bidi="ar-SA"/>
              </w:rPr>
            </w:pPr>
            <w:r w:rsidRPr="00503D38">
              <w:rPr>
                <w:rFonts w:eastAsia="Times New Roman" w:cs="Arial"/>
                <w:b/>
                <w:bCs/>
                <w:sz w:val="16"/>
                <w:szCs w:val="20"/>
                <w:lang w:val="en-AU" w:eastAsia="en-AU" w:bidi="ar-SA"/>
              </w:rPr>
              <w:t>2013 - 2014</w:t>
            </w:r>
          </w:p>
        </w:tc>
        <w:tc>
          <w:tcPr>
            <w:tcW w:w="468" w:type="pct"/>
            <w:tcBorders>
              <w:top w:val="single" w:sz="4" w:space="0" w:color="auto"/>
              <w:left w:val="nil"/>
              <w:bottom w:val="double" w:sz="6" w:space="0" w:color="auto"/>
              <w:right w:val="nil"/>
            </w:tcBorders>
            <w:shd w:val="clear" w:color="auto" w:fill="auto"/>
            <w:noWrap/>
            <w:vAlign w:val="center"/>
            <w:hideMark/>
          </w:tcPr>
          <w:p w14:paraId="14A27709" w14:textId="77777777" w:rsidR="00DF7B57" w:rsidRPr="00503D38" w:rsidRDefault="00DF7B57" w:rsidP="002439C8">
            <w:pPr>
              <w:jc w:val="left"/>
              <w:rPr>
                <w:rFonts w:eastAsia="Times New Roman" w:cs="Arial"/>
                <w:b/>
                <w:bCs/>
                <w:sz w:val="16"/>
                <w:szCs w:val="20"/>
                <w:lang w:val="en-AU" w:eastAsia="en-AU" w:bidi="ar-SA"/>
              </w:rPr>
            </w:pPr>
            <w:r w:rsidRPr="00503D38">
              <w:rPr>
                <w:rFonts w:eastAsia="Times New Roman" w:cs="Arial"/>
                <w:b/>
                <w:bCs/>
                <w:sz w:val="16"/>
                <w:szCs w:val="20"/>
                <w:lang w:val="en-AU" w:eastAsia="en-AU" w:bidi="ar-SA"/>
              </w:rPr>
              <w:t>2014 - 2015</w:t>
            </w:r>
          </w:p>
        </w:tc>
        <w:tc>
          <w:tcPr>
            <w:tcW w:w="468" w:type="pct"/>
            <w:tcBorders>
              <w:top w:val="single" w:sz="4" w:space="0" w:color="auto"/>
              <w:left w:val="nil"/>
              <w:bottom w:val="double" w:sz="6" w:space="0" w:color="auto"/>
              <w:right w:val="nil"/>
            </w:tcBorders>
            <w:shd w:val="clear" w:color="auto" w:fill="auto"/>
            <w:noWrap/>
            <w:vAlign w:val="center"/>
            <w:hideMark/>
          </w:tcPr>
          <w:p w14:paraId="37BD40DA" w14:textId="77777777" w:rsidR="00DF7B57" w:rsidRPr="00503D38" w:rsidRDefault="00DF7B57" w:rsidP="002439C8">
            <w:pPr>
              <w:jc w:val="left"/>
              <w:rPr>
                <w:rFonts w:eastAsia="Times New Roman" w:cs="Arial"/>
                <w:b/>
                <w:bCs/>
                <w:sz w:val="16"/>
                <w:szCs w:val="20"/>
                <w:lang w:val="en-AU" w:eastAsia="en-AU" w:bidi="ar-SA"/>
              </w:rPr>
            </w:pPr>
            <w:r w:rsidRPr="00503D38">
              <w:rPr>
                <w:rFonts w:eastAsia="Times New Roman" w:cs="Arial"/>
                <w:b/>
                <w:bCs/>
                <w:sz w:val="16"/>
                <w:szCs w:val="20"/>
                <w:lang w:val="en-AU" w:eastAsia="en-AU" w:bidi="ar-SA"/>
              </w:rPr>
              <w:t>2015 - 2016</w:t>
            </w:r>
          </w:p>
        </w:tc>
        <w:tc>
          <w:tcPr>
            <w:tcW w:w="468" w:type="pct"/>
            <w:tcBorders>
              <w:top w:val="single" w:sz="4" w:space="0" w:color="auto"/>
              <w:left w:val="nil"/>
              <w:bottom w:val="double" w:sz="6" w:space="0" w:color="auto"/>
              <w:right w:val="nil"/>
            </w:tcBorders>
            <w:shd w:val="clear" w:color="auto" w:fill="auto"/>
            <w:noWrap/>
            <w:vAlign w:val="center"/>
            <w:hideMark/>
          </w:tcPr>
          <w:p w14:paraId="726DC7F4" w14:textId="77777777" w:rsidR="00DF7B57" w:rsidRPr="00503D38" w:rsidRDefault="00DF7B57" w:rsidP="002439C8">
            <w:pPr>
              <w:jc w:val="left"/>
              <w:rPr>
                <w:rFonts w:eastAsia="Times New Roman" w:cs="Arial"/>
                <w:b/>
                <w:bCs/>
                <w:sz w:val="16"/>
                <w:szCs w:val="20"/>
                <w:lang w:val="en-AU" w:eastAsia="en-AU" w:bidi="ar-SA"/>
              </w:rPr>
            </w:pPr>
            <w:r w:rsidRPr="00503D38">
              <w:rPr>
                <w:rFonts w:eastAsia="Times New Roman" w:cs="Arial"/>
                <w:b/>
                <w:bCs/>
                <w:sz w:val="16"/>
                <w:szCs w:val="20"/>
                <w:lang w:val="en-AU" w:eastAsia="en-AU" w:bidi="ar-SA"/>
              </w:rPr>
              <w:t>2016 - 2017</w:t>
            </w:r>
          </w:p>
        </w:tc>
        <w:tc>
          <w:tcPr>
            <w:tcW w:w="468" w:type="pct"/>
            <w:tcBorders>
              <w:top w:val="single" w:sz="4" w:space="0" w:color="auto"/>
              <w:left w:val="nil"/>
              <w:bottom w:val="double" w:sz="6" w:space="0" w:color="auto"/>
              <w:right w:val="nil"/>
            </w:tcBorders>
            <w:shd w:val="clear" w:color="auto" w:fill="auto"/>
            <w:noWrap/>
            <w:vAlign w:val="center"/>
            <w:hideMark/>
          </w:tcPr>
          <w:p w14:paraId="789CD6E5" w14:textId="77777777" w:rsidR="00DF7B57" w:rsidRPr="00503D38" w:rsidRDefault="00DF7B57" w:rsidP="002439C8">
            <w:pPr>
              <w:jc w:val="left"/>
              <w:rPr>
                <w:rFonts w:eastAsia="Times New Roman" w:cs="Arial"/>
                <w:b/>
                <w:bCs/>
                <w:sz w:val="16"/>
                <w:szCs w:val="20"/>
                <w:lang w:val="en-AU" w:eastAsia="en-AU" w:bidi="ar-SA"/>
              </w:rPr>
            </w:pPr>
            <w:r w:rsidRPr="00503D38">
              <w:rPr>
                <w:rFonts w:eastAsia="Times New Roman" w:cs="Arial"/>
                <w:b/>
                <w:bCs/>
                <w:sz w:val="16"/>
                <w:szCs w:val="20"/>
                <w:lang w:val="en-AU" w:eastAsia="en-AU" w:bidi="ar-SA"/>
              </w:rPr>
              <w:t>2017 - 2018</w:t>
            </w:r>
          </w:p>
        </w:tc>
      </w:tr>
      <w:tr w:rsidR="00DF7B57" w:rsidRPr="00017BC5" w14:paraId="6111AE97" w14:textId="77777777" w:rsidTr="00503D38">
        <w:trPr>
          <w:trHeight w:val="270"/>
        </w:trPr>
        <w:tc>
          <w:tcPr>
            <w:tcW w:w="809" w:type="pct"/>
            <w:tcBorders>
              <w:top w:val="nil"/>
              <w:left w:val="nil"/>
              <w:bottom w:val="nil"/>
              <w:right w:val="nil"/>
            </w:tcBorders>
            <w:shd w:val="clear" w:color="auto" w:fill="auto"/>
            <w:noWrap/>
            <w:vAlign w:val="center"/>
            <w:hideMark/>
          </w:tcPr>
          <w:p w14:paraId="274F34A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Jacky Jacky Creek</w:t>
            </w:r>
          </w:p>
        </w:tc>
        <w:tc>
          <w:tcPr>
            <w:tcW w:w="445" w:type="pct"/>
            <w:tcBorders>
              <w:top w:val="nil"/>
              <w:left w:val="nil"/>
              <w:bottom w:val="nil"/>
              <w:right w:val="nil"/>
            </w:tcBorders>
            <w:shd w:val="clear" w:color="auto" w:fill="auto"/>
            <w:noWrap/>
            <w:vAlign w:val="center"/>
            <w:hideMark/>
          </w:tcPr>
          <w:p w14:paraId="24A2E33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2,149,681</w:t>
            </w:r>
          </w:p>
        </w:tc>
        <w:tc>
          <w:tcPr>
            <w:tcW w:w="468" w:type="pct"/>
            <w:tcBorders>
              <w:top w:val="nil"/>
              <w:left w:val="nil"/>
              <w:bottom w:val="nil"/>
              <w:right w:val="nil"/>
            </w:tcBorders>
            <w:shd w:val="clear" w:color="000000" w:fill="FF9900"/>
            <w:noWrap/>
            <w:vAlign w:val="center"/>
            <w:hideMark/>
          </w:tcPr>
          <w:p w14:paraId="17F2E5C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4,735,197</w:t>
            </w:r>
          </w:p>
        </w:tc>
        <w:tc>
          <w:tcPr>
            <w:tcW w:w="468" w:type="pct"/>
            <w:tcBorders>
              <w:top w:val="nil"/>
              <w:left w:val="nil"/>
              <w:bottom w:val="nil"/>
              <w:right w:val="nil"/>
            </w:tcBorders>
            <w:shd w:val="clear" w:color="auto" w:fill="auto"/>
            <w:noWrap/>
            <w:vAlign w:val="center"/>
            <w:hideMark/>
          </w:tcPr>
          <w:p w14:paraId="5C6603B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1,820,422</w:t>
            </w:r>
          </w:p>
        </w:tc>
        <w:tc>
          <w:tcPr>
            <w:tcW w:w="468" w:type="pct"/>
            <w:tcBorders>
              <w:top w:val="nil"/>
              <w:left w:val="nil"/>
              <w:bottom w:val="nil"/>
              <w:right w:val="nil"/>
            </w:tcBorders>
            <w:shd w:val="clear" w:color="auto" w:fill="auto"/>
            <w:noWrap/>
            <w:vAlign w:val="center"/>
            <w:hideMark/>
          </w:tcPr>
          <w:p w14:paraId="50A9906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1,986,825</w:t>
            </w:r>
          </w:p>
        </w:tc>
        <w:tc>
          <w:tcPr>
            <w:tcW w:w="468" w:type="pct"/>
            <w:tcBorders>
              <w:top w:val="nil"/>
              <w:left w:val="nil"/>
              <w:bottom w:val="nil"/>
              <w:right w:val="nil"/>
            </w:tcBorders>
            <w:shd w:val="clear" w:color="000000" w:fill="FFFF00"/>
            <w:noWrap/>
            <w:vAlign w:val="center"/>
            <w:hideMark/>
          </w:tcPr>
          <w:p w14:paraId="14164C4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3,790,832</w:t>
            </w:r>
          </w:p>
        </w:tc>
        <w:tc>
          <w:tcPr>
            <w:tcW w:w="468" w:type="pct"/>
            <w:tcBorders>
              <w:top w:val="nil"/>
              <w:left w:val="nil"/>
              <w:bottom w:val="nil"/>
              <w:right w:val="nil"/>
            </w:tcBorders>
            <w:shd w:val="clear" w:color="auto" w:fill="auto"/>
            <w:noWrap/>
            <w:vAlign w:val="center"/>
            <w:hideMark/>
          </w:tcPr>
          <w:p w14:paraId="367875B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1,498,138</w:t>
            </w:r>
          </w:p>
        </w:tc>
        <w:tc>
          <w:tcPr>
            <w:tcW w:w="468" w:type="pct"/>
            <w:tcBorders>
              <w:top w:val="nil"/>
              <w:left w:val="nil"/>
              <w:bottom w:val="nil"/>
              <w:right w:val="nil"/>
            </w:tcBorders>
            <w:shd w:val="clear" w:color="auto" w:fill="auto"/>
            <w:noWrap/>
            <w:vAlign w:val="center"/>
            <w:hideMark/>
          </w:tcPr>
          <w:p w14:paraId="4647C87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630,787</w:t>
            </w:r>
          </w:p>
        </w:tc>
        <w:tc>
          <w:tcPr>
            <w:tcW w:w="468" w:type="pct"/>
            <w:tcBorders>
              <w:top w:val="nil"/>
              <w:left w:val="nil"/>
              <w:bottom w:val="nil"/>
              <w:right w:val="nil"/>
            </w:tcBorders>
            <w:shd w:val="clear" w:color="auto" w:fill="auto"/>
            <w:noWrap/>
            <w:vAlign w:val="bottom"/>
            <w:hideMark/>
          </w:tcPr>
          <w:p w14:paraId="4AE33E4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2,383,057</w:t>
            </w:r>
          </w:p>
        </w:tc>
        <w:tc>
          <w:tcPr>
            <w:tcW w:w="468" w:type="pct"/>
            <w:tcBorders>
              <w:top w:val="nil"/>
              <w:left w:val="nil"/>
              <w:bottom w:val="nil"/>
              <w:right w:val="nil"/>
            </w:tcBorders>
            <w:shd w:val="clear" w:color="auto" w:fill="auto"/>
            <w:noWrap/>
            <w:vAlign w:val="bottom"/>
            <w:hideMark/>
          </w:tcPr>
          <w:p w14:paraId="0AD9D01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2,226,350</w:t>
            </w:r>
          </w:p>
        </w:tc>
      </w:tr>
      <w:tr w:rsidR="00DF7B57" w:rsidRPr="00017BC5" w14:paraId="76F21543" w14:textId="77777777" w:rsidTr="00503D38">
        <w:trPr>
          <w:trHeight w:val="255"/>
        </w:trPr>
        <w:tc>
          <w:tcPr>
            <w:tcW w:w="809" w:type="pct"/>
            <w:tcBorders>
              <w:top w:val="nil"/>
              <w:left w:val="nil"/>
              <w:bottom w:val="nil"/>
              <w:right w:val="nil"/>
            </w:tcBorders>
            <w:shd w:val="clear" w:color="auto" w:fill="auto"/>
            <w:noWrap/>
            <w:vAlign w:val="center"/>
            <w:hideMark/>
          </w:tcPr>
          <w:p w14:paraId="7E63D0A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Olive Pascoe River</w:t>
            </w:r>
          </w:p>
        </w:tc>
        <w:tc>
          <w:tcPr>
            <w:tcW w:w="445" w:type="pct"/>
            <w:tcBorders>
              <w:top w:val="nil"/>
              <w:left w:val="nil"/>
              <w:bottom w:val="nil"/>
              <w:right w:val="nil"/>
            </w:tcBorders>
            <w:shd w:val="clear" w:color="auto" w:fill="auto"/>
            <w:noWrap/>
            <w:vAlign w:val="center"/>
            <w:hideMark/>
          </w:tcPr>
          <w:p w14:paraId="5649D71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2,687,101</w:t>
            </w:r>
          </w:p>
        </w:tc>
        <w:tc>
          <w:tcPr>
            <w:tcW w:w="468" w:type="pct"/>
            <w:tcBorders>
              <w:top w:val="nil"/>
              <w:left w:val="nil"/>
              <w:bottom w:val="nil"/>
              <w:right w:val="nil"/>
            </w:tcBorders>
            <w:shd w:val="clear" w:color="000000" w:fill="FF9900"/>
            <w:noWrap/>
            <w:vAlign w:val="center"/>
            <w:hideMark/>
          </w:tcPr>
          <w:p w14:paraId="69CE520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5,918,996</w:t>
            </w:r>
          </w:p>
        </w:tc>
        <w:tc>
          <w:tcPr>
            <w:tcW w:w="468" w:type="pct"/>
            <w:tcBorders>
              <w:top w:val="nil"/>
              <w:left w:val="nil"/>
              <w:bottom w:val="nil"/>
              <w:right w:val="nil"/>
            </w:tcBorders>
            <w:shd w:val="clear" w:color="auto" w:fill="auto"/>
            <w:noWrap/>
            <w:vAlign w:val="center"/>
            <w:hideMark/>
          </w:tcPr>
          <w:p w14:paraId="2B2D658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2,275,527</w:t>
            </w:r>
          </w:p>
        </w:tc>
        <w:tc>
          <w:tcPr>
            <w:tcW w:w="468" w:type="pct"/>
            <w:tcBorders>
              <w:top w:val="nil"/>
              <w:left w:val="nil"/>
              <w:bottom w:val="nil"/>
              <w:right w:val="nil"/>
            </w:tcBorders>
            <w:shd w:val="clear" w:color="auto" w:fill="auto"/>
            <w:noWrap/>
            <w:vAlign w:val="center"/>
            <w:hideMark/>
          </w:tcPr>
          <w:p w14:paraId="079CD27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2,483,531</w:t>
            </w:r>
          </w:p>
        </w:tc>
        <w:tc>
          <w:tcPr>
            <w:tcW w:w="468" w:type="pct"/>
            <w:tcBorders>
              <w:top w:val="nil"/>
              <w:left w:val="nil"/>
              <w:bottom w:val="nil"/>
              <w:right w:val="nil"/>
            </w:tcBorders>
            <w:shd w:val="clear" w:color="000000" w:fill="FFFF00"/>
            <w:noWrap/>
            <w:vAlign w:val="center"/>
            <w:hideMark/>
          </w:tcPr>
          <w:p w14:paraId="26432B0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4,738,541</w:t>
            </w:r>
          </w:p>
        </w:tc>
        <w:tc>
          <w:tcPr>
            <w:tcW w:w="468" w:type="pct"/>
            <w:tcBorders>
              <w:top w:val="nil"/>
              <w:left w:val="nil"/>
              <w:bottom w:val="nil"/>
              <w:right w:val="nil"/>
            </w:tcBorders>
            <w:shd w:val="clear" w:color="000000" w:fill="FFFF00"/>
            <w:noWrap/>
            <w:vAlign w:val="center"/>
            <w:hideMark/>
          </w:tcPr>
          <w:p w14:paraId="79D742F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3,931,758</w:t>
            </w:r>
          </w:p>
        </w:tc>
        <w:tc>
          <w:tcPr>
            <w:tcW w:w="468" w:type="pct"/>
            <w:tcBorders>
              <w:top w:val="nil"/>
              <w:left w:val="nil"/>
              <w:bottom w:val="nil"/>
              <w:right w:val="nil"/>
            </w:tcBorders>
            <w:shd w:val="clear" w:color="auto" w:fill="auto"/>
            <w:noWrap/>
            <w:vAlign w:val="center"/>
            <w:hideMark/>
          </w:tcPr>
          <w:p w14:paraId="52304B1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788,484</w:t>
            </w:r>
          </w:p>
        </w:tc>
        <w:tc>
          <w:tcPr>
            <w:tcW w:w="468" w:type="pct"/>
            <w:tcBorders>
              <w:top w:val="nil"/>
              <w:left w:val="nil"/>
              <w:bottom w:val="nil"/>
              <w:right w:val="nil"/>
            </w:tcBorders>
            <w:shd w:val="clear" w:color="auto" w:fill="auto"/>
            <w:noWrap/>
            <w:vAlign w:val="bottom"/>
            <w:hideMark/>
          </w:tcPr>
          <w:p w14:paraId="21BD203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2,978,821</w:t>
            </w:r>
          </w:p>
        </w:tc>
        <w:tc>
          <w:tcPr>
            <w:tcW w:w="468" w:type="pct"/>
            <w:tcBorders>
              <w:top w:val="nil"/>
              <w:left w:val="nil"/>
              <w:bottom w:val="nil"/>
              <w:right w:val="nil"/>
            </w:tcBorders>
            <w:shd w:val="clear" w:color="auto" w:fill="auto"/>
            <w:noWrap/>
            <w:vAlign w:val="bottom"/>
            <w:hideMark/>
          </w:tcPr>
          <w:p w14:paraId="6F89078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2,782,938</w:t>
            </w:r>
          </w:p>
        </w:tc>
      </w:tr>
      <w:tr w:rsidR="00DF7B57" w:rsidRPr="00017BC5" w14:paraId="55E79613" w14:textId="77777777" w:rsidTr="00503D38">
        <w:trPr>
          <w:trHeight w:val="255"/>
        </w:trPr>
        <w:tc>
          <w:tcPr>
            <w:tcW w:w="809" w:type="pct"/>
            <w:tcBorders>
              <w:top w:val="nil"/>
              <w:left w:val="nil"/>
              <w:bottom w:val="nil"/>
              <w:right w:val="nil"/>
            </w:tcBorders>
            <w:shd w:val="clear" w:color="auto" w:fill="auto"/>
            <w:noWrap/>
            <w:vAlign w:val="center"/>
            <w:hideMark/>
          </w:tcPr>
          <w:p w14:paraId="4026A21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Lockhart River</w:t>
            </w:r>
          </w:p>
        </w:tc>
        <w:tc>
          <w:tcPr>
            <w:tcW w:w="445" w:type="pct"/>
            <w:tcBorders>
              <w:top w:val="nil"/>
              <w:left w:val="nil"/>
              <w:bottom w:val="nil"/>
              <w:right w:val="nil"/>
            </w:tcBorders>
            <w:shd w:val="clear" w:color="auto" w:fill="auto"/>
            <w:noWrap/>
            <w:vAlign w:val="center"/>
            <w:hideMark/>
          </w:tcPr>
          <w:p w14:paraId="2525958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1,701,831</w:t>
            </w:r>
          </w:p>
        </w:tc>
        <w:tc>
          <w:tcPr>
            <w:tcW w:w="468" w:type="pct"/>
            <w:tcBorders>
              <w:top w:val="nil"/>
              <w:left w:val="nil"/>
              <w:bottom w:val="nil"/>
              <w:right w:val="nil"/>
            </w:tcBorders>
            <w:shd w:val="clear" w:color="000000" w:fill="FF9900"/>
            <w:noWrap/>
            <w:vAlign w:val="center"/>
            <w:hideMark/>
          </w:tcPr>
          <w:p w14:paraId="2DE69DA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3,748,697</w:t>
            </w:r>
          </w:p>
        </w:tc>
        <w:tc>
          <w:tcPr>
            <w:tcW w:w="468" w:type="pct"/>
            <w:tcBorders>
              <w:top w:val="nil"/>
              <w:left w:val="nil"/>
              <w:bottom w:val="nil"/>
              <w:right w:val="nil"/>
            </w:tcBorders>
            <w:shd w:val="clear" w:color="auto" w:fill="auto"/>
            <w:noWrap/>
            <w:vAlign w:val="center"/>
            <w:hideMark/>
          </w:tcPr>
          <w:p w14:paraId="033B1DA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1,441,167</w:t>
            </w:r>
          </w:p>
        </w:tc>
        <w:tc>
          <w:tcPr>
            <w:tcW w:w="468" w:type="pct"/>
            <w:tcBorders>
              <w:top w:val="nil"/>
              <w:left w:val="nil"/>
              <w:bottom w:val="nil"/>
              <w:right w:val="nil"/>
            </w:tcBorders>
            <w:shd w:val="clear" w:color="auto" w:fill="auto"/>
            <w:noWrap/>
            <w:vAlign w:val="center"/>
            <w:hideMark/>
          </w:tcPr>
          <w:p w14:paraId="0DED97E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1,572,903</w:t>
            </w:r>
          </w:p>
        </w:tc>
        <w:tc>
          <w:tcPr>
            <w:tcW w:w="468" w:type="pct"/>
            <w:tcBorders>
              <w:top w:val="nil"/>
              <w:left w:val="nil"/>
              <w:bottom w:val="nil"/>
              <w:right w:val="nil"/>
            </w:tcBorders>
            <w:shd w:val="clear" w:color="000000" w:fill="FFFF00"/>
            <w:noWrap/>
            <w:vAlign w:val="center"/>
            <w:hideMark/>
          </w:tcPr>
          <w:p w14:paraId="6EE8C1D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3,001,076</w:t>
            </w:r>
          </w:p>
        </w:tc>
        <w:tc>
          <w:tcPr>
            <w:tcW w:w="468" w:type="pct"/>
            <w:tcBorders>
              <w:top w:val="nil"/>
              <w:left w:val="nil"/>
              <w:bottom w:val="nil"/>
              <w:right w:val="nil"/>
            </w:tcBorders>
            <w:shd w:val="clear" w:color="auto" w:fill="auto"/>
            <w:noWrap/>
            <w:vAlign w:val="center"/>
            <w:hideMark/>
          </w:tcPr>
          <w:p w14:paraId="72617F4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1,186,026</w:t>
            </w:r>
          </w:p>
        </w:tc>
        <w:tc>
          <w:tcPr>
            <w:tcW w:w="468" w:type="pct"/>
            <w:tcBorders>
              <w:top w:val="nil"/>
              <w:left w:val="nil"/>
              <w:bottom w:val="nil"/>
              <w:right w:val="nil"/>
            </w:tcBorders>
            <w:shd w:val="clear" w:color="auto" w:fill="auto"/>
            <w:noWrap/>
            <w:vAlign w:val="center"/>
            <w:hideMark/>
          </w:tcPr>
          <w:p w14:paraId="215C410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499,373</w:t>
            </w:r>
          </w:p>
        </w:tc>
        <w:tc>
          <w:tcPr>
            <w:tcW w:w="468" w:type="pct"/>
            <w:tcBorders>
              <w:top w:val="nil"/>
              <w:left w:val="nil"/>
              <w:bottom w:val="nil"/>
              <w:right w:val="nil"/>
            </w:tcBorders>
            <w:shd w:val="clear" w:color="auto" w:fill="auto"/>
            <w:noWrap/>
            <w:vAlign w:val="bottom"/>
            <w:hideMark/>
          </w:tcPr>
          <w:p w14:paraId="6B375D9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1,886,587</w:t>
            </w:r>
          </w:p>
        </w:tc>
        <w:tc>
          <w:tcPr>
            <w:tcW w:w="468" w:type="pct"/>
            <w:tcBorders>
              <w:top w:val="nil"/>
              <w:left w:val="nil"/>
              <w:bottom w:val="nil"/>
              <w:right w:val="nil"/>
            </w:tcBorders>
            <w:shd w:val="clear" w:color="auto" w:fill="auto"/>
            <w:noWrap/>
            <w:vAlign w:val="bottom"/>
            <w:hideMark/>
          </w:tcPr>
          <w:p w14:paraId="460F597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1,762,527</w:t>
            </w:r>
          </w:p>
        </w:tc>
      </w:tr>
      <w:tr w:rsidR="00DF7B57" w:rsidRPr="00017BC5" w14:paraId="22A729B9" w14:textId="77777777" w:rsidTr="00503D38">
        <w:trPr>
          <w:trHeight w:val="255"/>
        </w:trPr>
        <w:tc>
          <w:tcPr>
            <w:tcW w:w="809" w:type="pct"/>
            <w:tcBorders>
              <w:top w:val="nil"/>
              <w:left w:val="nil"/>
              <w:bottom w:val="nil"/>
              <w:right w:val="nil"/>
            </w:tcBorders>
            <w:shd w:val="clear" w:color="auto" w:fill="auto"/>
            <w:noWrap/>
            <w:vAlign w:val="center"/>
            <w:hideMark/>
          </w:tcPr>
          <w:p w14:paraId="3075361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Stewart River</w:t>
            </w:r>
          </w:p>
        </w:tc>
        <w:tc>
          <w:tcPr>
            <w:tcW w:w="445" w:type="pct"/>
            <w:tcBorders>
              <w:top w:val="nil"/>
              <w:left w:val="nil"/>
              <w:bottom w:val="nil"/>
              <w:right w:val="nil"/>
            </w:tcBorders>
            <w:shd w:val="clear" w:color="auto" w:fill="auto"/>
            <w:noWrap/>
            <w:vAlign w:val="center"/>
            <w:hideMark/>
          </w:tcPr>
          <w:p w14:paraId="1BA7D18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689,498</w:t>
            </w:r>
          </w:p>
        </w:tc>
        <w:tc>
          <w:tcPr>
            <w:tcW w:w="468" w:type="pct"/>
            <w:tcBorders>
              <w:top w:val="nil"/>
              <w:left w:val="nil"/>
              <w:bottom w:val="nil"/>
              <w:right w:val="nil"/>
            </w:tcBorders>
            <w:shd w:val="clear" w:color="000000" w:fill="FF0000"/>
            <w:noWrap/>
            <w:vAlign w:val="center"/>
            <w:hideMark/>
          </w:tcPr>
          <w:p w14:paraId="101D764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2,180,850</w:t>
            </w:r>
          </w:p>
        </w:tc>
        <w:tc>
          <w:tcPr>
            <w:tcW w:w="468" w:type="pct"/>
            <w:tcBorders>
              <w:top w:val="nil"/>
              <w:left w:val="nil"/>
              <w:bottom w:val="nil"/>
              <w:right w:val="nil"/>
            </w:tcBorders>
            <w:shd w:val="clear" w:color="auto" w:fill="auto"/>
            <w:noWrap/>
            <w:vAlign w:val="center"/>
            <w:hideMark/>
          </w:tcPr>
          <w:p w14:paraId="554FDDB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616,070</w:t>
            </w:r>
          </w:p>
        </w:tc>
        <w:tc>
          <w:tcPr>
            <w:tcW w:w="468" w:type="pct"/>
            <w:tcBorders>
              <w:top w:val="nil"/>
              <w:left w:val="nil"/>
              <w:bottom w:val="nil"/>
              <w:right w:val="nil"/>
            </w:tcBorders>
            <w:shd w:val="clear" w:color="auto" w:fill="auto"/>
            <w:noWrap/>
            <w:vAlign w:val="center"/>
            <w:hideMark/>
          </w:tcPr>
          <w:p w14:paraId="73F9470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523,353</w:t>
            </w:r>
          </w:p>
        </w:tc>
        <w:tc>
          <w:tcPr>
            <w:tcW w:w="468" w:type="pct"/>
            <w:tcBorders>
              <w:top w:val="nil"/>
              <w:left w:val="nil"/>
              <w:bottom w:val="nil"/>
              <w:right w:val="nil"/>
            </w:tcBorders>
            <w:shd w:val="clear" w:color="000000" w:fill="FFFF00"/>
            <w:noWrap/>
            <w:vAlign w:val="center"/>
            <w:hideMark/>
          </w:tcPr>
          <w:p w14:paraId="3D262B4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1,311,775</w:t>
            </w:r>
          </w:p>
        </w:tc>
        <w:tc>
          <w:tcPr>
            <w:tcW w:w="468" w:type="pct"/>
            <w:tcBorders>
              <w:top w:val="nil"/>
              <w:left w:val="nil"/>
              <w:bottom w:val="nil"/>
              <w:right w:val="nil"/>
            </w:tcBorders>
            <w:shd w:val="clear" w:color="auto" w:fill="auto"/>
            <w:noWrap/>
            <w:vAlign w:val="center"/>
            <w:hideMark/>
          </w:tcPr>
          <w:p w14:paraId="7C5675D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298,816</w:t>
            </w:r>
          </w:p>
        </w:tc>
        <w:tc>
          <w:tcPr>
            <w:tcW w:w="468" w:type="pct"/>
            <w:tcBorders>
              <w:top w:val="nil"/>
              <w:left w:val="nil"/>
              <w:bottom w:val="nil"/>
              <w:right w:val="nil"/>
            </w:tcBorders>
            <w:shd w:val="clear" w:color="auto" w:fill="auto"/>
            <w:noWrap/>
            <w:vAlign w:val="center"/>
            <w:hideMark/>
          </w:tcPr>
          <w:p w14:paraId="1BF3A46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311,901</w:t>
            </w:r>
          </w:p>
        </w:tc>
        <w:tc>
          <w:tcPr>
            <w:tcW w:w="468" w:type="pct"/>
            <w:tcBorders>
              <w:top w:val="nil"/>
              <w:left w:val="nil"/>
              <w:bottom w:val="nil"/>
              <w:right w:val="nil"/>
            </w:tcBorders>
            <w:shd w:val="clear" w:color="auto" w:fill="auto"/>
            <w:noWrap/>
            <w:vAlign w:val="bottom"/>
            <w:hideMark/>
          </w:tcPr>
          <w:p w14:paraId="6CF6E17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685,263</w:t>
            </w:r>
          </w:p>
        </w:tc>
        <w:tc>
          <w:tcPr>
            <w:tcW w:w="468" w:type="pct"/>
            <w:tcBorders>
              <w:top w:val="nil"/>
              <w:left w:val="nil"/>
              <w:bottom w:val="nil"/>
              <w:right w:val="nil"/>
            </w:tcBorders>
            <w:shd w:val="clear" w:color="auto" w:fill="auto"/>
            <w:noWrap/>
            <w:vAlign w:val="bottom"/>
            <w:hideMark/>
          </w:tcPr>
          <w:p w14:paraId="5633F76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826,295</w:t>
            </w:r>
          </w:p>
        </w:tc>
      </w:tr>
      <w:tr w:rsidR="00DF7B57" w:rsidRPr="00017BC5" w14:paraId="79A83CB2" w14:textId="77777777" w:rsidTr="00017BC5">
        <w:trPr>
          <w:trHeight w:val="255"/>
        </w:trPr>
        <w:tc>
          <w:tcPr>
            <w:tcW w:w="809" w:type="pct"/>
            <w:tcBorders>
              <w:top w:val="nil"/>
              <w:left w:val="nil"/>
              <w:bottom w:val="nil"/>
              <w:right w:val="nil"/>
            </w:tcBorders>
            <w:shd w:val="clear" w:color="auto" w:fill="auto"/>
            <w:noWrap/>
            <w:vAlign w:val="center"/>
            <w:hideMark/>
          </w:tcPr>
          <w:p w14:paraId="01F868F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Normanby River</w:t>
            </w:r>
          </w:p>
        </w:tc>
        <w:tc>
          <w:tcPr>
            <w:tcW w:w="445" w:type="pct"/>
            <w:tcBorders>
              <w:top w:val="nil"/>
              <w:left w:val="nil"/>
              <w:bottom w:val="nil"/>
              <w:right w:val="nil"/>
            </w:tcBorders>
            <w:shd w:val="clear" w:color="auto" w:fill="auto"/>
            <w:noWrap/>
            <w:vAlign w:val="center"/>
            <w:hideMark/>
          </w:tcPr>
          <w:p w14:paraId="31E0700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4,093,744</w:t>
            </w:r>
          </w:p>
        </w:tc>
        <w:tc>
          <w:tcPr>
            <w:tcW w:w="468" w:type="pct"/>
            <w:tcBorders>
              <w:top w:val="nil"/>
              <w:left w:val="nil"/>
              <w:bottom w:val="nil"/>
              <w:right w:val="nil"/>
            </w:tcBorders>
            <w:shd w:val="clear" w:color="000000" w:fill="FF9900"/>
            <w:noWrap/>
            <w:vAlign w:val="center"/>
            <w:hideMark/>
          </w:tcPr>
          <w:p w14:paraId="0A36864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11,333,284</w:t>
            </w:r>
          </w:p>
        </w:tc>
        <w:tc>
          <w:tcPr>
            <w:tcW w:w="468" w:type="pct"/>
            <w:tcBorders>
              <w:top w:val="nil"/>
              <w:left w:val="nil"/>
              <w:bottom w:val="nil"/>
              <w:right w:val="nil"/>
            </w:tcBorders>
            <w:shd w:val="clear" w:color="auto" w:fill="auto"/>
            <w:noWrap/>
            <w:vAlign w:val="center"/>
            <w:hideMark/>
          </w:tcPr>
          <w:p w14:paraId="68CA121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2,181,990</w:t>
            </w:r>
          </w:p>
        </w:tc>
        <w:tc>
          <w:tcPr>
            <w:tcW w:w="468" w:type="pct"/>
            <w:tcBorders>
              <w:top w:val="nil"/>
              <w:left w:val="nil"/>
              <w:bottom w:val="nil"/>
              <w:right w:val="nil"/>
            </w:tcBorders>
            <w:shd w:val="clear" w:color="auto" w:fill="auto"/>
            <w:noWrap/>
            <w:vAlign w:val="center"/>
            <w:hideMark/>
          </w:tcPr>
          <w:p w14:paraId="2B2483A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3,462,238</w:t>
            </w:r>
          </w:p>
        </w:tc>
        <w:tc>
          <w:tcPr>
            <w:tcW w:w="468" w:type="pct"/>
            <w:tcBorders>
              <w:top w:val="nil"/>
              <w:left w:val="nil"/>
              <w:bottom w:val="nil"/>
              <w:right w:val="nil"/>
            </w:tcBorders>
            <w:shd w:val="clear" w:color="auto" w:fill="auto"/>
            <w:noWrap/>
            <w:vAlign w:val="center"/>
            <w:hideMark/>
          </w:tcPr>
          <w:p w14:paraId="32DA5C5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5,059,657</w:t>
            </w:r>
          </w:p>
        </w:tc>
        <w:tc>
          <w:tcPr>
            <w:tcW w:w="468" w:type="pct"/>
            <w:tcBorders>
              <w:top w:val="nil"/>
              <w:left w:val="nil"/>
              <w:bottom w:val="nil"/>
              <w:right w:val="nil"/>
            </w:tcBorders>
            <w:shd w:val="clear" w:color="auto" w:fill="auto"/>
            <w:noWrap/>
            <w:vAlign w:val="center"/>
            <w:hideMark/>
          </w:tcPr>
          <w:p w14:paraId="7E15D09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2,914,859</w:t>
            </w:r>
          </w:p>
        </w:tc>
        <w:tc>
          <w:tcPr>
            <w:tcW w:w="468" w:type="pct"/>
            <w:tcBorders>
              <w:top w:val="nil"/>
              <w:left w:val="nil"/>
              <w:bottom w:val="nil"/>
              <w:right w:val="nil"/>
            </w:tcBorders>
            <w:shd w:val="clear" w:color="auto" w:fill="auto"/>
            <w:noWrap/>
            <w:vAlign w:val="center"/>
            <w:hideMark/>
          </w:tcPr>
          <w:p w14:paraId="25F13B2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3,407,359</w:t>
            </w:r>
          </w:p>
        </w:tc>
        <w:tc>
          <w:tcPr>
            <w:tcW w:w="468" w:type="pct"/>
            <w:tcBorders>
              <w:top w:val="nil"/>
              <w:left w:val="nil"/>
              <w:bottom w:val="nil"/>
              <w:right w:val="nil"/>
            </w:tcBorders>
            <w:shd w:val="clear" w:color="auto" w:fill="auto"/>
            <w:noWrap/>
            <w:vAlign w:val="bottom"/>
            <w:hideMark/>
          </w:tcPr>
          <w:p w14:paraId="3276330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3,780,651</w:t>
            </w:r>
          </w:p>
        </w:tc>
        <w:tc>
          <w:tcPr>
            <w:tcW w:w="468" w:type="pct"/>
            <w:tcBorders>
              <w:top w:val="nil"/>
              <w:left w:val="nil"/>
              <w:bottom w:val="nil"/>
              <w:right w:val="nil"/>
            </w:tcBorders>
            <w:shd w:val="clear" w:color="auto" w:fill="auto"/>
            <w:noWrap/>
            <w:vAlign w:val="bottom"/>
            <w:hideMark/>
          </w:tcPr>
          <w:p w14:paraId="7B90B62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4,327,093</w:t>
            </w:r>
          </w:p>
        </w:tc>
      </w:tr>
      <w:tr w:rsidR="00DF7B57" w:rsidRPr="00017BC5" w14:paraId="1A321160" w14:textId="77777777" w:rsidTr="00503D38">
        <w:trPr>
          <w:trHeight w:val="255"/>
        </w:trPr>
        <w:tc>
          <w:tcPr>
            <w:tcW w:w="809" w:type="pct"/>
            <w:tcBorders>
              <w:top w:val="nil"/>
              <w:left w:val="nil"/>
              <w:bottom w:val="nil"/>
              <w:right w:val="nil"/>
            </w:tcBorders>
            <w:shd w:val="clear" w:color="auto" w:fill="auto"/>
            <w:noWrap/>
            <w:vAlign w:val="center"/>
            <w:hideMark/>
          </w:tcPr>
          <w:p w14:paraId="462D6CB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Jeannie River</w:t>
            </w:r>
          </w:p>
        </w:tc>
        <w:tc>
          <w:tcPr>
            <w:tcW w:w="445" w:type="pct"/>
            <w:tcBorders>
              <w:top w:val="nil"/>
              <w:left w:val="nil"/>
              <w:bottom w:val="nil"/>
              <w:right w:val="nil"/>
            </w:tcBorders>
            <w:shd w:val="clear" w:color="auto" w:fill="auto"/>
            <w:noWrap/>
            <w:vAlign w:val="center"/>
            <w:hideMark/>
          </w:tcPr>
          <w:p w14:paraId="57B1035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1,507,731</w:t>
            </w:r>
          </w:p>
        </w:tc>
        <w:tc>
          <w:tcPr>
            <w:tcW w:w="468" w:type="pct"/>
            <w:tcBorders>
              <w:top w:val="nil"/>
              <w:left w:val="nil"/>
              <w:bottom w:val="nil"/>
              <w:right w:val="nil"/>
            </w:tcBorders>
            <w:shd w:val="clear" w:color="000000" w:fill="FF9900"/>
            <w:noWrap/>
            <w:vAlign w:val="center"/>
            <w:hideMark/>
          </w:tcPr>
          <w:p w14:paraId="3CDA36C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2,824,817</w:t>
            </w:r>
          </w:p>
        </w:tc>
        <w:tc>
          <w:tcPr>
            <w:tcW w:w="468" w:type="pct"/>
            <w:tcBorders>
              <w:top w:val="nil"/>
              <w:left w:val="nil"/>
              <w:bottom w:val="nil"/>
              <w:right w:val="nil"/>
            </w:tcBorders>
            <w:shd w:val="clear" w:color="auto" w:fill="auto"/>
            <w:noWrap/>
            <w:vAlign w:val="center"/>
            <w:hideMark/>
          </w:tcPr>
          <w:p w14:paraId="1A73B0F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1,048,269</w:t>
            </w:r>
          </w:p>
        </w:tc>
        <w:tc>
          <w:tcPr>
            <w:tcW w:w="468" w:type="pct"/>
            <w:tcBorders>
              <w:top w:val="nil"/>
              <w:left w:val="nil"/>
              <w:bottom w:val="nil"/>
              <w:right w:val="nil"/>
            </w:tcBorders>
            <w:shd w:val="clear" w:color="auto" w:fill="auto"/>
            <w:noWrap/>
            <w:vAlign w:val="center"/>
            <w:hideMark/>
          </w:tcPr>
          <w:p w14:paraId="6359545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695,195</w:t>
            </w:r>
          </w:p>
        </w:tc>
        <w:tc>
          <w:tcPr>
            <w:tcW w:w="468" w:type="pct"/>
            <w:tcBorders>
              <w:top w:val="nil"/>
              <w:left w:val="nil"/>
              <w:bottom w:val="nil"/>
              <w:right w:val="nil"/>
            </w:tcBorders>
            <w:shd w:val="clear" w:color="000000" w:fill="FFFF00"/>
            <w:noWrap/>
            <w:vAlign w:val="center"/>
            <w:hideMark/>
          </w:tcPr>
          <w:p w14:paraId="7506630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1,869,982</w:t>
            </w:r>
          </w:p>
        </w:tc>
        <w:tc>
          <w:tcPr>
            <w:tcW w:w="468" w:type="pct"/>
            <w:tcBorders>
              <w:top w:val="nil"/>
              <w:left w:val="nil"/>
              <w:bottom w:val="nil"/>
              <w:right w:val="nil"/>
            </w:tcBorders>
            <w:shd w:val="clear" w:color="auto" w:fill="auto"/>
            <w:noWrap/>
            <w:vAlign w:val="center"/>
            <w:hideMark/>
          </w:tcPr>
          <w:p w14:paraId="1112DFD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1,434,447</w:t>
            </w:r>
          </w:p>
        </w:tc>
        <w:tc>
          <w:tcPr>
            <w:tcW w:w="468" w:type="pct"/>
            <w:tcBorders>
              <w:top w:val="nil"/>
              <w:left w:val="nil"/>
              <w:bottom w:val="nil"/>
              <w:right w:val="nil"/>
            </w:tcBorders>
            <w:shd w:val="clear" w:color="auto" w:fill="auto"/>
            <w:noWrap/>
            <w:vAlign w:val="center"/>
            <w:hideMark/>
          </w:tcPr>
          <w:p w14:paraId="1C20EC3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1,581,015</w:t>
            </w:r>
          </w:p>
        </w:tc>
        <w:tc>
          <w:tcPr>
            <w:tcW w:w="468" w:type="pct"/>
            <w:tcBorders>
              <w:top w:val="nil"/>
              <w:left w:val="nil"/>
              <w:bottom w:val="nil"/>
              <w:right w:val="nil"/>
            </w:tcBorders>
            <w:shd w:val="clear" w:color="auto" w:fill="auto"/>
            <w:noWrap/>
            <w:vAlign w:val="bottom"/>
            <w:hideMark/>
          </w:tcPr>
          <w:p w14:paraId="361359B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1,746,929</w:t>
            </w:r>
          </w:p>
        </w:tc>
        <w:tc>
          <w:tcPr>
            <w:tcW w:w="468" w:type="pct"/>
            <w:tcBorders>
              <w:top w:val="nil"/>
              <w:left w:val="nil"/>
              <w:bottom w:val="nil"/>
              <w:right w:val="nil"/>
            </w:tcBorders>
            <w:shd w:val="clear" w:color="auto" w:fill="auto"/>
            <w:noWrap/>
            <w:vAlign w:val="bottom"/>
            <w:hideMark/>
          </w:tcPr>
          <w:p w14:paraId="1F65A9D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1,685,379</w:t>
            </w:r>
          </w:p>
        </w:tc>
      </w:tr>
      <w:tr w:rsidR="00DF7B57" w:rsidRPr="00017BC5" w14:paraId="2461156C" w14:textId="77777777" w:rsidTr="00503D38">
        <w:trPr>
          <w:trHeight w:val="255"/>
        </w:trPr>
        <w:tc>
          <w:tcPr>
            <w:tcW w:w="809" w:type="pct"/>
            <w:tcBorders>
              <w:top w:val="nil"/>
              <w:left w:val="nil"/>
              <w:bottom w:val="nil"/>
              <w:right w:val="nil"/>
            </w:tcBorders>
            <w:shd w:val="clear" w:color="auto" w:fill="auto"/>
            <w:noWrap/>
            <w:vAlign w:val="center"/>
            <w:hideMark/>
          </w:tcPr>
          <w:p w14:paraId="0DD1490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Endeavour River</w:t>
            </w:r>
          </w:p>
        </w:tc>
        <w:tc>
          <w:tcPr>
            <w:tcW w:w="445" w:type="pct"/>
            <w:tcBorders>
              <w:top w:val="nil"/>
              <w:left w:val="nil"/>
              <w:bottom w:val="nil"/>
              <w:right w:val="nil"/>
            </w:tcBorders>
            <w:shd w:val="clear" w:color="auto" w:fill="auto"/>
            <w:noWrap/>
            <w:vAlign w:val="center"/>
            <w:hideMark/>
          </w:tcPr>
          <w:p w14:paraId="30EC1B8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980,025</w:t>
            </w:r>
          </w:p>
        </w:tc>
        <w:tc>
          <w:tcPr>
            <w:tcW w:w="468" w:type="pct"/>
            <w:tcBorders>
              <w:top w:val="nil"/>
              <w:left w:val="nil"/>
              <w:bottom w:val="nil"/>
              <w:right w:val="nil"/>
            </w:tcBorders>
            <w:shd w:val="clear" w:color="000000" w:fill="FF9900"/>
            <w:noWrap/>
            <w:vAlign w:val="center"/>
            <w:hideMark/>
          </w:tcPr>
          <w:p w14:paraId="6CE9503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1,836,131</w:t>
            </w:r>
          </w:p>
        </w:tc>
        <w:tc>
          <w:tcPr>
            <w:tcW w:w="468" w:type="pct"/>
            <w:tcBorders>
              <w:top w:val="nil"/>
              <w:left w:val="nil"/>
              <w:bottom w:val="nil"/>
              <w:right w:val="nil"/>
            </w:tcBorders>
            <w:shd w:val="clear" w:color="auto" w:fill="auto"/>
            <w:noWrap/>
            <w:vAlign w:val="center"/>
            <w:hideMark/>
          </w:tcPr>
          <w:p w14:paraId="4DB7ABC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681,375</w:t>
            </w:r>
          </w:p>
        </w:tc>
        <w:tc>
          <w:tcPr>
            <w:tcW w:w="468" w:type="pct"/>
            <w:tcBorders>
              <w:top w:val="nil"/>
              <w:left w:val="nil"/>
              <w:bottom w:val="nil"/>
              <w:right w:val="nil"/>
            </w:tcBorders>
            <w:shd w:val="clear" w:color="auto" w:fill="auto"/>
            <w:noWrap/>
            <w:vAlign w:val="center"/>
            <w:hideMark/>
          </w:tcPr>
          <w:p w14:paraId="1A45713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451,877</w:t>
            </w:r>
          </w:p>
        </w:tc>
        <w:tc>
          <w:tcPr>
            <w:tcW w:w="468" w:type="pct"/>
            <w:tcBorders>
              <w:top w:val="nil"/>
              <w:left w:val="nil"/>
              <w:bottom w:val="nil"/>
              <w:right w:val="nil"/>
            </w:tcBorders>
            <w:shd w:val="clear" w:color="000000" w:fill="FFFF00"/>
            <w:noWrap/>
            <w:vAlign w:val="center"/>
            <w:hideMark/>
          </w:tcPr>
          <w:p w14:paraId="7515443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1,215,488</w:t>
            </w:r>
          </w:p>
        </w:tc>
        <w:tc>
          <w:tcPr>
            <w:tcW w:w="468" w:type="pct"/>
            <w:tcBorders>
              <w:top w:val="nil"/>
              <w:left w:val="nil"/>
              <w:bottom w:val="nil"/>
              <w:right w:val="nil"/>
            </w:tcBorders>
            <w:shd w:val="clear" w:color="auto" w:fill="auto"/>
            <w:noWrap/>
            <w:vAlign w:val="center"/>
            <w:hideMark/>
          </w:tcPr>
          <w:p w14:paraId="4BE6C7C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932,391</w:t>
            </w:r>
          </w:p>
        </w:tc>
        <w:tc>
          <w:tcPr>
            <w:tcW w:w="468" w:type="pct"/>
            <w:tcBorders>
              <w:top w:val="nil"/>
              <w:left w:val="nil"/>
              <w:bottom w:val="nil"/>
              <w:right w:val="nil"/>
            </w:tcBorders>
            <w:shd w:val="clear" w:color="auto" w:fill="auto"/>
            <w:noWrap/>
            <w:vAlign w:val="center"/>
            <w:hideMark/>
          </w:tcPr>
          <w:p w14:paraId="6F8AD00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1,027,660</w:t>
            </w:r>
          </w:p>
        </w:tc>
        <w:tc>
          <w:tcPr>
            <w:tcW w:w="468" w:type="pct"/>
            <w:tcBorders>
              <w:top w:val="nil"/>
              <w:left w:val="nil"/>
              <w:bottom w:val="nil"/>
              <w:right w:val="nil"/>
            </w:tcBorders>
            <w:shd w:val="clear" w:color="auto" w:fill="auto"/>
            <w:noWrap/>
            <w:vAlign w:val="bottom"/>
            <w:hideMark/>
          </w:tcPr>
          <w:p w14:paraId="3B5B288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1,135,504</w:t>
            </w:r>
          </w:p>
        </w:tc>
        <w:tc>
          <w:tcPr>
            <w:tcW w:w="468" w:type="pct"/>
            <w:tcBorders>
              <w:top w:val="nil"/>
              <w:left w:val="nil"/>
              <w:bottom w:val="nil"/>
              <w:right w:val="nil"/>
            </w:tcBorders>
            <w:shd w:val="clear" w:color="auto" w:fill="auto"/>
            <w:noWrap/>
            <w:vAlign w:val="bottom"/>
            <w:hideMark/>
          </w:tcPr>
          <w:p w14:paraId="332EC5A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1,095,496</w:t>
            </w:r>
          </w:p>
        </w:tc>
      </w:tr>
      <w:tr w:rsidR="00DF7B57" w:rsidRPr="00017BC5" w14:paraId="40BF9E87" w14:textId="77777777" w:rsidTr="00503D38">
        <w:trPr>
          <w:trHeight w:val="255"/>
        </w:trPr>
        <w:tc>
          <w:tcPr>
            <w:tcW w:w="809" w:type="pct"/>
            <w:tcBorders>
              <w:top w:val="nil"/>
              <w:left w:val="nil"/>
              <w:bottom w:val="nil"/>
              <w:right w:val="nil"/>
            </w:tcBorders>
            <w:shd w:val="clear" w:color="auto" w:fill="auto"/>
            <w:noWrap/>
            <w:vAlign w:val="center"/>
            <w:hideMark/>
          </w:tcPr>
          <w:p w14:paraId="3B7F98D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Daintree River</w:t>
            </w:r>
          </w:p>
        </w:tc>
        <w:tc>
          <w:tcPr>
            <w:tcW w:w="445" w:type="pct"/>
            <w:tcBorders>
              <w:top w:val="nil"/>
              <w:left w:val="nil"/>
              <w:bottom w:val="nil"/>
              <w:right w:val="nil"/>
            </w:tcBorders>
            <w:shd w:val="clear" w:color="auto" w:fill="auto"/>
            <w:noWrap/>
            <w:vAlign w:val="center"/>
            <w:hideMark/>
          </w:tcPr>
          <w:p w14:paraId="29174A5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1,722,934</w:t>
            </w:r>
          </w:p>
        </w:tc>
        <w:tc>
          <w:tcPr>
            <w:tcW w:w="468" w:type="pct"/>
            <w:tcBorders>
              <w:top w:val="nil"/>
              <w:left w:val="nil"/>
              <w:bottom w:val="nil"/>
              <w:right w:val="nil"/>
            </w:tcBorders>
            <w:shd w:val="clear" w:color="000000" w:fill="FF9900"/>
            <w:noWrap/>
            <w:vAlign w:val="center"/>
            <w:hideMark/>
          </w:tcPr>
          <w:p w14:paraId="7D8AF9F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3,936,470</w:t>
            </w:r>
          </w:p>
        </w:tc>
        <w:tc>
          <w:tcPr>
            <w:tcW w:w="468" w:type="pct"/>
            <w:tcBorders>
              <w:top w:val="nil"/>
              <w:left w:val="nil"/>
              <w:bottom w:val="nil"/>
              <w:right w:val="nil"/>
            </w:tcBorders>
            <w:shd w:val="clear" w:color="auto" w:fill="auto"/>
            <w:noWrap/>
            <w:vAlign w:val="center"/>
            <w:hideMark/>
          </w:tcPr>
          <w:p w14:paraId="57A3575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2,396,905</w:t>
            </w:r>
          </w:p>
        </w:tc>
        <w:tc>
          <w:tcPr>
            <w:tcW w:w="468" w:type="pct"/>
            <w:tcBorders>
              <w:top w:val="nil"/>
              <w:left w:val="nil"/>
              <w:bottom w:val="nil"/>
              <w:right w:val="nil"/>
            </w:tcBorders>
            <w:shd w:val="clear" w:color="auto" w:fill="auto"/>
            <w:noWrap/>
            <w:vAlign w:val="center"/>
            <w:hideMark/>
          </w:tcPr>
          <w:p w14:paraId="305A4E7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1,668,302</w:t>
            </w:r>
          </w:p>
        </w:tc>
        <w:tc>
          <w:tcPr>
            <w:tcW w:w="468" w:type="pct"/>
            <w:tcBorders>
              <w:top w:val="nil"/>
              <w:left w:val="nil"/>
              <w:bottom w:val="nil"/>
              <w:right w:val="nil"/>
            </w:tcBorders>
            <w:shd w:val="clear" w:color="000000" w:fill="FF0000"/>
            <w:noWrap/>
            <w:vAlign w:val="center"/>
            <w:hideMark/>
          </w:tcPr>
          <w:p w14:paraId="1381FFD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5,137,023</w:t>
            </w:r>
          </w:p>
        </w:tc>
        <w:tc>
          <w:tcPr>
            <w:tcW w:w="468" w:type="pct"/>
            <w:tcBorders>
              <w:top w:val="nil"/>
              <w:left w:val="nil"/>
              <w:bottom w:val="nil"/>
              <w:right w:val="nil"/>
            </w:tcBorders>
            <w:shd w:val="clear" w:color="auto" w:fill="auto"/>
            <w:noWrap/>
            <w:vAlign w:val="center"/>
            <w:hideMark/>
          </w:tcPr>
          <w:p w14:paraId="7D41445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1,905,224</w:t>
            </w:r>
          </w:p>
        </w:tc>
        <w:tc>
          <w:tcPr>
            <w:tcW w:w="468" w:type="pct"/>
            <w:tcBorders>
              <w:top w:val="nil"/>
              <w:left w:val="nil"/>
              <w:bottom w:val="nil"/>
              <w:right w:val="nil"/>
            </w:tcBorders>
            <w:shd w:val="clear" w:color="auto" w:fill="auto"/>
            <w:noWrap/>
            <w:vAlign w:val="center"/>
            <w:hideMark/>
          </w:tcPr>
          <w:p w14:paraId="4BE8420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1,623,478</w:t>
            </w:r>
          </w:p>
        </w:tc>
        <w:tc>
          <w:tcPr>
            <w:tcW w:w="468" w:type="pct"/>
            <w:tcBorders>
              <w:top w:val="nil"/>
              <w:left w:val="nil"/>
              <w:bottom w:val="nil"/>
              <w:right w:val="nil"/>
            </w:tcBorders>
            <w:shd w:val="clear" w:color="auto" w:fill="auto"/>
            <w:noWrap/>
            <w:vAlign w:val="bottom"/>
            <w:hideMark/>
          </w:tcPr>
          <w:p w14:paraId="283AFB9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1,931,878</w:t>
            </w:r>
          </w:p>
        </w:tc>
        <w:tc>
          <w:tcPr>
            <w:tcW w:w="468" w:type="pct"/>
            <w:tcBorders>
              <w:top w:val="nil"/>
              <w:left w:val="nil"/>
              <w:bottom w:val="nil"/>
              <w:right w:val="nil"/>
            </w:tcBorders>
            <w:shd w:val="clear" w:color="auto" w:fill="auto"/>
            <w:noWrap/>
            <w:vAlign w:val="bottom"/>
            <w:hideMark/>
          </w:tcPr>
          <w:p w14:paraId="79D3786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1,242,633</w:t>
            </w:r>
          </w:p>
        </w:tc>
      </w:tr>
      <w:tr w:rsidR="00DF7B57" w:rsidRPr="00017BC5" w14:paraId="768230E6" w14:textId="77777777" w:rsidTr="00503D38">
        <w:trPr>
          <w:trHeight w:val="255"/>
        </w:trPr>
        <w:tc>
          <w:tcPr>
            <w:tcW w:w="809" w:type="pct"/>
            <w:tcBorders>
              <w:top w:val="nil"/>
              <w:left w:val="nil"/>
              <w:bottom w:val="nil"/>
              <w:right w:val="nil"/>
            </w:tcBorders>
            <w:shd w:val="clear" w:color="auto" w:fill="auto"/>
            <w:noWrap/>
            <w:vAlign w:val="center"/>
            <w:hideMark/>
          </w:tcPr>
          <w:p w14:paraId="12316C0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Mossman River</w:t>
            </w:r>
          </w:p>
        </w:tc>
        <w:tc>
          <w:tcPr>
            <w:tcW w:w="445" w:type="pct"/>
            <w:tcBorders>
              <w:top w:val="nil"/>
              <w:left w:val="nil"/>
              <w:bottom w:val="nil"/>
              <w:right w:val="nil"/>
            </w:tcBorders>
            <w:shd w:val="clear" w:color="auto" w:fill="auto"/>
            <w:noWrap/>
            <w:vAlign w:val="center"/>
            <w:hideMark/>
          </w:tcPr>
          <w:p w14:paraId="0D0ADB6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1,207,012</w:t>
            </w:r>
          </w:p>
        </w:tc>
        <w:tc>
          <w:tcPr>
            <w:tcW w:w="468" w:type="pct"/>
            <w:tcBorders>
              <w:top w:val="nil"/>
              <w:left w:val="nil"/>
              <w:bottom w:val="nil"/>
              <w:right w:val="nil"/>
            </w:tcBorders>
            <w:shd w:val="clear" w:color="000000" w:fill="FFFF00"/>
            <w:noWrap/>
            <w:vAlign w:val="center"/>
            <w:hideMark/>
          </w:tcPr>
          <w:p w14:paraId="748EFBF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2,014,902</w:t>
            </w:r>
          </w:p>
        </w:tc>
        <w:tc>
          <w:tcPr>
            <w:tcW w:w="468" w:type="pct"/>
            <w:tcBorders>
              <w:top w:val="nil"/>
              <w:left w:val="nil"/>
              <w:bottom w:val="nil"/>
              <w:right w:val="nil"/>
            </w:tcBorders>
            <w:shd w:val="clear" w:color="auto" w:fill="auto"/>
            <w:noWrap/>
            <w:vAlign w:val="center"/>
            <w:hideMark/>
          </w:tcPr>
          <w:p w14:paraId="2C6529D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1,526,184</w:t>
            </w:r>
          </w:p>
        </w:tc>
        <w:tc>
          <w:tcPr>
            <w:tcW w:w="468" w:type="pct"/>
            <w:tcBorders>
              <w:top w:val="nil"/>
              <w:left w:val="nil"/>
              <w:bottom w:val="nil"/>
              <w:right w:val="nil"/>
            </w:tcBorders>
            <w:shd w:val="clear" w:color="auto" w:fill="auto"/>
            <w:noWrap/>
            <w:vAlign w:val="center"/>
            <w:hideMark/>
          </w:tcPr>
          <w:p w14:paraId="4003FC4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1,147,367</w:t>
            </w:r>
          </w:p>
        </w:tc>
        <w:tc>
          <w:tcPr>
            <w:tcW w:w="468" w:type="pct"/>
            <w:tcBorders>
              <w:top w:val="nil"/>
              <w:left w:val="nil"/>
              <w:bottom w:val="nil"/>
              <w:right w:val="nil"/>
            </w:tcBorders>
            <w:shd w:val="clear" w:color="000000" w:fill="FFFF00"/>
            <w:noWrap/>
            <w:vAlign w:val="center"/>
            <w:hideMark/>
          </w:tcPr>
          <w:p w14:paraId="73F2B07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1,918,522</w:t>
            </w:r>
          </w:p>
        </w:tc>
        <w:tc>
          <w:tcPr>
            <w:tcW w:w="468" w:type="pct"/>
            <w:tcBorders>
              <w:top w:val="nil"/>
              <w:left w:val="nil"/>
              <w:bottom w:val="nil"/>
              <w:right w:val="nil"/>
            </w:tcBorders>
            <w:shd w:val="clear" w:color="auto" w:fill="auto"/>
            <w:noWrap/>
            <w:vAlign w:val="center"/>
            <w:hideMark/>
          </w:tcPr>
          <w:p w14:paraId="4069DD8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874,068</w:t>
            </w:r>
          </w:p>
        </w:tc>
        <w:tc>
          <w:tcPr>
            <w:tcW w:w="468" w:type="pct"/>
            <w:tcBorders>
              <w:top w:val="nil"/>
              <w:left w:val="nil"/>
              <w:bottom w:val="nil"/>
              <w:right w:val="nil"/>
            </w:tcBorders>
            <w:shd w:val="clear" w:color="auto" w:fill="auto"/>
            <w:noWrap/>
            <w:vAlign w:val="center"/>
            <w:hideMark/>
          </w:tcPr>
          <w:p w14:paraId="3863E1A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1,245,275</w:t>
            </w:r>
          </w:p>
        </w:tc>
        <w:tc>
          <w:tcPr>
            <w:tcW w:w="468" w:type="pct"/>
            <w:tcBorders>
              <w:top w:val="nil"/>
              <w:left w:val="nil"/>
              <w:bottom w:val="nil"/>
              <w:right w:val="nil"/>
            </w:tcBorders>
            <w:shd w:val="clear" w:color="auto" w:fill="auto"/>
            <w:noWrap/>
            <w:vAlign w:val="bottom"/>
            <w:hideMark/>
          </w:tcPr>
          <w:p w14:paraId="6AD48F3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1,142,698</w:t>
            </w:r>
          </w:p>
        </w:tc>
        <w:tc>
          <w:tcPr>
            <w:tcW w:w="468" w:type="pct"/>
            <w:tcBorders>
              <w:top w:val="nil"/>
              <w:left w:val="nil"/>
              <w:bottom w:val="nil"/>
              <w:right w:val="nil"/>
            </w:tcBorders>
            <w:shd w:val="clear" w:color="auto" w:fill="auto"/>
            <w:noWrap/>
            <w:vAlign w:val="bottom"/>
            <w:hideMark/>
          </w:tcPr>
          <w:p w14:paraId="77864E9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1,418,476</w:t>
            </w:r>
          </w:p>
        </w:tc>
      </w:tr>
      <w:tr w:rsidR="00DF7B57" w:rsidRPr="00017BC5" w14:paraId="7860573F" w14:textId="77777777" w:rsidTr="00503D38">
        <w:trPr>
          <w:trHeight w:val="255"/>
        </w:trPr>
        <w:tc>
          <w:tcPr>
            <w:tcW w:w="809" w:type="pct"/>
            <w:tcBorders>
              <w:top w:val="nil"/>
              <w:left w:val="nil"/>
              <w:bottom w:val="nil"/>
              <w:right w:val="nil"/>
            </w:tcBorders>
            <w:shd w:val="clear" w:color="auto" w:fill="auto"/>
            <w:noWrap/>
            <w:vAlign w:val="center"/>
            <w:hideMark/>
          </w:tcPr>
          <w:p w14:paraId="7B9AE85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Barron River</w:t>
            </w:r>
          </w:p>
        </w:tc>
        <w:tc>
          <w:tcPr>
            <w:tcW w:w="445" w:type="pct"/>
            <w:tcBorders>
              <w:top w:val="nil"/>
              <w:left w:val="nil"/>
              <w:bottom w:val="nil"/>
              <w:right w:val="nil"/>
            </w:tcBorders>
            <w:shd w:val="clear" w:color="auto" w:fill="auto"/>
            <w:noWrap/>
            <w:vAlign w:val="center"/>
            <w:hideMark/>
          </w:tcPr>
          <w:p w14:paraId="00D0CE3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526,686</w:t>
            </w:r>
          </w:p>
        </w:tc>
        <w:tc>
          <w:tcPr>
            <w:tcW w:w="468" w:type="pct"/>
            <w:tcBorders>
              <w:top w:val="nil"/>
              <w:left w:val="nil"/>
              <w:bottom w:val="nil"/>
              <w:right w:val="nil"/>
            </w:tcBorders>
            <w:shd w:val="clear" w:color="000000" w:fill="FF0000"/>
            <w:noWrap/>
            <w:vAlign w:val="center"/>
            <w:hideMark/>
          </w:tcPr>
          <w:p w14:paraId="6582ED4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2,119,801</w:t>
            </w:r>
          </w:p>
        </w:tc>
        <w:tc>
          <w:tcPr>
            <w:tcW w:w="468" w:type="pct"/>
            <w:tcBorders>
              <w:top w:val="nil"/>
              <w:left w:val="nil"/>
              <w:bottom w:val="nil"/>
              <w:right w:val="nil"/>
            </w:tcBorders>
            <w:shd w:val="clear" w:color="000000" w:fill="FFFF00"/>
            <w:noWrap/>
            <w:vAlign w:val="center"/>
            <w:hideMark/>
          </w:tcPr>
          <w:p w14:paraId="6AD51DC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852,055</w:t>
            </w:r>
          </w:p>
        </w:tc>
        <w:tc>
          <w:tcPr>
            <w:tcW w:w="468" w:type="pct"/>
            <w:tcBorders>
              <w:top w:val="nil"/>
              <w:left w:val="nil"/>
              <w:bottom w:val="nil"/>
              <w:right w:val="nil"/>
            </w:tcBorders>
            <w:shd w:val="clear" w:color="auto" w:fill="auto"/>
            <w:noWrap/>
            <w:vAlign w:val="center"/>
            <w:hideMark/>
          </w:tcPr>
          <w:p w14:paraId="0CE4129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328,260</w:t>
            </w:r>
          </w:p>
        </w:tc>
        <w:tc>
          <w:tcPr>
            <w:tcW w:w="468" w:type="pct"/>
            <w:tcBorders>
              <w:top w:val="nil"/>
              <w:left w:val="nil"/>
              <w:bottom w:val="nil"/>
              <w:right w:val="nil"/>
            </w:tcBorders>
            <w:shd w:val="clear" w:color="auto" w:fill="auto"/>
            <w:noWrap/>
            <w:vAlign w:val="center"/>
            <w:hideMark/>
          </w:tcPr>
          <w:p w14:paraId="24AA06C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663,966</w:t>
            </w:r>
          </w:p>
        </w:tc>
        <w:tc>
          <w:tcPr>
            <w:tcW w:w="468" w:type="pct"/>
            <w:tcBorders>
              <w:top w:val="nil"/>
              <w:left w:val="nil"/>
              <w:bottom w:val="nil"/>
              <w:right w:val="nil"/>
            </w:tcBorders>
            <w:shd w:val="clear" w:color="auto" w:fill="auto"/>
            <w:noWrap/>
            <w:vAlign w:val="center"/>
            <w:hideMark/>
          </w:tcPr>
          <w:p w14:paraId="29D36EB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380,395</w:t>
            </w:r>
          </w:p>
        </w:tc>
        <w:tc>
          <w:tcPr>
            <w:tcW w:w="468" w:type="pct"/>
            <w:tcBorders>
              <w:top w:val="nil"/>
              <w:left w:val="nil"/>
              <w:bottom w:val="nil"/>
              <w:right w:val="nil"/>
            </w:tcBorders>
            <w:shd w:val="clear" w:color="auto" w:fill="auto"/>
            <w:noWrap/>
            <w:vAlign w:val="center"/>
            <w:hideMark/>
          </w:tcPr>
          <w:p w14:paraId="2F4B3B9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182,999</w:t>
            </w:r>
          </w:p>
        </w:tc>
        <w:tc>
          <w:tcPr>
            <w:tcW w:w="468" w:type="pct"/>
            <w:tcBorders>
              <w:top w:val="nil"/>
              <w:left w:val="nil"/>
              <w:bottom w:val="nil"/>
              <w:right w:val="nil"/>
            </w:tcBorders>
            <w:shd w:val="clear" w:color="auto" w:fill="auto"/>
            <w:noWrap/>
            <w:vAlign w:val="bottom"/>
            <w:hideMark/>
          </w:tcPr>
          <w:p w14:paraId="743928C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287,790</w:t>
            </w:r>
          </w:p>
        </w:tc>
        <w:tc>
          <w:tcPr>
            <w:tcW w:w="468" w:type="pct"/>
            <w:tcBorders>
              <w:top w:val="nil"/>
              <w:left w:val="nil"/>
              <w:bottom w:val="nil"/>
              <w:right w:val="nil"/>
            </w:tcBorders>
            <w:shd w:val="clear" w:color="000000" w:fill="FFFF00"/>
            <w:noWrap/>
            <w:vAlign w:val="bottom"/>
            <w:hideMark/>
          </w:tcPr>
          <w:p w14:paraId="4FDD505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840,755</w:t>
            </w:r>
          </w:p>
        </w:tc>
      </w:tr>
      <w:tr w:rsidR="00DF7B57" w:rsidRPr="00017BC5" w14:paraId="1D4D7646" w14:textId="77777777" w:rsidTr="00017BC5">
        <w:trPr>
          <w:trHeight w:val="255"/>
        </w:trPr>
        <w:tc>
          <w:tcPr>
            <w:tcW w:w="809" w:type="pct"/>
            <w:tcBorders>
              <w:top w:val="nil"/>
              <w:left w:val="nil"/>
              <w:bottom w:val="nil"/>
              <w:right w:val="nil"/>
            </w:tcBorders>
            <w:shd w:val="clear" w:color="auto" w:fill="auto"/>
            <w:noWrap/>
            <w:vAlign w:val="center"/>
            <w:hideMark/>
          </w:tcPr>
          <w:p w14:paraId="230001D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Mulgrave-Russell River</w:t>
            </w:r>
          </w:p>
        </w:tc>
        <w:tc>
          <w:tcPr>
            <w:tcW w:w="445" w:type="pct"/>
            <w:tcBorders>
              <w:top w:val="nil"/>
              <w:left w:val="nil"/>
              <w:bottom w:val="nil"/>
              <w:right w:val="nil"/>
            </w:tcBorders>
            <w:shd w:val="clear" w:color="auto" w:fill="auto"/>
            <w:noWrap/>
            <w:vAlign w:val="center"/>
            <w:hideMark/>
          </w:tcPr>
          <w:p w14:paraId="5252D1E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4,457,940</w:t>
            </w:r>
          </w:p>
        </w:tc>
        <w:tc>
          <w:tcPr>
            <w:tcW w:w="468" w:type="pct"/>
            <w:tcBorders>
              <w:top w:val="nil"/>
              <w:left w:val="nil"/>
              <w:bottom w:val="nil"/>
              <w:right w:val="nil"/>
            </w:tcBorders>
            <w:shd w:val="clear" w:color="000000" w:fill="FFFF00"/>
            <w:noWrap/>
            <w:vAlign w:val="center"/>
            <w:hideMark/>
          </w:tcPr>
          <w:p w14:paraId="4E4B1AA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7,892,713</w:t>
            </w:r>
          </w:p>
        </w:tc>
        <w:tc>
          <w:tcPr>
            <w:tcW w:w="468" w:type="pct"/>
            <w:tcBorders>
              <w:top w:val="nil"/>
              <w:left w:val="nil"/>
              <w:bottom w:val="nil"/>
              <w:right w:val="nil"/>
            </w:tcBorders>
            <w:shd w:val="clear" w:color="auto" w:fill="auto"/>
            <w:noWrap/>
            <w:vAlign w:val="center"/>
            <w:hideMark/>
          </w:tcPr>
          <w:p w14:paraId="324A580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5,696,594</w:t>
            </w:r>
          </w:p>
        </w:tc>
        <w:tc>
          <w:tcPr>
            <w:tcW w:w="468" w:type="pct"/>
            <w:tcBorders>
              <w:top w:val="nil"/>
              <w:left w:val="nil"/>
              <w:bottom w:val="nil"/>
              <w:right w:val="nil"/>
            </w:tcBorders>
            <w:shd w:val="clear" w:color="auto" w:fill="auto"/>
            <w:noWrap/>
            <w:vAlign w:val="center"/>
            <w:hideMark/>
          </w:tcPr>
          <w:p w14:paraId="6920CD5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3,529,862</w:t>
            </w:r>
          </w:p>
        </w:tc>
        <w:tc>
          <w:tcPr>
            <w:tcW w:w="468" w:type="pct"/>
            <w:tcBorders>
              <w:top w:val="nil"/>
              <w:left w:val="nil"/>
              <w:bottom w:val="nil"/>
              <w:right w:val="nil"/>
            </w:tcBorders>
            <w:shd w:val="clear" w:color="auto" w:fill="auto"/>
            <w:noWrap/>
            <w:vAlign w:val="center"/>
            <w:hideMark/>
          </w:tcPr>
          <w:p w14:paraId="2A71EAD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5,420,678</w:t>
            </w:r>
          </w:p>
        </w:tc>
        <w:tc>
          <w:tcPr>
            <w:tcW w:w="468" w:type="pct"/>
            <w:tcBorders>
              <w:top w:val="nil"/>
              <w:left w:val="nil"/>
              <w:bottom w:val="nil"/>
              <w:right w:val="nil"/>
            </w:tcBorders>
            <w:shd w:val="clear" w:color="auto" w:fill="auto"/>
            <w:noWrap/>
            <w:vAlign w:val="center"/>
            <w:hideMark/>
          </w:tcPr>
          <w:p w14:paraId="6F4B972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3,145,787</w:t>
            </w:r>
          </w:p>
        </w:tc>
        <w:tc>
          <w:tcPr>
            <w:tcW w:w="468" w:type="pct"/>
            <w:tcBorders>
              <w:top w:val="nil"/>
              <w:left w:val="nil"/>
              <w:bottom w:val="nil"/>
              <w:right w:val="nil"/>
            </w:tcBorders>
            <w:shd w:val="clear" w:color="auto" w:fill="auto"/>
            <w:noWrap/>
            <w:vAlign w:val="center"/>
            <w:hideMark/>
          </w:tcPr>
          <w:p w14:paraId="41F23A2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3,253,825</w:t>
            </w:r>
          </w:p>
        </w:tc>
        <w:tc>
          <w:tcPr>
            <w:tcW w:w="468" w:type="pct"/>
            <w:tcBorders>
              <w:top w:val="nil"/>
              <w:left w:val="nil"/>
              <w:bottom w:val="nil"/>
              <w:right w:val="nil"/>
            </w:tcBorders>
            <w:shd w:val="clear" w:color="auto" w:fill="auto"/>
            <w:noWrap/>
            <w:vAlign w:val="bottom"/>
            <w:hideMark/>
          </w:tcPr>
          <w:p w14:paraId="04AD268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3,015,734</w:t>
            </w:r>
          </w:p>
        </w:tc>
        <w:tc>
          <w:tcPr>
            <w:tcW w:w="468" w:type="pct"/>
            <w:tcBorders>
              <w:top w:val="nil"/>
              <w:left w:val="nil"/>
              <w:bottom w:val="nil"/>
              <w:right w:val="nil"/>
            </w:tcBorders>
            <w:shd w:val="clear" w:color="auto" w:fill="auto"/>
            <w:noWrap/>
            <w:vAlign w:val="bottom"/>
            <w:hideMark/>
          </w:tcPr>
          <w:p w14:paraId="01AB223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5,510,213</w:t>
            </w:r>
          </w:p>
        </w:tc>
      </w:tr>
      <w:tr w:rsidR="00DF7B57" w:rsidRPr="00017BC5" w14:paraId="61F0157A" w14:textId="77777777" w:rsidTr="00017BC5">
        <w:trPr>
          <w:trHeight w:val="255"/>
        </w:trPr>
        <w:tc>
          <w:tcPr>
            <w:tcW w:w="809" w:type="pct"/>
            <w:tcBorders>
              <w:top w:val="nil"/>
              <w:left w:val="nil"/>
              <w:bottom w:val="nil"/>
              <w:right w:val="nil"/>
            </w:tcBorders>
            <w:shd w:val="clear" w:color="auto" w:fill="auto"/>
            <w:noWrap/>
            <w:vAlign w:val="center"/>
            <w:hideMark/>
          </w:tcPr>
          <w:p w14:paraId="3FBF156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Johnstone River</w:t>
            </w:r>
          </w:p>
        </w:tc>
        <w:tc>
          <w:tcPr>
            <w:tcW w:w="445" w:type="pct"/>
            <w:tcBorders>
              <w:top w:val="nil"/>
              <w:left w:val="nil"/>
              <w:bottom w:val="nil"/>
              <w:right w:val="nil"/>
            </w:tcBorders>
            <w:shd w:val="clear" w:color="auto" w:fill="auto"/>
            <w:noWrap/>
            <w:vAlign w:val="center"/>
            <w:hideMark/>
          </w:tcPr>
          <w:p w14:paraId="20A5D7B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4,743,915</w:t>
            </w:r>
          </w:p>
        </w:tc>
        <w:tc>
          <w:tcPr>
            <w:tcW w:w="468" w:type="pct"/>
            <w:tcBorders>
              <w:top w:val="nil"/>
              <w:left w:val="nil"/>
              <w:bottom w:val="nil"/>
              <w:right w:val="nil"/>
            </w:tcBorders>
            <w:shd w:val="clear" w:color="000000" w:fill="FF9900"/>
            <w:noWrap/>
            <w:vAlign w:val="center"/>
            <w:hideMark/>
          </w:tcPr>
          <w:p w14:paraId="1550FDD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9,276,874</w:t>
            </w:r>
          </w:p>
        </w:tc>
        <w:tc>
          <w:tcPr>
            <w:tcW w:w="468" w:type="pct"/>
            <w:tcBorders>
              <w:top w:val="nil"/>
              <w:left w:val="nil"/>
              <w:bottom w:val="nil"/>
              <w:right w:val="nil"/>
            </w:tcBorders>
            <w:shd w:val="clear" w:color="auto" w:fill="auto"/>
            <w:noWrap/>
            <w:vAlign w:val="center"/>
            <w:hideMark/>
          </w:tcPr>
          <w:p w14:paraId="5F26043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5,338,591</w:t>
            </w:r>
          </w:p>
        </w:tc>
        <w:tc>
          <w:tcPr>
            <w:tcW w:w="468" w:type="pct"/>
            <w:tcBorders>
              <w:top w:val="nil"/>
              <w:left w:val="nil"/>
              <w:bottom w:val="nil"/>
              <w:right w:val="nil"/>
            </w:tcBorders>
            <w:shd w:val="clear" w:color="auto" w:fill="auto"/>
            <w:noWrap/>
            <w:vAlign w:val="center"/>
            <w:hideMark/>
          </w:tcPr>
          <w:p w14:paraId="507C317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3,720,020</w:t>
            </w:r>
          </w:p>
        </w:tc>
        <w:tc>
          <w:tcPr>
            <w:tcW w:w="468" w:type="pct"/>
            <w:tcBorders>
              <w:top w:val="nil"/>
              <w:left w:val="nil"/>
              <w:bottom w:val="nil"/>
              <w:right w:val="nil"/>
            </w:tcBorders>
            <w:shd w:val="clear" w:color="auto" w:fill="auto"/>
            <w:noWrap/>
            <w:vAlign w:val="center"/>
            <w:hideMark/>
          </w:tcPr>
          <w:p w14:paraId="478224E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5,403,534</w:t>
            </w:r>
          </w:p>
        </w:tc>
        <w:tc>
          <w:tcPr>
            <w:tcW w:w="468" w:type="pct"/>
            <w:tcBorders>
              <w:top w:val="nil"/>
              <w:left w:val="nil"/>
              <w:bottom w:val="nil"/>
              <w:right w:val="nil"/>
            </w:tcBorders>
            <w:shd w:val="clear" w:color="auto" w:fill="auto"/>
            <w:noWrap/>
            <w:vAlign w:val="center"/>
            <w:hideMark/>
          </w:tcPr>
          <w:p w14:paraId="66CF869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3,044,680</w:t>
            </w:r>
          </w:p>
        </w:tc>
        <w:tc>
          <w:tcPr>
            <w:tcW w:w="468" w:type="pct"/>
            <w:tcBorders>
              <w:top w:val="nil"/>
              <w:left w:val="nil"/>
              <w:bottom w:val="nil"/>
              <w:right w:val="nil"/>
            </w:tcBorders>
            <w:shd w:val="clear" w:color="auto" w:fill="auto"/>
            <w:noWrap/>
            <w:vAlign w:val="center"/>
            <w:hideMark/>
          </w:tcPr>
          <w:p w14:paraId="426C322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3,416,331</w:t>
            </w:r>
          </w:p>
        </w:tc>
        <w:tc>
          <w:tcPr>
            <w:tcW w:w="468" w:type="pct"/>
            <w:tcBorders>
              <w:top w:val="nil"/>
              <w:left w:val="nil"/>
              <w:bottom w:val="nil"/>
              <w:right w:val="nil"/>
            </w:tcBorders>
            <w:shd w:val="clear" w:color="auto" w:fill="auto"/>
            <w:noWrap/>
            <w:vAlign w:val="bottom"/>
            <w:hideMark/>
          </w:tcPr>
          <w:p w14:paraId="4BCD5C2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4,017,617</w:t>
            </w:r>
          </w:p>
        </w:tc>
        <w:tc>
          <w:tcPr>
            <w:tcW w:w="468" w:type="pct"/>
            <w:tcBorders>
              <w:top w:val="nil"/>
              <w:left w:val="nil"/>
              <w:bottom w:val="nil"/>
              <w:right w:val="nil"/>
            </w:tcBorders>
            <w:shd w:val="clear" w:color="auto" w:fill="auto"/>
            <w:noWrap/>
            <w:vAlign w:val="bottom"/>
            <w:hideMark/>
          </w:tcPr>
          <w:p w14:paraId="20546D4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5,644,908</w:t>
            </w:r>
          </w:p>
        </w:tc>
      </w:tr>
      <w:tr w:rsidR="00DF7B57" w:rsidRPr="00017BC5" w14:paraId="4F77AD45" w14:textId="77777777" w:rsidTr="00017BC5">
        <w:trPr>
          <w:trHeight w:val="255"/>
        </w:trPr>
        <w:tc>
          <w:tcPr>
            <w:tcW w:w="809" w:type="pct"/>
            <w:tcBorders>
              <w:top w:val="nil"/>
              <w:left w:val="nil"/>
              <w:bottom w:val="nil"/>
              <w:right w:val="nil"/>
            </w:tcBorders>
            <w:shd w:val="clear" w:color="auto" w:fill="auto"/>
            <w:noWrap/>
            <w:vAlign w:val="center"/>
            <w:hideMark/>
          </w:tcPr>
          <w:p w14:paraId="5274D25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Tully River</w:t>
            </w:r>
          </w:p>
        </w:tc>
        <w:tc>
          <w:tcPr>
            <w:tcW w:w="445" w:type="pct"/>
            <w:tcBorders>
              <w:top w:val="nil"/>
              <w:left w:val="nil"/>
              <w:bottom w:val="nil"/>
              <w:right w:val="nil"/>
            </w:tcBorders>
            <w:shd w:val="clear" w:color="auto" w:fill="auto"/>
            <w:noWrap/>
            <w:vAlign w:val="center"/>
            <w:hideMark/>
          </w:tcPr>
          <w:p w14:paraId="66B7535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3,536,054</w:t>
            </w:r>
          </w:p>
        </w:tc>
        <w:tc>
          <w:tcPr>
            <w:tcW w:w="468" w:type="pct"/>
            <w:tcBorders>
              <w:top w:val="nil"/>
              <w:left w:val="nil"/>
              <w:bottom w:val="nil"/>
              <w:right w:val="nil"/>
            </w:tcBorders>
            <w:shd w:val="clear" w:color="000000" w:fill="FF9900"/>
            <w:noWrap/>
            <w:vAlign w:val="center"/>
            <w:hideMark/>
          </w:tcPr>
          <w:p w14:paraId="220404D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7,442,768</w:t>
            </w:r>
          </w:p>
        </w:tc>
        <w:tc>
          <w:tcPr>
            <w:tcW w:w="468" w:type="pct"/>
            <w:tcBorders>
              <w:top w:val="nil"/>
              <w:left w:val="nil"/>
              <w:bottom w:val="nil"/>
              <w:right w:val="nil"/>
            </w:tcBorders>
            <w:shd w:val="clear" w:color="auto" w:fill="auto"/>
            <w:noWrap/>
            <w:vAlign w:val="center"/>
            <w:hideMark/>
          </w:tcPr>
          <w:p w14:paraId="0F3BAC9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3,425,096</w:t>
            </w:r>
          </w:p>
        </w:tc>
        <w:tc>
          <w:tcPr>
            <w:tcW w:w="468" w:type="pct"/>
            <w:tcBorders>
              <w:top w:val="nil"/>
              <w:left w:val="nil"/>
              <w:bottom w:val="nil"/>
              <w:right w:val="nil"/>
            </w:tcBorders>
            <w:shd w:val="clear" w:color="auto" w:fill="auto"/>
            <w:noWrap/>
            <w:vAlign w:val="center"/>
            <w:hideMark/>
          </w:tcPr>
          <w:p w14:paraId="7F57EA1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3,341,887</w:t>
            </w:r>
          </w:p>
        </w:tc>
        <w:tc>
          <w:tcPr>
            <w:tcW w:w="468" w:type="pct"/>
            <w:tcBorders>
              <w:top w:val="nil"/>
              <w:left w:val="nil"/>
              <w:bottom w:val="nil"/>
              <w:right w:val="nil"/>
            </w:tcBorders>
            <w:shd w:val="clear" w:color="auto" w:fill="auto"/>
            <w:noWrap/>
            <w:vAlign w:val="center"/>
            <w:hideMark/>
          </w:tcPr>
          <w:p w14:paraId="6ABBCBF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4,322,496</w:t>
            </w:r>
          </w:p>
        </w:tc>
        <w:tc>
          <w:tcPr>
            <w:tcW w:w="468" w:type="pct"/>
            <w:tcBorders>
              <w:top w:val="nil"/>
              <w:left w:val="nil"/>
              <w:bottom w:val="nil"/>
              <w:right w:val="nil"/>
            </w:tcBorders>
            <w:shd w:val="clear" w:color="auto" w:fill="auto"/>
            <w:noWrap/>
            <w:vAlign w:val="center"/>
            <w:hideMark/>
          </w:tcPr>
          <w:p w14:paraId="418CC6A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2,659,775</w:t>
            </w:r>
          </w:p>
        </w:tc>
        <w:tc>
          <w:tcPr>
            <w:tcW w:w="468" w:type="pct"/>
            <w:tcBorders>
              <w:top w:val="nil"/>
              <w:left w:val="nil"/>
              <w:bottom w:val="nil"/>
              <w:right w:val="nil"/>
            </w:tcBorders>
            <w:shd w:val="clear" w:color="auto" w:fill="auto"/>
            <w:noWrap/>
            <w:vAlign w:val="center"/>
            <w:hideMark/>
          </w:tcPr>
          <w:p w14:paraId="50AED60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2,942,770</w:t>
            </w:r>
          </w:p>
        </w:tc>
        <w:tc>
          <w:tcPr>
            <w:tcW w:w="468" w:type="pct"/>
            <w:tcBorders>
              <w:top w:val="nil"/>
              <w:left w:val="nil"/>
              <w:bottom w:val="nil"/>
              <w:right w:val="nil"/>
            </w:tcBorders>
            <w:shd w:val="clear" w:color="auto" w:fill="auto"/>
            <w:noWrap/>
            <w:vAlign w:val="bottom"/>
            <w:hideMark/>
          </w:tcPr>
          <w:p w14:paraId="5E55BC0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3,098,701</w:t>
            </w:r>
          </w:p>
        </w:tc>
        <w:tc>
          <w:tcPr>
            <w:tcW w:w="468" w:type="pct"/>
            <w:tcBorders>
              <w:top w:val="nil"/>
              <w:left w:val="nil"/>
              <w:bottom w:val="nil"/>
              <w:right w:val="nil"/>
            </w:tcBorders>
            <w:shd w:val="clear" w:color="auto" w:fill="auto"/>
            <w:noWrap/>
            <w:vAlign w:val="bottom"/>
            <w:hideMark/>
          </w:tcPr>
          <w:p w14:paraId="1A1C6C6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3,922,655</w:t>
            </w:r>
          </w:p>
        </w:tc>
      </w:tr>
      <w:tr w:rsidR="00DF7B57" w:rsidRPr="00017BC5" w14:paraId="0C61FB51" w14:textId="77777777" w:rsidTr="00503D38">
        <w:trPr>
          <w:trHeight w:val="255"/>
        </w:trPr>
        <w:tc>
          <w:tcPr>
            <w:tcW w:w="809" w:type="pct"/>
            <w:tcBorders>
              <w:top w:val="nil"/>
              <w:left w:val="nil"/>
              <w:bottom w:val="nil"/>
              <w:right w:val="nil"/>
            </w:tcBorders>
            <w:shd w:val="clear" w:color="auto" w:fill="auto"/>
            <w:noWrap/>
            <w:vAlign w:val="center"/>
            <w:hideMark/>
          </w:tcPr>
          <w:p w14:paraId="3D3F019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Murray River</w:t>
            </w:r>
          </w:p>
        </w:tc>
        <w:tc>
          <w:tcPr>
            <w:tcW w:w="445" w:type="pct"/>
            <w:tcBorders>
              <w:top w:val="nil"/>
              <w:left w:val="nil"/>
              <w:bottom w:val="nil"/>
              <w:right w:val="nil"/>
            </w:tcBorders>
            <w:shd w:val="clear" w:color="auto" w:fill="auto"/>
            <w:noWrap/>
            <w:vAlign w:val="center"/>
            <w:hideMark/>
          </w:tcPr>
          <w:p w14:paraId="352CC94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1,227,888</w:t>
            </w:r>
          </w:p>
        </w:tc>
        <w:tc>
          <w:tcPr>
            <w:tcW w:w="468" w:type="pct"/>
            <w:tcBorders>
              <w:top w:val="nil"/>
              <w:left w:val="nil"/>
              <w:bottom w:val="nil"/>
              <w:right w:val="nil"/>
            </w:tcBorders>
            <w:shd w:val="clear" w:color="000000" w:fill="FF0000"/>
            <w:noWrap/>
            <w:vAlign w:val="center"/>
            <w:hideMark/>
          </w:tcPr>
          <w:p w14:paraId="1233B22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4,267,125</w:t>
            </w:r>
          </w:p>
        </w:tc>
        <w:tc>
          <w:tcPr>
            <w:tcW w:w="468" w:type="pct"/>
            <w:tcBorders>
              <w:top w:val="nil"/>
              <w:left w:val="nil"/>
              <w:bottom w:val="nil"/>
              <w:right w:val="nil"/>
            </w:tcBorders>
            <w:shd w:val="clear" w:color="000000" w:fill="FFFF00"/>
            <w:noWrap/>
            <w:vAlign w:val="center"/>
            <w:hideMark/>
          </w:tcPr>
          <w:p w14:paraId="6446E69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2,062,103</w:t>
            </w:r>
          </w:p>
        </w:tc>
        <w:tc>
          <w:tcPr>
            <w:tcW w:w="468" w:type="pct"/>
            <w:tcBorders>
              <w:top w:val="nil"/>
              <w:left w:val="nil"/>
              <w:bottom w:val="nil"/>
              <w:right w:val="nil"/>
            </w:tcBorders>
            <w:shd w:val="clear" w:color="auto" w:fill="auto"/>
            <w:noWrap/>
            <w:vAlign w:val="center"/>
            <w:hideMark/>
          </w:tcPr>
          <w:p w14:paraId="0F0A5B2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1,006,286</w:t>
            </w:r>
          </w:p>
        </w:tc>
        <w:tc>
          <w:tcPr>
            <w:tcW w:w="468" w:type="pct"/>
            <w:tcBorders>
              <w:top w:val="nil"/>
              <w:left w:val="nil"/>
              <w:bottom w:val="nil"/>
              <w:right w:val="nil"/>
            </w:tcBorders>
            <w:shd w:val="clear" w:color="auto" w:fill="auto"/>
            <w:noWrap/>
            <w:vAlign w:val="center"/>
            <w:hideMark/>
          </w:tcPr>
          <w:p w14:paraId="1B577E2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1,531,172</w:t>
            </w:r>
          </w:p>
        </w:tc>
        <w:tc>
          <w:tcPr>
            <w:tcW w:w="468" w:type="pct"/>
            <w:tcBorders>
              <w:top w:val="nil"/>
              <w:left w:val="nil"/>
              <w:bottom w:val="nil"/>
              <w:right w:val="nil"/>
            </w:tcBorders>
            <w:shd w:val="clear" w:color="auto" w:fill="auto"/>
            <w:noWrap/>
            <w:vAlign w:val="center"/>
            <w:hideMark/>
          </w:tcPr>
          <w:p w14:paraId="06902EC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366,212</w:t>
            </w:r>
          </w:p>
        </w:tc>
        <w:tc>
          <w:tcPr>
            <w:tcW w:w="468" w:type="pct"/>
            <w:tcBorders>
              <w:top w:val="nil"/>
              <w:left w:val="nil"/>
              <w:bottom w:val="nil"/>
              <w:right w:val="nil"/>
            </w:tcBorders>
            <w:shd w:val="clear" w:color="auto" w:fill="auto"/>
            <w:noWrap/>
            <w:vAlign w:val="center"/>
            <w:hideMark/>
          </w:tcPr>
          <w:p w14:paraId="645E9AF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974,244</w:t>
            </w:r>
          </w:p>
        </w:tc>
        <w:tc>
          <w:tcPr>
            <w:tcW w:w="468" w:type="pct"/>
            <w:tcBorders>
              <w:top w:val="nil"/>
              <w:left w:val="nil"/>
              <w:bottom w:val="nil"/>
              <w:right w:val="nil"/>
            </w:tcBorders>
            <w:shd w:val="clear" w:color="auto" w:fill="auto"/>
            <w:noWrap/>
            <w:vAlign w:val="bottom"/>
            <w:hideMark/>
          </w:tcPr>
          <w:p w14:paraId="1C6C1BC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947,985</w:t>
            </w:r>
          </w:p>
        </w:tc>
        <w:tc>
          <w:tcPr>
            <w:tcW w:w="468" w:type="pct"/>
            <w:tcBorders>
              <w:top w:val="nil"/>
              <w:left w:val="nil"/>
              <w:bottom w:val="nil"/>
              <w:right w:val="nil"/>
            </w:tcBorders>
            <w:shd w:val="clear" w:color="auto" w:fill="auto"/>
            <w:noWrap/>
            <w:vAlign w:val="bottom"/>
            <w:hideMark/>
          </w:tcPr>
          <w:p w14:paraId="7A72422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1,648,662</w:t>
            </w:r>
          </w:p>
        </w:tc>
      </w:tr>
      <w:tr w:rsidR="00DF7B57" w:rsidRPr="00017BC5" w14:paraId="3A820B82" w14:textId="77777777" w:rsidTr="00503D38">
        <w:trPr>
          <w:trHeight w:val="255"/>
        </w:trPr>
        <w:tc>
          <w:tcPr>
            <w:tcW w:w="809" w:type="pct"/>
            <w:tcBorders>
              <w:top w:val="nil"/>
              <w:left w:val="nil"/>
              <w:bottom w:val="nil"/>
              <w:right w:val="nil"/>
            </w:tcBorders>
            <w:shd w:val="clear" w:color="auto" w:fill="auto"/>
            <w:noWrap/>
            <w:vAlign w:val="center"/>
            <w:hideMark/>
          </w:tcPr>
          <w:p w14:paraId="25F2F7D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Herbert River</w:t>
            </w:r>
          </w:p>
        </w:tc>
        <w:tc>
          <w:tcPr>
            <w:tcW w:w="445" w:type="pct"/>
            <w:tcBorders>
              <w:top w:val="nil"/>
              <w:left w:val="nil"/>
              <w:bottom w:val="nil"/>
              <w:right w:val="nil"/>
            </w:tcBorders>
            <w:shd w:val="clear" w:color="auto" w:fill="auto"/>
            <w:noWrap/>
            <w:vAlign w:val="center"/>
            <w:hideMark/>
          </w:tcPr>
          <w:p w14:paraId="7519D8E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3,556,376</w:t>
            </w:r>
          </w:p>
        </w:tc>
        <w:tc>
          <w:tcPr>
            <w:tcW w:w="468" w:type="pct"/>
            <w:tcBorders>
              <w:top w:val="nil"/>
              <w:left w:val="nil"/>
              <w:bottom w:val="nil"/>
              <w:right w:val="nil"/>
            </w:tcBorders>
            <w:shd w:val="clear" w:color="000000" w:fill="FF0000"/>
            <w:noWrap/>
            <w:vAlign w:val="center"/>
            <w:hideMark/>
          </w:tcPr>
          <w:p w14:paraId="7BA2F6C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12,593,674</w:t>
            </w:r>
          </w:p>
        </w:tc>
        <w:tc>
          <w:tcPr>
            <w:tcW w:w="468" w:type="pct"/>
            <w:tcBorders>
              <w:top w:val="nil"/>
              <w:left w:val="nil"/>
              <w:bottom w:val="nil"/>
              <w:right w:val="nil"/>
            </w:tcBorders>
            <w:shd w:val="clear" w:color="auto" w:fill="auto"/>
            <w:noWrap/>
            <w:vAlign w:val="center"/>
            <w:hideMark/>
          </w:tcPr>
          <w:p w14:paraId="35E2EB1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4,545,193</w:t>
            </w:r>
          </w:p>
        </w:tc>
        <w:tc>
          <w:tcPr>
            <w:tcW w:w="468" w:type="pct"/>
            <w:tcBorders>
              <w:top w:val="nil"/>
              <w:left w:val="nil"/>
              <w:bottom w:val="nil"/>
              <w:right w:val="nil"/>
            </w:tcBorders>
            <w:shd w:val="clear" w:color="auto" w:fill="auto"/>
            <w:noWrap/>
            <w:vAlign w:val="center"/>
            <w:hideMark/>
          </w:tcPr>
          <w:p w14:paraId="5D60C7D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3,189,804</w:t>
            </w:r>
          </w:p>
        </w:tc>
        <w:tc>
          <w:tcPr>
            <w:tcW w:w="468" w:type="pct"/>
            <w:tcBorders>
              <w:top w:val="nil"/>
              <w:left w:val="nil"/>
              <w:bottom w:val="nil"/>
              <w:right w:val="nil"/>
            </w:tcBorders>
            <w:shd w:val="clear" w:color="auto" w:fill="auto"/>
            <w:noWrap/>
            <w:vAlign w:val="center"/>
            <w:hideMark/>
          </w:tcPr>
          <w:p w14:paraId="64E0373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4,281,607</w:t>
            </w:r>
          </w:p>
        </w:tc>
        <w:tc>
          <w:tcPr>
            <w:tcW w:w="468" w:type="pct"/>
            <w:tcBorders>
              <w:top w:val="nil"/>
              <w:left w:val="nil"/>
              <w:bottom w:val="nil"/>
              <w:right w:val="nil"/>
            </w:tcBorders>
            <w:shd w:val="clear" w:color="auto" w:fill="auto"/>
            <w:noWrap/>
            <w:vAlign w:val="center"/>
            <w:hideMark/>
          </w:tcPr>
          <w:p w14:paraId="08B2E8D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1,095,372</w:t>
            </w:r>
          </w:p>
        </w:tc>
        <w:tc>
          <w:tcPr>
            <w:tcW w:w="468" w:type="pct"/>
            <w:tcBorders>
              <w:top w:val="nil"/>
              <w:left w:val="nil"/>
              <w:bottom w:val="nil"/>
              <w:right w:val="nil"/>
            </w:tcBorders>
            <w:shd w:val="clear" w:color="auto" w:fill="auto"/>
            <w:noWrap/>
            <w:vAlign w:val="center"/>
            <w:hideMark/>
          </w:tcPr>
          <w:p w14:paraId="529C1C6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1,895,526</w:t>
            </w:r>
          </w:p>
        </w:tc>
        <w:tc>
          <w:tcPr>
            <w:tcW w:w="468" w:type="pct"/>
            <w:tcBorders>
              <w:top w:val="nil"/>
              <w:left w:val="nil"/>
              <w:bottom w:val="nil"/>
              <w:right w:val="nil"/>
            </w:tcBorders>
            <w:shd w:val="clear" w:color="auto" w:fill="auto"/>
            <w:noWrap/>
            <w:vAlign w:val="bottom"/>
            <w:hideMark/>
          </w:tcPr>
          <w:p w14:paraId="49F9BAF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2,248,436</w:t>
            </w:r>
          </w:p>
        </w:tc>
        <w:tc>
          <w:tcPr>
            <w:tcW w:w="468" w:type="pct"/>
            <w:tcBorders>
              <w:top w:val="nil"/>
              <w:left w:val="nil"/>
              <w:bottom w:val="nil"/>
              <w:right w:val="nil"/>
            </w:tcBorders>
            <w:shd w:val="clear" w:color="000000" w:fill="FFFF00"/>
            <w:noWrap/>
            <w:vAlign w:val="bottom"/>
            <w:hideMark/>
          </w:tcPr>
          <w:p w14:paraId="0C87382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6,284,190</w:t>
            </w:r>
          </w:p>
        </w:tc>
      </w:tr>
      <w:tr w:rsidR="00DF7B57" w:rsidRPr="00017BC5" w14:paraId="754B3772" w14:textId="77777777" w:rsidTr="00503D38">
        <w:trPr>
          <w:trHeight w:val="255"/>
        </w:trPr>
        <w:tc>
          <w:tcPr>
            <w:tcW w:w="809" w:type="pct"/>
            <w:tcBorders>
              <w:top w:val="nil"/>
              <w:left w:val="nil"/>
              <w:bottom w:val="nil"/>
              <w:right w:val="nil"/>
            </w:tcBorders>
            <w:shd w:val="clear" w:color="auto" w:fill="auto"/>
            <w:noWrap/>
            <w:vAlign w:val="center"/>
            <w:hideMark/>
          </w:tcPr>
          <w:p w14:paraId="2A003DD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Black River</w:t>
            </w:r>
          </w:p>
        </w:tc>
        <w:tc>
          <w:tcPr>
            <w:tcW w:w="445" w:type="pct"/>
            <w:tcBorders>
              <w:top w:val="nil"/>
              <w:left w:val="nil"/>
              <w:bottom w:val="nil"/>
              <w:right w:val="nil"/>
            </w:tcBorders>
            <w:shd w:val="clear" w:color="auto" w:fill="auto"/>
            <w:noWrap/>
            <w:vAlign w:val="center"/>
            <w:hideMark/>
          </w:tcPr>
          <w:p w14:paraId="6650284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228,629</w:t>
            </w:r>
          </w:p>
        </w:tc>
        <w:tc>
          <w:tcPr>
            <w:tcW w:w="468" w:type="pct"/>
            <w:tcBorders>
              <w:top w:val="nil"/>
              <w:left w:val="nil"/>
              <w:bottom w:val="nil"/>
              <w:right w:val="nil"/>
            </w:tcBorders>
            <w:shd w:val="clear" w:color="000000" w:fill="FF0000"/>
            <w:noWrap/>
            <w:vAlign w:val="center"/>
            <w:hideMark/>
          </w:tcPr>
          <w:p w14:paraId="2C2541B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1,424,283</w:t>
            </w:r>
          </w:p>
        </w:tc>
        <w:tc>
          <w:tcPr>
            <w:tcW w:w="468" w:type="pct"/>
            <w:tcBorders>
              <w:top w:val="nil"/>
              <w:left w:val="nil"/>
              <w:bottom w:val="nil"/>
              <w:right w:val="nil"/>
            </w:tcBorders>
            <w:shd w:val="clear" w:color="000000" w:fill="FF0000"/>
            <w:noWrap/>
            <w:vAlign w:val="center"/>
            <w:hideMark/>
          </w:tcPr>
          <w:p w14:paraId="2C561BB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747,328</w:t>
            </w:r>
          </w:p>
        </w:tc>
        <w:tc>
          <w:tcPr>
            <w:tcW w:w="468" w:type="pct"/>
            <w:tcBorders>
              <w:top w:val="nil"/>
              <w:left w:val="nil"/>
              <w:bottom w:val="nil"/>
              <w:right w:val="nil"/>
            </w:tcBorders>
            <w:shd w:val="clear" w:color="auto" w:fill="auto"/>
            <w:noWrap/>
            <w:vAlign w:val="center"/>
            <w:hideMark/>
          </w:tcPr>
          <w:p w14:paraId="7E71EAF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188,468</w:t>
            </w:r>
          </w:p>
        </w:tc>
        <w:tc>
          <w:tcPr>
            <w:tcW w:w="468" w:type="pct"/>
            <w:tcBorders>
              <w:top w:val="nil"/>
              <w:left w:val="nil"/>
              <w:bottom w:val="nil"/>
              <w:right w:val="nil"/>
            </w:tcBorders>
            <w:shd w:val="clear" w:color="000000" w:fill="FFFF00"/>
            <w:noWrap/>
            <w:vAlign w:val="center"/>
            <w:hideMark/>
          </w:tcPr>
          <w:p w14:paraId="7350A58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419,290</w:t>
            </w:r>
          </w:p>
        </w:tc>
        <w:tc>
          <w:tcPr>
            <w:tcW w:w="468" w:type="pct"/>
            <w:tcBorders>
              <w:top w:val="nil"/>
              <w:left w:val="nil"/>
              <w:bottom w:val="nil"/>
              <w:right w:val="nil"/>
            </w:tcBorders>
            <w:shd w:val="clear" w:color="auto" w:fill="auto"/>
            <w:noWrap/>
            <w:vAlign w:val="center"/>
            <w:hideMark/>
          </w:tcPr>
          <w:p w14:paraId="77EB201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17,654</w:t>
            </w:r>
          </w:p>
        </w:tc>
        <w:tc>
          <w:tcPr>
            <w:tcW w:w="468" w:type="pct"/>
            <w:tcBorders>
              <w:top w:val="nil"/>
              <w:left w:val="nil"/>
              <w:bottom w:val="nil"/>
              <w:right w:val="nil"/>
            </w:tcBorders>
            <w:shd w:val="clear" w:color="auto" w:fill="auto"/>
            <w:noWrap/>
            <w:vAlign w:val="center"/>
            <w:hideMark/>
          </w:tcPr>
          <w:p w14:paraId="123B939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129,783</w:t>
            </w:r>
          </w:p>
        </w:tc>
        <w:tc>
          <w:tcPr>
            <w:tcW w:w="468" w:type="pct"/>
            <w:tcBorders>
              <w:top w:val="nil"/>
              <w:left w:val="nil"/>
              <w:bottom w:val="nil"/>
              <w:right w:val="nil"/>
            </w:tcBorders>
            <w:shd w:val="clear" w:color="auto" w:fill="auto"/>
            <w:noWrap/>
            <w:vAlign w:val="bottom"/>
            <w:hideMark/>
          </w:tcPr>
          <w:p w14:paraId="1299AB0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64,873</w:t>
            </w:r>
          </w:p>
        </w:tc>
        <w:tc>
          <w:tcPr>
            <w:tcW w:w="468" w:type="pct"/>
            <w:tcBorders>
              <w:top w:val="nil"/>
              <w:left w:val="nil"/>
              <w:bottom w:val="nil"/>
              <w:right w:val="nil"/>
            </w:tcBorders>
            <w:shd w:val="clear" w:color="000000" w:fill="FF9900"/>
            <w:noWrap/>
            <w:vAlign w:val="bottom"/>
            <w:hideMark/>
          </w:tcPr>
          <w:p w14:paraId="2C41D9B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456,795</w:t>
            </w:r>
          </w:p>
        </w:tc>
      </w:tr>
      <w:tr w:rsidR="00DF7B57" w:rsidRPr="00017BC5" w14:paraId="4FA96B4F" w14:textId="77777777" w:rsidTr="00503D38">
        <w:trPr>
          <w:trHeight w:val="300"/>
        </w:trPr>
        <w:tc>
          <w:tcPr>
            <w:tcW w:w="809" w:type="pct"/>
            <w:tcBorders>
              <w:top w:val="nil"/>
              <w:left w:val="nil"/>
              <w:bottom w:val="nil"/>
              <w:right w:val="nil"/>
            </w:tcBorders>
            <w:shd w:val="clear" w:color="auto" w:fill="auto"/>
            <w:noWrap/>
            <w:vAlign w:val="center"/>
            <w:hideMark/>
          </w:tcPr>
          <w:p w14:paraId="619B000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Ross River</w:t>
            </w:r>
          </w:p>
        </w:tc>
        <w:tc>
          <w:tcPr>
            <w:tcW w:w="445" w:type="pct"/>
            <w:tcBorders>
              <w:top w:val="nil"/>
              <w:left w:val="nil"/>
              <w:bottom w:val="nil"/>
              <w:right w:val="nil"/>
            </w:tcBorders>
            <w:shd w:val="clear" w:color="auto" w:fill="auto"/>
            <w:noWrap/>
            <w:vAlign w:val="center"/>
            <w:hideMark/>
          </w:tcPr>
          <w:p w14:paraId="125E0BC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355,343</w:t>
            </w:r>
          </w:p>
        </w:tc>
        <w:tc>
          <w:tcPr>
            <w:tcW w:w="468" w:type="pct"/>
            <w:tcBorders>
              <w:top w:val="nil"/>
              <w:left w:val="nil"/>
              <w:bottom w:val="nil"/>
              <w:right w:val="nil"/>
            </w:tcBorders>
            <w:shd w:val="clear" w:color="000000" w:fill="FF0000"/>
            <w:noWrap/>
            <w:vAlign w:val="center"/>
            <w:hideMark/>
          </w:tcPr>
          <w:p w14:paraId="3CF794D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2,092,684</w:t>
            </w:r>
          </w:p>
        </w:tc>
        <w:tc>
          <w:tcPr>
            <w:tcW w:w="468" w:type="pct"/>
            <w:tcBorders>
              <w:top w:val="nil"/>
              <w:left w:val="nil"/>
              <w:bottom w:val="nil"/>
              <w:right w:val="nil"/>
            </w:tcBorders>
            <w:shd w:val="clear" w:color="000000" w:fill="FF0000"/>
            <w:noWrap/>
            <w:vAlign w:val="center"/>
            <w:hideMark/>
          </w:tcPr>
          <w:p w14:paraId="011595A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1,324,707</w:t>
            </w:r>
          </w:p>
        </w:tc>
        <w:tc>
          <w:tcPr>
            <w:tcW w:w="468" w:type="pct"/>
            <w:tcBorders>
              <w:top w:val="nil"/>
              <w:left w:val="nil"/>
              <w:bottom w:val="nil"/>
              <w:right w:val="nil"/>
            </w:tcBorders>
            <w:shd w:val="clear" w:color="auto" w:fill="auto"/>
            <w:noWrap/>
            <w:vAlign w:val="center"/>
            <w:hideMark/>
          </w:tcPr>
          <w:p w14:paraId="341B258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276,584</w:t>
            </w:r>
          </w:p>
        </w:tc>
        <w:tc>
          <w:tcPr>
            <w:tcW w:w="468" w:type="pct"/>
            <w:tcBorders>
              <w:top w:val="nil"/>
              <w:left w:val="nil"/>
              <w:bottom w:val="nil"/>
              <w:right w:val="nil"/>
            </w:tcBorders>
            <w:shd w:val="clear" w:color="000000" w:fill="FF9900"/>
            <w:noWrap/>
            <w:vAlign w:val="center"/>
            <w:hideMark/>
          </w:tcPr>
          <w:p w14:paraId="107C4BB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1,177,255</w:t>
            </w:r>
          </w:p>
        </w:tc>
        <w:tc>
          <w:tcPr>
            <w:tcW w:w="468" w:type="pct"/>
            <w:tcBorders>
              <w:top w:val="nil"/>
              <w:left w:val="nil"/>
              <w:bottom w:val="nil"/>
              <w:right w:val="nil"/>
            </w:tcBorders>
            <w:shd w:val="clear" w:color="auto" w:fill="auto"/>
            <w:noWrap/>
            <w:vAlign w:val="bottom"/>
            <w:hideMark/>
          </w:tcPr>
          <w:p w14:paraId="0B70B6DC" w14:textId="77777777" w:rsidR="00DF7B57" w:rsidRPr="00503D38" w:rsidRDefault="00DF7B57" w:rsidP="002439C8">
            <w:pPr>
              <w:jc w:val="left"/>
              <w:rPr>
                <w:rFonts w:ascii="Calibri" w:eastAsia="Times New Roman" w:hAnsi="Calibri" w:cs="Calibri"/>
                <w:color w:val="000000"/>
                <w:sz w:val="16"/>
                <w:lang w:val="en-AU" w:eastAsia="en-AU" w:bidi="ar-SA"/>
              </w:rPr>
            </w:pPr>
            <w:r w:rsidRPr="00503D38">
              <w:rPr>
                <w:rFonts w:ascii="Calibri" w:eastAsia="Times New Roman" w:hAnsi="Calibri" w:cs="Calibri"/>
                <w:color w:val="000000"/>
                <w:sz w:val="16"/>
                <w:lang w:val="en-AU" w:eastAsia="en-AU" w:bidi="ar-SA"/>
              </w:rPr>
              <w:t>3,229</w:t>
            </w:r>
          </w:p>
        </w:tc>
        <w:tc>
          <w:tcPr>
            <w:tcW w:w="468" w:type="pct"/>
            <w:tcBorders>
              <w:top w:val="nil"/>
              <w:left w:val="nil"/>
              <w:bottom w:val="nil"/>
              <w:right w:val="nil"/>
            </w:tcBorders>
            <w:shd w:val="clear" w:color="auto" w:fill="auto"/>
            <w:noWrap/>
            <w:vAlign w:val="bottom"/>
            <w:hideMark/>
          </w:tcPr>
          <w:p w14:paraId="7E23C0D1" w14:textId="77777777" w:rsidR="00DF7B57" w:rsidRPr="00503D38" w:rsidRDefault="00DF7B57" w:rsidP="002439C8">
            <w:pPr>
              <w:jc w:val="left"/>
              <w:rPr>
                <w:rFonts w:ascii="Calibri" w:eastAsia="Times New Roman" w:hAnsi="Calibri" w:cs="Calibri"/>
                <w:color w:val="000000"/>
                <w:sz w:val="16"/>
                <w:lang w:val="en-AU" w:eastAsia="en-AU" w:bidi="ar-SA"/>
              </w:rPr>
            </w:pPr>
            <w:r w:rsidRPr="00503D38">
              <w:rPr>
                <w:rFonts w:ascii="Calibri" w:eastAsia="Times New Roman" w:hAnsi="Calibri" w:cs="Calibri"/>
                <w:color w:val="000000"/>
                <w:sz w:val="16"/>
                <w:lang w:val="en-AU" w:eastAsia="en-AU" w:bidi="ar-SA"/>
              </w:rPr>
              <w:t>23,741</w:t>
            </w:r>
          </w:p>
        </w:tc>
        <w:tc>
          <w:tcPr>
            <w:tcW w:w="468" w:type="pct"/>
            <w:tcBorders>
              <w:top w:val="nil"/>
              <w:left w:val="nil"/>
              <w:bottom w:val="nil"/>
              <w:right w:val="nil"/>
            </w:tcBorders>
            <w:shd w:val="clear" w:color="auto" w:fill="auto"/>
            <w:noWrap/>
            <w:vAlign w:val="bottom"/>
            <w:hideMark/>
          </w:tcPr>
          <w:p w14:paraId="3CA8FE8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11,867</w:t>
            </w:r>
          </w:p>
        </w:tc>
        <w:tc>
          <w:tcPr>
            <w:tcW w:w="468" w:type="pct"/>
            <w:tcBorders>
              <w:top w:val="nil"/>
              <w:left w:val="nil"/>
              <w:bottom w:val="nil"/>
              <w:right w:val="nil"/>
            </w:tcBorders>
            <w:shd w:val="clear" w:color="auto" w:fill="auto"/>
            <w:noWrap/>
            <w:vAlign w:val="bottom"/>
            <w:hideMark/>
          </w:tcPr>
          <w:p w14:paraId="3A399F8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342,596</w:t>
            </w:r>
          </w:p>
        </w:tc>
      </w:tr>
      <w:tr w:rsidR="00DF7B57" w:rsidRPr="00017BC5" w14:paraId="7BC0A899" w14:textId="77777777" w:rsidTr="00503D38">
        <w:trPr>
          <w:trHeight w:val="255"/>
        </w:trPr>
        <w:tc>
          <w:tcPr>
            <w:tcW w:w="809" w:type="pct"/>
            <w:tcBorders>
              <w:top w:val="nil"/>
              <w:left w:val="nil"/>
              <w:bottom w:val="nil"/>
              <w:right w:val="nil"/>
            </w:tcBorders>
            <w:shd w:val="clear" w:color="auto" w:fill="auto"/>
            <w:noWrap/>
            <w:vAlign w:val="center"/>
            <w:hideMark/>
          </w:tcPr>
          <w:p w14:paraId="3186A62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Haughton River</w:t>
            </w:r>
          </w:p>
        </w:tc>
        <w:tc>
          <w:tcPr>
            <w:tcW w:w="445" w:type="pct"/>
            <w:tcBorders>
              <w:top w:val="nil"/>
              <w:left w:val="nil"/>
              <w:bottom w:val="nil"/>
              <w:right w:val="nil"/>
            </w:tcBorders>
            <w:shd w:val="clear" w:color="auto" w:fill="auto"/>
            <w:noWrap/>
            <w:vAlign w:val="center"/>
            <w:hideMark/>
          </w:tcPr>
          <w:p w14:paraId="15A18BC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553,292</w:t>
            </w:r>
          </w:p>
        </w:tc>
        <w:tc>
          <w:tcPr>
            <w:tcW w:w="468" w:type="pct"/>
            <w:tcBorders>
              <w:top w:val="nil"/>
              <w:left w:val="nil"/>
              <w:bottom w:val="nil"/>
              <w:right w:val="nil"/>
            </w:tcBorders>
            <w:shd w:val="clear" w:color="000000" w:fill="FF0000"/>
            <w:noWrap/>
            <w:vAlign w:val="center"/>
            <w:hideMark/>
          </w:tcPr>
          <w:p w14:paraId="717B0D3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2,415,758</w:t>
            </w:r>
          </w:p>
        </w:tc>
        <w:tc>
          <w:tcPr>
            <w:tcW w:w="468" w:type="pct"/>
            <w:tcBorders>
              <w:top w:val="nil"/>
              <w:left w:val="nil"/>
              <w:bottom w:val="nil"/>
              <w:right w:val="nil"/>
            </w:tcBorders>
            <w:shd w:val="clear" w:color="000000" w:fill="FF0000"/>
            <w:noWrap/>
            <w:vAlign w:val="center"/>
            <w:hideMark/>
          </w:tcPr>
          <w:p w14:paraId="18B6768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1,755,712</w:t>
            </w:r>
          </w:p>
        </w:tc>
        <w:tc>
          <w:tcPr>
            <w:tcW w:w="468" w:type="pct"/>
            <w:tcBorders>
              <w:top w:val="nil"/>
              <w:left w:val="nil"/>
              <w:bottom w:val="nil"/>
              <w:right w:val="nil"/>
            </w:tcBorders>
            <w:shd w:val="clear" w:color="auto" w:fill="auto"/>
            <w:noWrap/>
            <w:vAlign w:val="center"/>
            <w:hideMark/>
          </w:tcPr>
          <w:p w14:paraId="2AEE15F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517,069</w:t>
            </w:r>
          </w:p>
        </w:tc>
        <w:tc>
          <w:tcPr>
            <w:tcW w:w="468" w:type="pct"/>
            <w:tcBorders>
              <w:top w:val="nil"/>
              <w:left w:val="nil"/>
              <w:bottom w:val="nil"/>
              <w:right w:val="nil"/>
            </w:tcBorders>
            <w:shd w:val="clear" w:color="auto" w:fill="auto"/>
            <w:noWrap/>
            <w:vAlign w:val="center"/>
            <w:hideMark/>
          </w:tcPr>
          <w:p w14:paraId="0ACCDD4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573,976</w:t>
            </w:r>
          </w:p>
        </w:tc>
        <w:tc>
          <w:tcPr>
            <w:tcW w:w="468" w:type="pct"/>
            <w:tcBorders>
              <w:top w:val="nil"/>
              <w:left w:val="nil"/>
              <w:bottom w:val="nil"/>
              <w:right w:val="nil"/>
            </w:tcBorders>
            <w:shd w:val="clear" w:color="auto" w:fill="auto"/>
            <w:noWrap/>
            <w:vAlign w:val="center"/>
            <w:hideMark/>
          </w:tcPr>
          <w:p w14:paraId="7050AF2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120,674</w:t>
            </w:r>
          </w:p>
        </w:tc>
        <w:tc>
          <w:tcPr>
            <w:tcW w:w="468" w:type="pct"/>
            <w:tcBorders>
              <w:top w:val="nil"/>
              <w:left w:val="nil"/>
              <w:bottom w:val="nil"/>
              <w:right w:val="nil"/>
            </w:tcBorders>
            <w:shd w:val="clear" w:color="auto" w:fill="auto"/>
            <w:noWrap/>
            <w:vAlign w:val="center"/>
            <w:hideMark/>
          </w:tcPr>
          <w:p w14:paraId="625C28E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267,986</w:t>
            </w:r>
          </w:p>
        </w:tc>
        <w:tc>
          <w:tcPr>
            <w:tcW w:w="468" w:type="pct"/>
            <w:tcBorders>
              <w:top w:val="nil"/>
              <w:left w:val="nil"/>
              <w:bottom w:val="nil"/>
              <w:right w:val="nil"/>
            </w:tcBorders>
            <w:shd w:val="clear" w:color="auto" w:fill="auto"/>
            <w:noWrap/>
            <w:vAlign w:val="bottom"/>
            <w:hideMark/>
          </w:tcPr>
          <w:p w14:paraId="049A3FE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338,245</w:t>
            </w:r>
          </w:p>
        </w:tc>
        <w:tc>
          <w:tcPr>
            <w:tcW w:w="468" w:type="pct"/>
            <w:tcBorders>
              <w:top w:val="nil"/>
              <w:left w:val="nil"/>
              <w:bottom w:val="nil"/>
              <w:right w:val="nil"/>
            </w:tcBorders>
            <w:shd w:val="clear" w:color="000000" w:fill="FFFF00"/>
            <w:noWrap/>
            <w:vAlign w:val="bottom"/>
            <w:hideMark/>
          </w:tcPr>
          <w:p w14:paraId="2C92187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905,733</w:t>
            </w:r>
          </w:p>
        </w:tc>
      </w:tr>
      <w:tr w:rsidR="00DF7B57" w:rsidRPr="00017BC5" w14:paraId="5D0EFA74" w14:textId="77777777" w:rsidTr="00503D38">
        <w:trPr>
          <w:trHeight w:val="255"/>
        </w:trPr>
        <w:tc>
          <w:tcPr>
            <w:tcW w:w="809" w:type="pct"/>
            <w:tcBorders>
              <w:top w:val="nil"/>
              <w:left w:val="nil"/>
              <w:bottom w:val="nil"/>
              <w:right w:val="nil"/>
            </w:tcBorders>
            <w:shd w:val="clear" w:color="auto" w:fill="auto"/>
            <w:noWrap/>
            <w:vAlign w:val="center"/>
            <w:hideMark/>
          </w:tcPr>
          <w:p w14:paraId="2910F7F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Burdekin River</w:t>
            </w:r>
          </w:p>
        </w:tc>
        <w:tc>
          <w:tcPr>
            <w:tcW w:w="445" w:type="pct"/>
            <w:tcBorders>
              <w:top w:val="nil"/>
              <w:left w:val="nil"/>
              <w:bottom w:val="nil"/>
              <w:right w:val="nil"/>
            </w:tcBorders>
            <w:shd w:val="clear" w:color="auto" w:fill="auto"/>
            <w:noWrap/>
            <w:vAlign w:val="center"/>
            <w:hideMark/>
          </w:tcPr>
          <w:p w14:paraId="0B054DF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4,406,780</w:t>
            </w:r>
          </w:p>
        </w:tc>
        <w:tc>
          <w:tcPr>
            <w:tcW w:w="468" w:type="pct"/>
            <w:tcBorders>
              <w:top w:val="nil"/>
              <w:left w:val="nil"/>
              <w:bottom w:val="nil"/>
              <w:right w:val="nil"/>
            </w:tcBorders>
            <w:shd w:val="clear" w:color="000000" w:fill="FF0000"/>
            <w:noWrap/>
            <w:vAlign w:val="center"/>
            <w:hideMark/>
          </w:tcPr>
          <w:p w14:paraId="658BEB8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34,834,316</w:t>
            </w:r>
          </w:p>
        </w:tc>
        <w:tc>
          <w:tcPr>
            <w:tcW w:w="468" w:type="pct"/>
            <w:tcBorders>
              <w:top w:val="nil"/>
              <w:left w:val="nil"/>
              <w:bottom w:val="nil"/>
              <w:right w:val="nil"/>
            </w:tcBorders>
            <w:shd w:val="clear" w:color="000000" w:fill="FF0000"/>
            <w:noWrap/>
            <w:vAlign w:val="center"/>
            <w:hideMark/>
          </w:tcPr>
          <w:p w14:paraId="43D7266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15,568,159</w:t>
            </w:r>
          </w:p>
        </w:tc>
        <w:tc>
          <w:tcPr>
            <w:tcW w:w="468" w:type="pct"/>
            <w:tcBorders>
              <w:top w:val="nil"/>
              <w:left w:val="nil"/>
              <w:bottom w:val="nil"/>
              <w:right w:val="nil"/>
            </w:tcBorders>
            <w:shd w:val="clear" w:color="auto" w:fill="auto"/>
            <w:noWrap/>
            <w:vAlign w:val="center"/>
            <w:hideMark/>
          </w:tcPr>
          <w:p w14:paraId="2FE93C7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3,424,572</w:t>
            </w:r>
          </w:p>
        </w:tc>
        <w:tc>
          <w:tcPr>
            <w:tcW w:w="468" w:type="pct"/>
            <w:tcBorders>
              <w:top w:val="nil"/>
              <w:left w:val="nil"/>
              <w:bottom w:val="nil"/>
              <w:right w:val="nil"/>
            </w:tcBorders>
            <w:shd w:val="clear" w:color="auto" w:fill="auto"/>
            <w:noWrap/>
            <w:vAlign w:val="center"/>
            <w:hideMark/>
          </w:tcPr>
          <w:p w14:paraId="21C2B06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1,458,772</w:t>
            </w:r>
          </w:p>
        </w:tc>
        <w:tc>
          <w:tcPr>
            <w:tcW w:w="468" w:type="pct"/>
            <w:tcBorders>
              <w:top w:val="nil"/>
              <w:left w:val="nil"/>
              <w:bottom w:val="nil"/>
              <w:right w:val="nil"/>
            </w:tcBorders>
            <w:shd w:val="clear" w:color="auto" w:fill="auto"/>
            <w:noWrap/>
            <w:vAlign w:val="center"/>
            <w:hideMark/>
          </w:tcPr>
          <w:p w14:paraId="44F51D5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880,951</w:t>
            </w:r>
          </w:p>
        </w:tc>
        <w:tc>
          <w:tcPr>
            <w:tcW w:w="468" w:type="pct"/>
            <w:tcBorders>
              <w:top w:val="nil"/>
              <w:left w:val="nil"/>
              <w:bottom w:val="nil"/>
              <w:right w:val="nil"/>
            </w:tcBorders>
            <w:shd w:val="clear" w:color="auto" w:fill="auto"/>
            <w:noWrap/>
            <w:vAlign w:val="center"/>
            <w:hideMark/>
          </w:tcPr>
          <w:p w14:paraId="0A73F4A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1,807,104</w:t>
            </w:r>
          </w:p>
        </w:tc>
        <w:tc>
          <w:tcPr>
            <w:tcW w:w="468" w:type="pct"/>
            <w:tcBorders>
              <w:top w:val="nil"/>
              <w:left w:val="nil"/>
              <w:bottom w:val="nil"/>
              <w:right w:val="nil"/>
            </w:tcBorders>
            <w:shd w:val="clear" w:color="auto" w:fill="auto"/>
            <w:noWrap/>
            <w:vAlign w:val="bottom"/>
            <w:hideMark/>
          </w:tcPr>
          <w:p w14:paraId="1D7DF7F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4,165,129</w:t>
            </w:r>
          </w:p>
        </w:tc>
        <w:tc>
          <w:tcPr>
            <w:tcW w:w="468" w:type="pct"/>
            <w:tcBorders>
              <w:top w:val="nil"/>
              <w:left w:val="nil"/>
              <w:bottom w:val="nil"/>
              <w:right w:val="nil"/>
            </w:tcBorders>
            <w:shd w:val="clear" w:color="auto" w:fill="auto"/>
            <w:noWrap/>
            <w:vAlign w:val="bottom"/>
            <w:hideMark/>
          </w:tcPr>
          <w:p w14:paraId="049ED99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5,376,922</w:t>
            </w:r>
          </w:p>
        </w:tc>
      </w:tr>
      <w:tr w:rsidR="00DF7B57" w:rsidRPr="00017BC5" w14:paraId="0844EBEB" w14:textId="77777777" w:rsidTr="00503D38">
        <w:trPr>
          <w:trHeight w:val="255"/>
        </w:trPr>
        <w:tc>
          <w:tcPr>
            <w:tcW w:w="809" w:type="pct"/>
            <w:tcBorders>
              <w:top w:val="nil"/>
              <w:left w:val="nil"/>
              <w:bottom w:val="nil"/>
              <w:right w:val="nil"/>
            </w:tcBorders>
            <w:shd w:val="clear" w:color="auto" w:fill="auto"/>
            <w:noWrap/>
            <w:vAlign w:val="center"/>
            <w:hideMark/>
          </w:tcPr>
          <w:p w14:paraId="22AB2A9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Don River</w:t>
            </w:r>
          </w:p>
        </w:tc>
        <w:tc>
          <w:tcPr>
            <w:tcW w:w="445" w:type="pct"/>
            <w:tcBorders>
              <w:top w:val="nil"/>
              <w:left w:val="nil"/>
              <w:bottom w:val="nil"/>
              <w:right w:val="nil"/>
            </w:tcBorders>
            <w:shd w:val="clear" w:color="auto" w:fill="auto"/>
            <w:noWrap/>
            <w:vAlign w:val="center"/>
            <w:hideMark/>
          </w:tcPr>
          <w:p w14:paraId="1B8E367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342,257</w:t>
            </w:r>
          </w:p>
        </w:tc>
        <w:tc>
          <w:tcPr>
            <w:tcW w:w="468" w:type="pct"/>
            <w:tcBorders>
              <w:top w:val="nil"/>
              <w:left w:val="nil"/>
              <w:bottom w:val="nil"/>
              <w:right w:val="nil"/>
            </w:tcBorders>
            <w:shd w:val="clear" w:color="000000" w:fill="FF0000"/>
            <w:noWrap/>
            <w:vAlign w:val="center"/>
            <w:hideMark/>
          </w:tcPr>
          <w:p w14:paraId="39CBD82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3,136,184</w:t>
            </w:r>
          </w:p>
        </w:tc>
        <w:tc>
          <w:tcPr>
            <w:tcW w:w="468" w:type="pct"/>
            <w:tcBorders>
              <w:top w:val="nil"/>
              <w:left w:val="nil"/>
              <w:bottom w:val="nil"/>
              <w:right w:val="nil"/>
            </w:tcBorders>
            <w:shd w:val="clear" w:color="000000" w:fill="FF9900"/>
            <w:noWrap/>
            <w:vAlign w:val="center"/>
            <w:hideMark/>
          </w:tcPr>
          <w:p w14:paraId="5C3146F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802,738</w:t>
            </w:r>
          </w:p>
        </w:tc>
        <w:tc>
          <w:tcPr>
            <w:tcW w:w="468" w:type="pct"/>
            <w:tcBorders>
              <w:top w:val="nil"/>
              <w:left w:val="nil"/>
              <w:bottom w:val="nil"/>
              <w:right w:val="nil"/>
            </w:tcBorders>
            <w:shd w:val="clear" w:color="000000" w:fill="FFFF00"/>
            <w:noWrap/>
            <w:vAlign w:val="center"/>
            <w:hideMark/>
          </w:tcPr>
          <w:p w14:paraId="697C149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578,391</w:t>
            </w:r>
          </w:p>
        </w:tc>
        <w:tc>
          <w:tcPr>
            <w:tcW w:w="468" w:type="pct"/>
            <w:tcBorders>
              <w:top w:val="nil"/>
              <w:left w:val="nil"/>
              <w:bottom w:val="nil"/>
              <w:right w:val="nil"/>
            </w:tcBorders>
            <w:shd w:val="clear" w:color="auto" w:fill="auto"/>
            <w:noWrap/>
            <w:vAlign w:val="center"/>
            <w:hideMark/>
          </w:tcPr>
          <w:p w14:paraId="582E10A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324,120</w:t>
            </w:r>
          </w:p>
        </w:tc>
        <w:tc>
          <w:tcPr>
            <w:tcW w:w="468" w:type="pct"/>
            <w:tcBorders>
              <w:top w:val="nil"/>
              <w:left w:val="nil"/>
              <w:bottom w:val="nil"/>
              <w:right w:val="nil"/>
            </w:tcBorders>
            <w:shd w:val="clear" w:color="auto" w:fill="auto"/>
            <w:noWrap/>
            <w:vAlign w:val="center"/>
            <w:hideMark/>
          </w:tcPr>
          <w:p w14:paraId="7A4110C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171,305</w:t>
            </w:r>
          </w:p>
        </w:tc>
        <w:tc>
          <w:tcPr>
            <w:tcW w:w="468" w:type="pct"/>
            <w:tcBorders>
              <w:top w:val="nil"/>
              <w:left w:val="nil"/>
              <w:bottom w:val="nil"/>
              <w:right w:val="nil"/>
            </w:tcBorders>
            <w:shd w:val="clear" w:color="auto" w:fill="auto"/>
            <w:noWrap/>
            <w:vAlign w:val="center"/>
            <w:hideMark/>
          </w:tcPr>
          <w:p w14:paraId="2D2CD09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101,562</w:t>
            </w:r>
          </w:p>
        </w:tc>
        <w:tc>
          <w:tcPr>
            <w:tcW w:w="468" w:type="pct"/>
            <w:tcBorders>
              <w:top w:val="nil"/>
              <w:left w:val="nil"/>
              <w:bottom w:val="nil"/>
              <w:right w:val="nil"/>
            </w:tcBorders>
            <w:shd w:val="clear" w:color="000000" w:fill="FF9900"/>
            <w:noWrap/>
            <w:vAlign w:val="bottom"/>
            <w:hideMark/>
          </w:tcPr>
          <w:p w14:paraId="2B4C3E3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920,610</w:t>
            </w:r>
          </w:p>
        </w:tc>
        <w:tc>
          <w:tcPr>
            <w:tcW w:w="468" w:type="pct"/>
            <w:tcBorders>
              <w:top w:val="nil"/>
              <w:left w:val="nil"/>
              <w:bottom w:val="nil"/>
              <w:right w:val="nil"/>
            </w:tcBorders>
            <w:shd w:val="clear" w:color="auto" w:fill="auto"/>
            <w:noWrap/>
            <w:vAlign w:val="bottom"/>
            <w:hideMark/>
          </w:tcPr>
          <w:p w14:paraId="26FB0D9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135,367</w:t>
            </w:r>
          </w:p>
        </w:tc>
      </w:tr>
      <w:tr w:rsidR="00DF7B57" w:rsidRPr="00017BC5" w14:paraId="59B49422" w14:textId="77777777" w:rsidTr="00503D38">
        <w:trPr>
          <w:trHeight w:val="255"/>
        </w:trPr>
        <w:tc>
          <w:tcPr>
            <w:tcW w:w="809" w:type="pct"/>
            <w:tcBorders>
              <w:top w:val="nil"/>
              <w:left w:val="nil"/>
              <w:bottom w:val="nil"/>
              <w:right w:val="nil"/>
            </w:tcBorders>
            <w:shd w:val="clear" w:color="auto" w:fill="auto"/>
            <w:noWrap/>
            <w:vAlign w:val="center"/>
            <w:hideMark/>
          </w:tcPr>
          <w:p w14:paraId="571B413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Proserpine River</w:t>
            </w:r>
          </w:p>
        </w:tc>
        <w:tc>
          <w:tcPr>
            <w:tcW w:w="445" w:type="pct"/>
            <w:tcBorders>
              <w:top w:val="nil"/>
              <w:left w:val="nil"/>
              <w:bottom w:val="nil"/>
              <w:right w:val="nil"/>
            </w:tcBorders>
            <w:shd w:val="clear" w:color="auto" w:fill="auto"/>
            <w:noWrap/>
            <w:vAlign w:val="center"/>
            <w:hideMark/>
          </w:tcPr>
          <w:p w14:paraId="4BA24A6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887,771</w:t>
            </w:r>
          </w:p>
        </w:tc>
        <w:tc>
          <w:tcPr>
            <w:tcW w:w="468" w:type="pct"/>
            <w:tcBorders>
              <w:top w:val="nil"/>
              <w:left w:val="nil"/>
              <w:bottom w:val="nil"/>
              <w:right w:val="nil"/>
            </w:tcBorders>
            <w:shd w:val="clear" w:color="000000" w:fill="FF0000"/>
            <w:noWrap/>
            <w:vAlign w:val="center"/>
            <w:hideMark/>
          </w:tcPr>
          <w:p w14:paraId="2C0C2BD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4,582,697</w:t>
            </w:r>
          </w:p>
        </w:tc>
        <w:tc>
          <w:tcPr>
            <w:tcW w:w="468" w:type="pct"/>
            <w:tcBorders>
              <w:top w:val="nil"/>
              <w:left w:val="nil"/>
              <w:bottom w:val="nil"/>
              <w:right w:val="nil"/>
            </w:tcBorders>
            <w:shd w:val="clear" w:color="000000" w:fill="FF9900"/>
            <w:noWrap/>
            <w:vAlign w:val="center"/>
            <w:hideMark/>
          </w:tcPr>
          <w:p w14:paraId="69FA2D8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2,171,287</w:t>
            </w:r>
          </w:p>
        </w:tc>
        <w:tc>
          <w:tcPr>
            <w:tcW w:w="468" w:type="pct"/>
            <w:tcBorders>
              <w:top w:val="nil"/>
              <w:left w:val="nil"/>
              <w:bottom w:val="nil"/>
              <w:right w:val="nil"/>
            </w:tcBorders>
            <w:shd w:val="clear" w:color="auto" w:fill="auto"/>
            <w:noWrap/>
            <w:vAlign w:val="center"/>
            <w:hideMark/>
          </w:tcPr>
          <w:p w14:paraId="3DB1286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851,504</w:t>
            </w:r>
          </w:p>
        </w:tc>
        <w:tc>
          <w:tcPr>
            <w:tcW w:w="468" w:type="pct"/>
            <w:tcBorders>
              <w:top w:val="nil"/>
              <w:left w:val="nil"/>
              <w:bottom w:val="nil"/>
              <w:right w:val="nil"/>
            </w:tcBorders>
            <w:shd w:val="clear" w:color="auto" w:fill="auto"/>
            <w:noWrap/>
            <w:vAlign w:val="center"/>
            <w:hideMark/>
          </w:tcPr>
          <w:p w14:paraId="5068A0A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720,427</w:t>
            </w:r>
          </w:p>
        </w:tc>
        <w:tc>
          <w:tcPr>
            <w:tcW w:w="468" w:type="pct"/>
            <w:tcBorders>
              <w:top w:val="nil"/>
              <w:left w:val="nil"/>
              <w:bottom w:val="nil"/>
              <w:right w:val="nil"/>
            </w:tcBorders>
            <w:shd w:val="clear" w:color="auto" w:fill="auto"/>
            <w:noWrap/>
            <w:vAlign w:val="center"/>
            <w:hideMark/>
          </w:tcPr>
          <w:p w14:paraId="58E83CA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157,123</w:t>
            </w:r>
          </w:p>
        </w:tc>
        <w:tc>
          <w:tcPr>
            <w:tcW w:w="468" w:type="pct"/>
            <w:tcBorders>
              <w:top w:val="nil"/>
              <w:left w:val="nil"/>
              <w:bottom w:val="nil"/>
              <w:right w:val="nil"/>
            </w:tcBorders>
            <w:shd w:val="clear" w:color="auto" w:fill="auto"/>
            <w:noWrap/>
            <w:vAlign w:val="center"/>
            <w:hideMark/>
          </w:tcPr>
          <w:p w14:paraId="606C850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316,648</w:t>
            </w:r>
          </w:p>
        </w:tc>
        <w:tc>
          <w:tcPr>
            <w:tcW w:w="468" w:type="pct"/>
            <w:tcBorders>
              <w:top w:val="nil"/>
              <w:left w:val="nil"/>
              <w:bottom w:val="nil"/>
              <w:right w:val="nil"/>
            </w:tcBorders>
            <w:shd w:val="clear" w:color="000000" w:fill="FFFF00"/>
            <w:noWrap/>
            <w:vAlign w:val="bottom"/>
            <w:hideMark/>
          </w:tcPr>
          <w:p w14:paraId="3E39132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1,683,894</w:t>
            </w:r>
          </w:p>
        </w:tc>
        <w:tc>
          <w:tcPr>
            <w:tcW w:w="468" w:type="pct"/>
            <w:tcBorders>
              <w:top w:val="nil"/>
              <w:left w:val="nil"/>
              <w:bottom w:val="nil"/>
              <w:right w:val="nil"/>
            </w:tcBorders>
            <w:shd w:val="clear" w:color="auto" w:fill="auto"/>
            <w:noWrap/>
            <w:vAlign w:val="bottom"/>
            <w:hideMark/>
          </w:tcPr>
          <w:p w14:paraId="2EA060F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540,101</w:t>
            </w:r>
          </w:p>
        </w:tc>
      </w:tr>
      <w:tr w:rsidR="00DF7B57" w:rsidRPr="00017BC5" w14:paraId="4190C235" w14:textId="77777777" w:rsidTr="00503D38">
        <w:trPr>
          <w:trHeight w:val="255"/>
        </w:trPr>
        <w:tc>
          <w:tcPr>
            <w:tcW w:w="809" w:type="pct"/>
            <w:tcBorders>
              <w:top w:val="nil"/>
              <w:left w:val="nil"/>
              <w:bottom w:val="nil"/>
              <w:right w:val="nil"/>
            </w:tcBorders>
            <w:shd w:val="clear" w:color="auto" w:fill="auto"/>
            <w:noWrap/>
            <w:vAlign w:val="center"/>
            <w:hideMark/>
          </w:tcPr>
          <w:p w14:paraId="7FA3C33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O'Connell River</w:t>
            </w:r>
          </w:p>
        </w:tc>
        <w:tc>
          <w:tcPr>
            <w:tcW w:w="445" w:type="pct"/>
            <w:tcBorders>
              <w:top w:val="nil"/>
              <w:left w:val="nil"/>
              <w:bottom w:val="nil"/>
              <w:right w:val="nil"/>
            </w:tcBorders>
            <w:shd w:val="clear" w:color="auto" w:fill="auto"/>
            <w:noWrap/>
            <w:vAlign w:val="center"/>
            <w:hideMark/>
          </w:tcPr>
          <w:p w14:paraId="488570F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796,718</w:t>
            </w:r>
          </w:p>
        </w:tc>
        <w:tc>
          <w:tcPr>
            <w:tcW w:w="468" w:type="pct"/>
            <w:tcBorders>
              <w:top w:val="nil"/>
              <w:left w:val="nil"/>
              <w:bottom w:val="nil"/>
              <w:right w:val="nil"/>
            </w:tcBorders>
            <w:shd w:val="clear" w:color="000000" w:fill="FF0000"/>
            <w:noWrap/>
            <w:vAlign w:val="center"/>
            <w:hideMark/>
          </w:tcPr>
          <w:p w14:paraId="424BBF5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4,112,676</w:t>
            </w:r>
          </w:p>
        </w:tc>
        <w:tc>
          <w:tcPr>
            <w:tcW w:w="468" w:type="pct"/>
            <w:tcBorders>
              <w:top w:val="nil"/>
              <w:left w:val="nil"/>
              <w:bottom w:val="nil"/>
              <w:right w:val="nil"/>
            </w:tcBorders>
            <w:shd w:val="clear" w:color="000000" w:fill="FF9900"/>
            <w:noWrap/>
            <w:vAlign w:val="center"/>
            <w:hideMark/>
          </w:tcPr>
          <w:p w14:paraId="6EF795D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1,948,591</w:t>
            </w:r>
          </w:p>
        </w:tc>
        <w:tc>
          <w:tcPr>
            <w:tcW w:w="468" w:type="pct"/>
            <w:tcBorders>
              <w:top w:val="nil"/>
              <w:left w:val="nil"/>
              <w:bottom w:val="nil"/>
              <w:right w:val="nil"/>
            </w:tcBorders>
            <w:shd w:val="clear" w:color="auto" w:fill="auto"/>
            <w:noWrap/>
            <w:vAlign w:val="center"/>
            <w:hideMark/>
          </w:tcPr>
          <w:p w14:paraId="2B3C25E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764,170</w:t>
            </w:r>
          </w:p>
        </w:tc>
        <w:tc>
          <w:tcPr>
            <w:tcW w:w="468" w:type="pct"/>
            <w:tcBorders>
              <w:top w:val="nil"/>
              <w:left w:val="nil"/>
              <w:bottom w:val="nil"/>
              <w:right w:val="nil"/>
            </w:tcBorders>
            <w:shd w:val="clear" w:color="auto" w:fill="auto"/>
            <w:noWrap/>
            <w:vAlign w:val="center"/>
            <w:hideMark/>
          </w:tcPr>
          <w:p w14:paraId="3D87162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646,537</w:t>
            </w:r>
          </w:p>
        </w:tc>
        <w:tc>
          <w:tcPr>
            <w:tcW w:w="468" w:type="pct"/>
            <w:tcBorders>
              <w:top w:val="nil"/>
              <w:left w:val="nil"/>
              <w:bottom w:val="nil"/>
              <w:right w:val="nil"/>
            </w:tcBorders>
            <w:shd w:val="clear" w:color="auto" w:fill="auto"/>
            <w:noWrap/>
            <w:vAlign w:val="center"/>
            <w:hideMark/>
          </w:tcPr>
          <w:p w14:paraId="026A1DC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141,008</w:t>
            </w:r>
          </w:p>
        </w:tc>
        <w:tc>
          <w:tcPr>
            <w:tcW w:w="468" w:type="pct"/>
            <w:tcBorders>
              <w:top w:val="nil"/>
              <w:left w:val="nil"/>
              <w:bottom w:val="nil"/>
              <w:right w:val="nil"/>
            </w:tcBorders>
            <w:shd w:val="clear" w:color="auto" w:fill="auto"/>
            <w:noWrap/>
            <w:vAlign w:val="center"/>
            <w:hideMark/>
          </w:tcPr>
          <w:p w14:paraId="3C0530F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284,171</w:t>
            </w:r>
          </w:p>
        </w:tc>
        <w:tc>
          <w:tcPr>
            <w:tcW w:w="468" w:type="pct"/>
            <w:tcBorders>
              <w:top w:val="nil"/>
              <w:left w:val="nil"/>
              <w:bottom w:val="nil"/>
              <w:right w:val="nil"/>
            </w:tcBorders>
            <w:shd w:val="clear" w:color="000000" w:fill="FFFF00"/>
            <w:noWrap/>
            <w:vAlign w:val="bottom"/>
            <w:hideMark/>
          </w:tcPr>
          <w:p w14:paraId="2E33324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1,511,187</w:t>
            </w:r>
          </w:p>
        </w:tc>
        <w:tc>
          <w:tcPr>
            <w:tcW w:w="468" w:type="pct"/>
            <w:tcBorders>
              <w:top w:val="nil"/>
              <w:left w:val="nil"/>
              <w:bottom w:val="nil"/>
              <w:right w:val="nil"/>
            </w:tcBorders>
            <w:shd w:val="clear" w:color="auto" w:fill="auto"/>
            <w:noWrap/>
            <w:vAlign w:val="bottom"/>
            <w:hideMark/>
          </w:tcPr>
          <w:p w14:paraId="7D1C4BB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484,706</w:t>
            </w:r>
          </w:p>
        </w:tc>
      </w:tr>
      <w:tr w:rsidR="00DF7B57" w:rsidRPr="00017BC5" w14:paraId="23C9EFC8" w14:textId="77777777" w:rsidTr="00503D38">
        <w:trPr>
          <w:trHeight w:val="255"/>
        </w:trPr>
        <w:tc>
          <w:tcPr>
            <w:tcW w:w="809" w:type="pct"/>
            <w:tcBorders>
              <w:top w:val="nil"/>
              <w:left w:val="nil"/>
              <w:bottom w:val="nil"/>
              <w:right w:val="nil"/>
            </w:tcBorders>
            <w:shd w:val="clear" w:color="auto" w:fill="auto"/>
            <w:noWrap/>
            <w:vAlign w:val="center"/>
            <w:hideMark/>
          </w:tcPr>
          <w:p w14:paraId="69773D4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Pioneer River</w:t>
            </w:r>
          </w:p>
        </w:tc>
        <w:tc>
          <w:tcPr>
            <w:tcW w:w="445" w:type="pct"/>
            <w:tcBorders>
              <w:top w:val="nil"/>
              <w:left w:val="nil"/>
              <w:bottom w:val="nil"/>
              <w:right w:val="nil"/>
            </w:tcBorders>
            <w:shd w:val="clear" w:color="auto" w:fill="auto"/>
            <w:noWrap/>
            <w:vAlign w:val="center"/>
            <w:hideMark/>
          </w:tcPr>
          <w:p w14:paraId="1E7788D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776,984</w:t>
            </w:r>
          </w:p>
        </w:tc>
        <w:tc>
          <w:tcPr>
            <w:tcW w:w="468" w:type="pct"/>
            <w:tcBorders>
              <w:top w:val="nil"/>
              <w:left w:val="nil"/>
              <w:bottom w:val="nil"/>
              <w:right w:val="nil"/>
            </w:tcBorders>
            <w:shd w:val="clear" w:color="000000" w:fill="FF0000"/>
            <w:noWrap/>
            <w:vAlign w:val="center"/>
            <w:hideMark/>
          </w:tcPr>
          <w:p w14:paraId="6AC9801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3,630,422</w:t>
            </w:r>
          </w:p>
        </w:tc>
        <w:tc>
          <w:tcPr>
            <w:tcW w:w="468" w:type="pct"/>
            <w:tcBorders>
              <w:top w:val="nil"/>
              <w:left w:val="nil"/>
              <w:bottom w:val="nil"/>
              <w:right w:val="nil"/>
            </w:tcBorders>
            <w:shd w:val="clear" w:color="000000" w:fill="FF9900"/>
            <w:noWrap/>
            <w:vAlign w:val="center"/>
            <w:hideMark/>
          </w:tcPr>
          <w:p w14:paraId="4F43BFF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1,567,684</w:t>
            </w:r>
          </w:p>
        </w:tc>
        <w:tc>
          <w:tcPr>
            <w:tcW w:w="468" w:type="pct"/>
            <w:tcBorders>
              <w:top w:val="nil"/>
              <w:left w:val="nil"/>
              <w:bottom w:val="nil"/>
              <w:right w:val="nil"/>
            </w:tcBorders>
            <w:shd w:val="clear" w:color="000000" w:fill="FFFF00"/>
            <w:noWrap/>
            <w:vAlign w:val="center"/>
            <w:hideMark/>
          </w:tcPr>
          <w:p w14:paraId="7528E0E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1,162,871</w:t>
            </w:r>
          </w:p>
        </w:tc>
        <w:tc>
          <w:tcPr>
            <w:tcW w:w="468" w:type="pct"/>
            <w:tcBorders>
              <w:top w:val="nil"/>
              <w:left w:val="nil"/>
              <w:bottom w:val="nil"/>
              <w:right w:val="nil"/>
            </w:tcBorders>
            <w:shd w:val="clear" w:color="auto" w:fill="auto"/>
            <w:noWrap/>
            <w:vAlign w:val="center"/>
            <w:hideMark/>
          </w:tcPr>
          <w:p w14:paraId="3C495DF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635,315</w:t>
            </w:r>
          </w:p>
        </w:tc>
        <w:tc>
          <w:tcPr>
            <w:tcW w:w="468" w:type="pct"/>
            <w:tcBorders>
              <w:top w:val="nil"/>
              <w:left w:val="nil"/>
              <w:bottom w:val="nil"/>
              <w:right w:val="nil"/>
            </w:tcBorders>
            <w:shd w:val="clear" w:color="000000" w:fill="FF9900"/>
            <w:noWrap/>
            <w:vAlign w:val="center"/>
            <w:hideMark/>
          </w:tcPr>
          <w:p w14:paraId="65A637A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2,028,936</w:t>
            </w:r>
          </w:p>
        </w:tc>
        <w:tc>
          <w:tcPr>
            <w:tcW w:w="468" w:type="pct"/>
            <w:tcBorders>
              <w:top w:val="nil"/>
              <w:left w:val="nil"/>
              <w:bottom w:val="nil"/>
              <w:right w:val="nil"/>
            </w:tcBorders>
            <w:shd w:val="clear" w:color="auto" w:fill="auto"/>
            <w:noWrap/>
            <w:vAlign w:val="center"/>
            <w:hideMark/>
          </w:tcPr>
          <w:p w14:paraId="34B2C01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597,117</w:t>
            </w:r>
          </w:p>
        </w:tc>
        <w:tc>
          <w:tcPr>
            <w:tcW w:w="468" w:type="pct"/>
            <w:tcBorders>
              <w:top w:val="nil"/>
              <w:left w:val="nil"/>
              <w:bottom w:val="nil"/>
              <w:right w:val="nil"/>
            </w:tcBorders>
            <w:shd w:val="clear" w:color="000000" w:fill="FFFF00"/>
            <w:noWrap/>
            <w:vAlign w:val="bottom"/>
            <w:hideMark/>
          </w:tcPr>
          <w:p w14:paraId="4880F15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1,388,687</w:t>
            </w:r>
          </w:p>
        </w:tc>
        <w:tc>
          <w:tcPr>
            <w:tcW w:w="468" w:type="pct"/>
            <w:tcBorders>
              <w:top w:val="nil"/>
              <w:left w:val="nil"/>
              <w:bottom w:val="nil"/>
              <w:right w:val="nil"/>
            </w:tcBorders>
            <w:shd w:val="clear" w:color="auto" w:fill="auto"/>
            <w:noWrap/>
            <w:vAlign w:val="bottom"/>
            <w:hideMark/>
          </w:tcPr>
          <w:p w14:paraId="15B6E05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249,425</w:t>
            </w:r>
          </w:p>
        </w:tc>
      </w:tr>
      <w:tr w:rsidR="00DF7B57" w:rsidRPr="00017BC5" w14:paraId="2F457E8C" w14:textId="77777777" w:rsidTr="00503D38">
        <w:trPr>
          <w:trHeight w:val="255"/>
        </w:trPr>
        <w:tc>
          <w:tcPr>
            <w:tcW w:w="809" w:type="pct"/>
            <w:tcBorders>
              <w:top w:val="nil"/>
              <w:left w:val="nil"/>
              <w:bottom w:val="nil"/>
              <w:right w:val="nil"/>
            </w:tcBorders>
            <w:shd w:val="clear" w:color="auto" w:fill="auto"/>
            <w:noWrap/>
            <w:vAlign w:val="center"/>
            <w:hideMark/>
          </w:tcPr>
          <w:p w14:paraId="150094A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Plane Creek</w:t>
            </w:r>
          </w:p>
        </w:tc>
        <w:tc>
          <w:tcPr>
            <w:tcW w:w="445" w:type="pct"/>
            <w:tcBorders>
              <w:top w:val="nil"/>
              <w:left w:val="nil"/>
              <w:bottom w:val="nil"/>
              <w:right w:val="nil"/>
            </w:tcBorders>
            <w:shd w:val="clear" w:color="auto" w:fill="auto"/>
            <w:noWrap/>
            <w:vAlign w:val="center"/>
            <w:hideMark/>
          </w:tcPr>
          <w:p w14:paraId="525307E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1,052,831</w:t>
            </w:r>
          </w:p>
        </w:tc>
        <w:tc>
          <w:tcPr>
            <w:tcW w:w="468" w:type="pct"/>
            <w:tcBorders>
              <w:top w:val="nil"/>
              <w:left w:val="nil"/>
              <w:bottom w:val="nil"/>
              <w:right w:val="nil"/>
            </w:tcBorders>
            <w:shd w:val="clear" w:color="000000" w:fill="FF0000"/>
            <w:noWrap/>
            <w:vAlign w:val="center"/>
            <w:hideMark/>
          </w:tcPr>
          <w:p w14:paraId="56632F3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4,809,239</w:t>
            </w:r>
          </w:p>
        </w:tc>
        <w:tc>
          <w:tcPr>
            <w:tcW w:w="468" w:type="pct"/>
            <w:tcBorders>
              <w:top w:val="nil"/>
              <w:left w:val="nil"/>
              <w:bottom w:val="nil"/>
              <w:right w:val="nil"/>
            </w:tcBorders>
            <w:shd w:val="clear" w:color="000000" w:fill="FF9900"/>
            <w:noWrap/>
            <w:vAlign w:val="center"/>
            <w:hideMark/>
          </w:tcPr>
          <w:p w14:paraId="3616317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2,854,703</w:t>
            </w:r>
          </w:p>
        </w:tc>
        <w:tc>
          <w:tcPr>
            <w:tcW w:w="468" w:type="pct"/>
            <w:tcBorders>
              <w:top w:val="nil"/>
              <w:left w:val="nil"/>
              <w:bottom w:val="nil"/>
              <w:right w:val="nil"/>
            </w:tcBorders>
            <w:shd w:val="clear" w:color="000000" w:fill="FFFF00"/>
            <w:noWrap/>
            <w:vAlign w:val="center"/>
            <w:hideMark/>
          </w:tcPr>
          <w:p w14:paraId="0C743A5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1,948,929</w:t>
            </w:r>
          </w:p>
        </w:tc>
        <w:tc>
          <w:tcPr>
            <w:tcW w:w="468" w:type="pct"/>
            <w:tcBorders>
              <w:top w:val="nil"/>
              <w:left w:val="nil"/>
              <w:bottom w:val="nil"/>
              <w:right w:val="nil"/>
            </w:tcBorders>
            <w:shd w:val="clear" w:color="auto" w:fill="auto"/>
            <w:noWrap/>
            <w:vAlign w:val="center"/>
            <w:hideMark/>
          </w:tcPr>
          <w:p w14:paraId="61EFA1A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737,580</w:t>
            </w:r>
          </w:p>
        </w:tc>
        <w:tc>
          <w:tcPr>
            <w:tcW w:w="468" w:type="pct"/>
            <w:tcBorders>
              <w:top w:val="nil"/>
              <w:left w:val="nil"/>
              <w:bottom w:val="nil"/>
              <w:right w:val="nil"/>
            </w:tcBorders>
            <w:shd w:val="clear" w:color="auto" w:fill="auto"/>
            <w:noWrap/>
            <w:vAlign w:val="center"/>
            <w:hideMark/>
          </w:tcPr>
          <w:p w14:paraId="41187EE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241,254</w:t>
            </w:r>
          </w:p>
        </w:tc>
        <w:tc>
          <w:tcPr>
            <w:tcW w:w="468" w:type="pct"/>
            <w:tcBorders>
              <w:top w:val="nil"/>
              <w:left w:val="nil"/>
              <w:bottom w:val="nil"/>
              <w:right w:val="nil"/>
            </w:tcBorders>
            <w:shd w:val="clear" w:color="auto" w:fill="auto"/>
            <w:noWrap/>
            <w:vAlign w:val="center"/>
            <w:hideMark/>
          </w:tcPr>
          <w:p w14:paraId="63C8F62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832,508</w:t>
            </w:r>
          </w:p>
        </w:tc>
        <w:tc>
          <w:tcPr>
            <w:tcW w:w="468" w:type="pct"/>
            <w:tcBorders>
              <w:top w:val="nil"/>
              <w:left w:val="nil"/>
              <w:bottom w:val="nil"/>
              <w:right w:val="nil"/>
            </w:tcBorders>
            <w:shd w:val="clear" w:color="000000" w:fill="FF9900"/>
            <w:noWrap/>
            <w:vAlign w:val="bottom"/>
            <w:hideMark/>
          </w:tcPr>
          <w:p w14:paraId="2F9708C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2,613,261</w:t>
            </w:r>
          </w:p>
        </w:tc>
        <w:tc>
          <w:tcPr>
            <w:tcW w:w="468" w:type="pct"/>
            <w:tcBorders>
              <w:top w:val="nil"/>
              <w:left w:val="nil"/>
              <w:bottom w:val="nil"/>
              <w:right w:val="nil"/>
            </w:tcBorders>
            <w:shd w:val="clear" w:color="auto" w:fill="auto"/>
            <w:noWrap/>
            <w:vAlign w:val="bottom"/>
            <w:hideMark/>
          </w:tcPr>
          <w:p w14:paraId="5038D4B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261,201</w:t>
            </w:r>
          </w:p>
        </w:tc>
      </w:tr>
      <w:tr w:rsidR="00DF7B57" w:rsidRPr="00017BC5" w14:paraId="61E3DC13" w14:textId="77777777" w:rsidTr="00503D38">
        <w:trPr>
          <w:trHeight w:val="255"/>
        </w:trPr>
        <w:tc>
          <w:tcPr>
            <w:tcW w:w="809" w:type="pct"/>
            <w:tcBorders>
              <w:top w:val="nil"/>
              <w:left w:val="nil"/>
              <w:bottom w:val="nil"/>
              <w:right w:val="nil"/>
            </w:tcBorders>
            <w:shd w:val="clear" w:color="auto" w:fill="auto"/>
            <w:noWrap/>
            <w:vAlign w:val="center"/>
            <w:hideMark/>
          </w:tcPr>
          <w:p w14:paraId="1814835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Styx River</w:t>
            </w:r>
          </w:p>
        </w:tc>
        <w:tc>
          <w:tcPr>
            <w:tcW w:w="445" w:type="pct"/>
            <w:tcBorders>
              <w:top w:val="nil"/>
              <w:left w:val="nil"/>
              <w:bottom w:val="nil"/>
              <w:right w:val="nil"/>
            </w:tcBorders>
            <w:shd w:val="clear" w:color="auto" w:fill="auto"/>
            <w:noWrap/>
            <w:vAlign w:val="center"/>
            <w:hideMark/>
          </w:tcPr>
          <w:p w14:paraId="65FEBF0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205,186</w:t>
            </w:r>
          </w:p>
        </w:tc>
        <w:tc>
          <w:tcPr>
            <w:tcW w:w="468" w:type="pct"/>
            <w:tcBorders>
              <w:top w:val="nil"/>
              <w:left w:val="nil"/>
              <w:bottom w:val="nil"/>
              <w:right w:val="nil"/>
            </w:tcBorders>
            <w:shd w:val="clear" w:color="000000" w:fill="FF0000"/>
            <w:noWrap/>
            <w:vAlign w:val="center"/>
            <w:hideMark/>
          </w:tcPr>
          <w:p w14:paraId="78F41C8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906,144</w:t>
            </w:r>
          </w:p>
        </w:tc>
        <w:tc>
          <w:tcPr>
            <w:tcW w:w="468" w:type="pct"/>
            <w:tcBorders>
              <w:top w:val="nil"/>
              <w:left w:val="nil"/>
              <w:bottom w:val="nil"/>
              <w:right w:val="nil"/>
            </w:tcBorders>
            <w:shd w:val="clear" w:color="000000" w:fill="FFFF00"/>
            <w:noWrap/>
            <w:vAlign w:val="center"/>
            <w:hideMark/>
          </w:tcPr>
          <w:p w14:paraId="47F759D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275,219</w:t>
            </w:r>
          </w:p>
        </w:tc>
        <w:tc>
          <w:tcPr>
            <w:tcW w:w="468" w:type="pct"/>
            <w:tcBorders>
              <w:top w:val="nil"/>
              <w:left w:val="nil"/>
              <w:bottom w:val="nil"/>
              <w:right w:val="nil"/>
            </w:tcBorders>
            <w:shd w:val="clear" w:color="000000" w:fill="FF0000"/>
            <w:noWrap/>
            <w:vAlign w:val="center"/>
            <w:hideMark/>
          </w:tcPr>
          <w:p w14:paraId="773E24B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968,106</w:t>
            </w:r>
          </w:p>
        </w:tc>
        <w:tc>
          <w:tcPr>
            <w:tcW w:w="468" w:type="pct"/>
            <w:tcBorders>
              <w:top w:val="nil"/>
              <w:left w:val="nil"/>
              <w:bottom w:val="nil"/>
              <w:right w:val="nil"/>
            </w:tcBorders>
            <w:shd w:val="clear" w:color="000000" w:fill="FF9900"/>
            <w:noWrap/>
            <w:vAlign w:val="center"/>
            <w:hideMark/>
          </w:tcPr>
          <w:p w14:paraId="261315E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544,155</w:t>
            </w:r>
          </w:p>
        </w:tc>
        <w:tc>
          <w:tcPr>
            <w:tcW w:w="468" w:type="pct"/>
            <w:tcBorders>
              <w:top w:val="nil"/>
              <w:left w:val="nil"/>
              <w:bottom w:val="nil"/>
              <w:right w:val="nil"/>
            </w:tcBorders>
            <w:shd w:val="clear" w:color="000000" w:fill="FF9900"/>
            <w:noWrap/>
            <w:vAlign w:val="center"/>
            <w:hideMark/>
          </w:tcPr>
          <w:p w14:paraId="453C63A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376,009</w:t>
            </w:r>
          </w:p>
        </w:tc>
        <w:tc>
          <w:tcPr>
            <w:tcW w:w="468" w:type="pct"/>
            <w:tcBorders>
              <w:top w:val="nil"/>
              <w:left w:val="nil"/>
              <w:bottom w:val="nil"/>
              <w:right w:val="nil"/>
            </w:tcBorders>
            <w:shd w:val="clear" w:color="000000" w:fill="FFFF00"/>
            <w:noWrap/>
            <w:vAlign w:val="center"/>
            <w:hideMark/>
          </w:tcPr>
          <w:p w14:paraId="38C91AD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343,877</w:t>
            </w:r>
          </w:p>
        </w:tc>
        <w:tc>
          <w:tcPr>
            <w:tcW w:w="468" w:type="pct"/>
            <w:tcBorders>
              <w:top w:val="nil"/>
              <w:left w:val="nil"/>
              <w:bottom w:val="nil"/>
              <w:right w:val="nil"/>
            </w:tcBorders>
            <w:shd w:val="clear" w:color="000000" w:fill="FF9900"/>
            <w:noWrap/>
            <w:vAlign w:val="bottom"/>
            <w:hideMark/>
          </w:tcPr>
          <w:p w14:paraId="1616D9D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507,927</w:t>
            </w:r>
          </w:p>
        </w:tc>
        <w:tc>
          <w:tcPr>
            <w:tcW w:w="468" w:type="pct"/>
            <w:tcBorders>
              <w:top w:val="nil"/>
              <w:left w:val="nil"/>
              <w:bottom w:val="nil"/>
              <w:right w:val="nil"/>
            </w:tcBorders>
            <w:shd w:val="clear" w:color="auto" w:fill="auto"/>
            <w:noWrap/>
            <w:vAlign w:val="bottom"/>
            <w:hideMark/>
          </w:tcPr>
          <w:p w14:paraId="05B0922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250,888</w:t>
            </w:r>
          </w:p>
        </w:tc>
      </w:tr>
      <w:tr w:rsidR="00DF7B57" w:rsidRPr="00017BC5" w14:paraId="46D08E3B" w14:textId="77777777" w:rsidTr="00503D38">
        <w:trPr>
          <w:trHeight w:val="255"/>
        </w:trPr>
        <w:tc>
          <w:tcPr>
            <w:tcW w:w="809" w:type="pct"/>
            <w:tcBorders>
              <w:top w:val="nil"/>
              <w:left w:val="nil"/>
              <w:bottom w:val="nil"/>
              <w:right w:val="nil"/>
            </w:tcBorders>
            <w:shd w:val="clear" w:color="auto" w:fill="auto"/>
            <w:noWrap/>
            <w:vAlign w:val="center"/>
            <w:hideMark/>
          </w:tcPr>
          <w:p w14:paraId="7D7EB30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Shoalwater Creek</w:t>
            </w:r>
          </w:p>
        </w:tc>
        <w:tc>
          <w:tcPr>
            <w:tcW w:w="445" w:type="pct"/>
            <w:tcBorders>
              <w:top w:val="nil"/>
              <w:left w:val="nil"/>
              <w:bottom w:val="nil"/>
              <w:right w:val="nil"/>
            </w:tcBorders>
            <w:shd w:val="clear" w:color="auto" w:fill="auto"/>
            <w:noWrap/>
            <w:vAlign w:val="center"/>
            <w:hideMark/>
          </w:tcPr>
          <w:p w14:paraId="00A7ADA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233,488</w:t>
            </w:r>
          </w:p>
        </w:tc>
        <w:tc>
          <w:tcPr>
            <w:tcW w:w="468" w:type="pct"/>
            <w:tcBorders>
              <w:top w:val="nil"/>
              <w:left w:val="nil"/>
              <w:bottom w:val="nil"/>
              <w:right w:val="nil"/>
            </w:tcBorders>
            <w:shd w:val="clear" w:color="000000" w:fill="FF0000"/>
            <w:noWrap/>
            <w:vAlign w:val="center"/>
            <w:hideMark/>
          </w:tcPr>
          <w:p w14:paraId="3BBD8E8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1,031,129</w:t>
            </w:r>
          </w:p>
        </w:tc>
        <w:tc>
          <w:tcPr>
            <w:tcW w:w="468" w:type="pct"/>
            <w:tcBorders>
              <w:top w:val="nil"/>
              <w:left w:val="nil"/>
              <w:bottom w:val="nil"/>
              <w:right w:val="nil"/>
            </w:tcBorders>
            <w:shd w:val="clear" w:color="000000" w:fill="FFFF00"/>
            <w:noWrap/>
            <w:vAlign w:val="center"/>
            <w:hideMark/>
          </w:tcPr>
          <w:p w14:paraId="72108C2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313,180</w:t>
            </w:r>
          </w:p>
        </w:tc>
        <w:tc>
          <w:tcPr>
            <w:tcW w:w="468" w:type="pct"/>
            <w:tcBorders>
              <w:top w:val="nil"/>
              <w:left w:val="nil"/>
              <w:bottom w:val="nil"/>
              <w:right w:val="nil"/>
            </w:tcBorders>
            <w:shd w:val="clear" w:color="000000" w:fill="FF0000"/>
            <w:noWrap/>
            <w:vAlign w:val="center"/>
            <w:hideMark/>
          </w:tcPr>
          <w:p w14:paraId="7FDCCC2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1,101,638</w:t>
            </w:r>
          </w:p>
        </w:tc>
        <w:tc>
          <w:tcPr>
            <w:tcW w:w="468" w:type="pct"/>
            <w:tcBorders>
              <w:top w:val="nil"/>
              <w:left w:val="nil"/>
              <w:bottom w:val="nil"/>
              <w:right w:val="nil"/>
            </w:tcBorders>
            <w:shd w:val="clear" w:color="000000" w:fill="FF9900"/>
            <w:noWrap/>
            <w:vAlign w:val="center"/>
            <w:hideMark/>
          </w:tcPr>
          <w:p w14:paraId="549162F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619,211</w:t>
            </w:r>
          </w:p>
        </w:tc>
        <w:tc>
          <w:tcPr>
            <w:tcW w:w="468" w:type="pct"/>
            <w:tcBorders>
              <w:top w:val="nil"/>
              <w:left w:val="nil"/>
              <w:bottom w:val="nil"/>
              <w:right w:val="nil"/>
            </w:tcBorders>
            <w:shd w:val="clear" w:color="000000" w:fill="FF9900"/>
            <w:noWrap/>
            <w:vAlign w:val="center"/>
            <w:hideMark/>
          </w:tcPr>
          <w:p w14:paraId="688E735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427,872</w:t>
            </w:r>
          </w:p>
        </w:tc>
        <w:tc>
          <w:tcPr>
            <w:tcW w:w="468" w:type="pct"/>
            <w:tcBorders>
              <w:top w:val="nil"/>
              <w:left w:val="nil"/>
              <w:bottom w:val="nil"/>
              <w:right w:val="nil"/>
            </w:tcBorders>
            <w:shd w:val="clear" w:color="000000" w:fill="FFFF00"/>
            <w:noWrap/>
            <w:vAlign w:val="center"/>
            <w:hideMark/>
          </w:tcPr>
          <w:p w14:paraId="3BECF4F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391,308</w:t>
            </w:r>
          </w:p>
        </w:tc>
        <w:tc>
          <w:tcPr>
            <w:tcW w:w="468" w:type="pct"/>
            <w:tcBorders>
              <w:top w:val="nil"/>
              <w:left w:val="nil"/>
              <w:bottom w:val="nil"/>
              <w:right w:val="nil"/>
            </w:tcBorders>
            <w:shd w:val="clear" w:color="000000" w:fill="FF9900"/>
            <w:noWrap/>
            <w:vAlign w:val="bottom"/>
            <w:hideMark/>
          </w:tcPr>
          <w:p w14:paraId="0C7E0EA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577,985</w:t>
            </w:r>
          </w:p>
        </w:tc>
        <w:tc>
          <w:tcPr>
            <w:tcW w:w="468" w:type="pct"/>
            <w:tcBorders>
              <w:top w:val="nil"/>
              <w:left w:val="nil"/>
              <w:bottom w:val="nil"/>
              <w:right w:val="nil"/>
            </w:tcBorders>
            <w:shd w:val="clear" w:color="auto" w:fill="auto"/>
            <w:noWrap/>
            <w:vAlign w:val="bottom"/>
            <w:hideMark/>
          </w:tcPr>
          <w:p w14:paraId="5B04161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285,493</w:t>
            </w:r>
          </w:p>
        </w:tc>
      </w:tr>
      <w:tr w:rsidR="00DF7B57" w:rsidRPr="00017BC5" w14:paraId="111D4E67" w14:textId="77777777" w:rsidTr="00503D38">
        <w:trPr>
          <w:trHeight w:val="255"/>
        </w:trPr>
        <w:tc>
          <w:tcPr>
            <w:tcW w:w="809" w:type="pct"/>
            <w:tcBorders>
              <w:top w:val="nil"/>
              <w:left w:val="nil"/>
              <w:bottom w:val="nil"/>
              <w:right w:val="nil"/>
            </w:tcBorders>
            <w:shd w:val="clear" w:color="auto" w:fill="auto"/>
            <w:noWrap/>
            <w:vAlign w:val="center"/>
            <w:hideMark/>
          </w:tcPr>
          <w:p w14:paraId="49ED3C6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Water Park Creek</w:t>
            </w:r>
          </w:p>
        </w:tc>
        <w:tc>
          <w:tcPr>
            <w:tcW w:w="445" w:type="pct"/>
            <w:tcBorders>
              <w:top w:val="nil"/>
              <w:left w:val="nil"/>
              <w:bottom w:val="nil"/>
              <w:right w:val="nil"/>
            </w:tcBorders>
            <w:shd w:val="clear" w:color="auto" w:fill="auto"/>
            <w:noWrap/>
            <w:vAlign w:val="center"/>
            <w:hideMark/>
          </w:tcPr>
          <w:p w14:paraId="2D334CD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615,559</w:t>
            </w:r>
          </w:p>
        </w:tc>
        <w:tc>
          <w:tcPr>
            <w:tcW w:w="468" w:type="pct"/>
            <w:tcBorders>
              <w:top w:val="nil"/>
              <w:left w:val="nil"/>
              <w:bottom w:val="nil"/>
              <w:right w:val="nil"/>
            </w:tcBorders>
            <w:shd w:val="clear" w:color="000000" w:fill="FF0000"/>
            <w:noWrap/>
            <w:vAlign w:val="center"/>
            <w:hideMark/>
          </w:tcPr>
          <w:p w14:paraId="241836B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2,718,432</w:t>
            </w:r>
          </w:p>
        </w:tc>
        <w:tc>
          <w:tcPr>
            <w:tcW w:w="468" w:type="pct"/>
            <w:tcBorders>
              <w:top w:val="nil"/>
              <w:left w:val="nil"/>
              <w:bottom w:val="nil"/>
              <w:right w:val="nil"/>
            </w:tcBorders>
            <w:shd w:val="clear" w:color="000000" w:fill="FFFF00"/>
            <w:noWrap/>
            <w:vAlign w:val="center"/>
            <w:hideMark/>
          </w:tcPr>
          <w:p w14:paraId="4FF6E29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825,657</w:t>
            </w:r>
          </w:p>
        </w:tc>
        <w:tc>
          <w:tcPr>
            <w:tcW w:w="468" w:type="pct"/>
            <w:tcBorders>
              <w:top w:val="nil"/>
              <w:left w:val="nil"/>
              <w:bottom w:val="nil"/>
              <w:right w:val="nil"/>
            </w:tcBorders>
            <w:shd w:val="clear" w:color="000000" w:fill="FF0000"/>
            <w:noWrap/>
            <w:vAlign w:val="center"/>
            <w:hideMark/>
          </w:tcPr>
          <w:p w14:paraId="4D5EAC5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2,904,319</w:t>
            </w:r>
          </w:p>
        </w:tc>
        <w:tc>
          <w:tcPr>
            <w:tcW w:w="468" w:type="pct"/>
            <w:tcBorders>
              <w:top w:val="nil"/>
              <w:left w:val="nil"/>
              <w:bottom w:val="nil"/>
              <w:right w:val="nil"/>
            </w:tcBorders>
            <w:shd w:val="clear" w:color="000000" w:fill="FF9900"/>
            <w:noWrap/>
            <w:vAlign w:val="center"/>
            <w:hideMark/>
          </w:tcPr>
          <w:p w14:paraId="4406736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1,632,466</w:t>
            </w:r>
          </w:p>
        </w:tc>
        <w:tc>
          <w:tcPr>
            <w:tcW w:w="468" w:type="pct"/>
            <w:tcBorders>
              <w:top w:val="nil"/>
              <w:left w:val="nil"/>
              <w:bottom w:val="nil"/>
              <w:right w:val="nil"/>
            </w:tcBorders>
            <w:shd w:val="clear" w:color="000000" w:fill="FF9900"/>
            <w:noWrap/>
            <w:vAlign w:val="center"/>
            <w:hideMark/>
          </w:tcPr>
          <w:p w14:paraId="468507A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1,128,027</w:t>
            </w:r>
          </w:p>
        </w:tc>
        <w:tc>
          <w:tcPr>
            <w:tcW w:w="468" w:type="pct"/>
            <w:tcBorders>
              <w:top w:val="nil"/>
              <w:left w:val="nil"/>
              <w:bottom w:val="nil"/>
              <w:right w:val="nil"/>
            </w:tcBorders>
            <w:shd w:val="clear" w:color="000000" w:fill="FFFF00"/>
            <w:noWrap/>
            <w:vAlign w:val="center"/>
            <w:hideMark/>
          </w:tcPr>
          <w:p w14:paraId="7884AE4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1,031,630</w:t>
            </w:r>
          </w:p>
        </w:tc>
        <w:tc>
          <w:tcPr>
            <w:tcW w:w="468" w:type="pct"/>
            <w:tcBorders>
              <w:top w:val="nil"/>
              <w:left w:val="nil"/>
              <w:bottom w:val="nil"/>
              <w:right w:val="nil"/>
            </w:tcBorders>
            <w:shd w:val="clear" w:color="000000" w:fill="FF9900"/>
            <w:noWrap/>
            <w:vAlign w:val="bottom"/>
            <w:hideMark/>
          </w:tcPr>
          <w:p w14:paraId="151F7EC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1,523,780</w:t>
            </w:r>
          </w:p>
        </w:tc>
        <w:tc>
          <w:tcPr>
            <w:tcW w:w="468" w:type="pct"/>
            <w:tcBorders>
              <w:top w:val="nil"/>
              <w:left w:val="nil"/>
              <w:bottom w:val="nil"/>
              <w:right w:val="nil"/>
            </w:tcBorders>
            <w:shd w:val="clear" w:color="auto" w:fill="auto"/>
            <w:noWrap/>
            <w:vAlign w:val="bottom"/>
            <w:hideMark/>
          </w:tcPr>
          <w:p w14:paraId="744EE11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752,664</w:t>
            </w:r>
          </w:p>
        </w:tc>
      </w:tr>
      <w:tr w:rsidR="00DF7B57" w:rsidRPr="00017BC5" w14:paraId="18684BA4" w14:textId="77777777" w:rsidTr="00503D38">
        <w:trPr>
          <w:trHeight w:val="255"/>
        </w:trPr>
        <w:tc>
          <w:tcPr>
            <w:tcW w:w="809" w:type="pct"/>
            <w:tcBorders>
              <w:top w:val="nil"/>
              <w:left w:val="nil"/>
              <w:bottom w:val="nil"/>
              <w:right w:val="nil"/>
            </w:tcBorders>
            <w:shd w:val="clear" w:color="auto" w:fill="auto"/>
            <w:noWrap/>
            <w:vAlign w:val="center"/>
            <w:hideMark/>
          </w:tcPr>
          <w:p w14:paraId="2C55776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Fitzroy River</w:t>
            </w:r>
          </w:p>
        </w:tc>
        <w:tc>
          <w:tcPr>
            <w:tcW w:w="445" w:type="pct"/>
            <w:tcBorders>
              <w:top w:val="nil"/>
              <w:left w:val="nil"/>
              <w:bottom w:val="nil"/>
              <w:right w:val="nil"/>
            </w:tcBorders>
            <w:shd w:val="clear" w:color="auto" w:fill="auto"/>
            <w:noWrap/>
            <w:vAlign w:val="center"/>
            <w:hideMark/>
          </w:tcPr>
          <w:p w14:paraId="65D23D7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2,852,307</w:t>
            </w:r>
          </w:p>
        </w:tc>
        <w:tc>
          <w:tcPr>
            <w:tcW w:w="468" w:type="pct"/>
            <w:tcBorders>
              <w:top w:val="nil"/>
              <w:left w:val="nil"/>
              <w:bottom w:val="nil"/>
              <w:right w:val="nil"/>
            </w:tcBorders>
            <w:shd w:val="clear" w:color="000000" w:fill="FF0000"/>
            <w:noWrap/>
            <w:vAlign w:val="center"/>
            <w:hideMark/>
          </w:tcPr>
          <w:p w14:paraId="4D8C43D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37,942,149</w:t>
            </w:r>
          </w:p>
        </w:tc>
        <w:tc>
          <w:tcPr>
            <w:tcW w:w="468" w:type="pct"/>
            <w:tcBorders>
              <w:top w:val="nil"/>
              <w:left w:val="nil"/>
              <w:bottom w:val="nil"/>
              <w:right w:val="nil"/>
            </w:tcBorders>
            <w:shd w:val="clear" w:color="000000" w:fill="FF9900"/>
            <w:noWrap/>
            <w:vAlign w:val="center"/>
            <w:hideMark/>
          </w:tcPr>
          <w:p w14:paraId="19143C0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7,993,273</w:t>
            </w:r>
          </w:p>
        </w:tc>
        <w:tc>
          <w:tcPr>
            <w:tcW w:w="468" w:type="pct"/>
            <w:tcBorders>
              <w:top w:val="nil"/>
              <w:left w:val="nil"/>
              <w:bottom w:val="nil"/>
              <w:right w:val="nil"/>
            </w:tcBorders>
            <w:shd w:val="clear" w:color="000000" w:fill="FF0000"/>
            <w:noWrap/>
            <w:vAlign w:val="center"/>
            <w:hideMark/>
          </w:tcPr>
          <w:p w14:paraId="384F514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8,530,491</w:t>
            </w:r>
          </w:p>
        </w:tc>
        <w:tc>
          <w:tcPr>
            <w:tcW w:w="468" w:type="pct"/>
            <w:tcBorders>
              <w:top w:val="nil"/>
              <w:left w:val="nil"/>
              <w:bottom w:val="nil"/>
              <w:right w:val="nil"/>
            </w:tcBorders>
            <w:shd w:val="clear" w:color="auto" w:fill="auto"/>
            <w:noWrap/>
            <w:vAlign w:val="center"/>
            <w:hideMark/>
          </w:tcPr>
          <w:p w14:paraId="55EDD2E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1,578,610</w:t>
            </w:r>
          </w:p>
        </w:tc>
        <w:tc>
          <w:tcPr>
            <w:tcW w:w="468" w:type="pct"/>
            <w:tcBorders>
              <w:top w:val="nil"/>
              <w:left w:val="nil"/>
              <w:bottom w:val="nil"/>
              <w:right w:val="nil"/>
            </w:tcBorders>
            <w:shd w:val="clear" w:color="auto" w:fill="auto"/>
            <w:noWrap/>
            <w:vAlign w:val="center"/>
            <w:hideMark/>
          </w:tcPr>
          <w:p w14:paraId="1FBFE38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2,681,949</w:t>
            </w:r>
          </w:p>
        </w:tc>
        <w:tc>
          <w:tcPr>
            <w:tcW w:w="468" w:type="pct"/>
            <w:tcBorders>
              <w:top w:val="nil"/>
              <w:left w:val="nil"/>
              <w:bottom w:val="nil"/>
              <w:right w:val="nil"/>
            </w:tcBorders>
            <w:shd w:val="clear" w:color="auto" w:fill="auto"/>
            <w:noWrap/>
            <w:vAlign w:val="center"/>
            <w:hideMark/>
          </w:tcPr>
          <w:p w14:paraId="1F8840B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3,589,342</w:t>
            </w:r>
          </w:p>
        </w:tc>
        <w:tc>
          <w:tcPr>
            <w:tcW w:w="468" w:type="pct"/>
            <w:tcBorders>
              <w:top w:val="nil"/>
              <w:left w:val="nil"/>
              <w:bottom w:val="nil"/>
              <w:right w:val="nil"/>
            </w:tcBorders>
            <w:shd w:val="clear" w:color="000000" w:fill="FF9900"/>
            <w:noWrap/>
            <w:vAlign w:val="bottom"/>
            <w:hideMark/>
          </w:tcPr>
          <w:p w14:paraId="4928107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6,170,044</w:t>
            </w:r>
          </w:p>
        </w:tc>
        <w:tc>
          <w:tcPr>
            <w:tcW w:w="468" w:type="pct"/>
            <w:tcBorders>
              <w:top w:val="nil"/>
              <w:left w:val="nil"/>
              <w:bottom w:val="nil"/>
              <w:right w:val="nil"/>
            </w:tcBorders>
            <w:shd w:val="clear" w:color="auto" w:fill="auto"/>
            <w:noWrap/>
            <w:vAlign w:val="bottom"/>
            <w:hideMark/>
          </w:tcPr>
          <w:p w14:paraId="210D5AF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954,362</w:t>
            </w:r>
          </w:p>
        </w:tc>
      </w:tr>
      <w:tr w:rsidR="00DF7B57" w:rsidRPr="00017BC5" w14:paraId="35F5CD61" w14:textId="77777777" w:rsidTr="00503D38">
        <w:trPr>
          <w:trHeight w:val="255"/>
        </w:trPr>
        <w:tc>
          <w:tcPr>
            <w:tcW w:w="809" w:type="pct"/>
            <w:tcBorders>
              <w:top w:val="nil"/>
              <w:left w:val="nil"/>
              <w:bottom w:val="nil"/>
              <w:right w:val="nil"/>
            </w:tcBorders>
            <w:shd w:val="clear" w:color="auto" w:fill="auto"/>
            <w:noWrap/>
            <w:vAlign w:val="center"/>
            <w:hideMark/>
          </w:tcPr>
          <w:p w14:paraId="742AA11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Calliope River</w:t>
            </w:r>
          </w:p>
        </w:tc>
        <w:tc>
          <w:tcPr>
            <w:tcW w:w="445" w:type="pct"/>
            <w:tcBorders>
              <w:top w:val="nil"/>
              <w:left w:val="nil"/>
              <w:bottom w:val="nil"/>
              <w:right w:val="nil"/>
            </w:tcBorders>
            <w:shd w:val="clear" w:color="auto" w:fill="auto"/>
            <w:noWrap/>
            <w:vAlign w:val="center"/>
            <w:hideMark/>
          </w:tcPr>
          <w:p w14:paraId="22734A1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152,965</w:t>
            </w:r>
          </w:p>
        </w:tc>
        <w:tc>
          <w:tcPr>
            <w:tcW w:w="468" w:type="pct"/>
            <w:tcBorders>
              <w:top w:val="nil"/>
              <w:left w:val="nil"/>
              <w:bottom w:val="nil"/>
              <w:right w:val="nil"/>
            </w:tcBorders>
            <w:shd w:val="clear" w:color="000000" w:fill="FF0000"/>
            <w:noWrap/>
            <w:vAlign w:val="center"/>
            <w:hideMark/>
          </w:tcPr>
          <w:p w14:paraId="3BED767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1,000,032</w:t>
            </w:r>
          </w:p>
        </w:tc>
        <w:tc>
          <w:tcPr>
            <w:tcW w:w="468" w:type="pct"/>
            <w:tcBorders>
              <w:top w:val="nil"/>
              <w:left w:val="nil"/>
              <w:bottom w:val="nil"/>
              <w:right w:val="nil"/>
            </w:tcBorders>
            <w:shd w:val="clear" w:color="000000" w:fill="FF9900"/>
            <w:noWrap/>
            <w:vAlign w:val="center"/>
            <w:hideMark/>
          </w:tcPr>
          <w:p w14:paraId="1FE6C2F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345,703</w:t>
            </w:r>
          </w:p>
        </w:tc>
        <w:tc>
          <w:tcPr>
            <w:tcW w:w="468" w:type="pct"/>
            <w:tcBorders>
              <w:top w:val="nil"/>
              <w:left w:val="nil"/>
              <w:bottom w:val="nil"/>
              <w:right w:val="nil"/>
            </w:tcBorders>
            <w:shd w:val="clear" w:color="000000" w:fill="FF0000"/>
            <w:noWrap/>
            <w:vAlign w:val="center"/>
            <w:hideMark/>
          </w:tcPr>
          <w:p w14:paraId="72D1803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1,558,380</w:t>
            </w:r>
          </w:p>
        </w:tc>
        <w:tc>
          <w:tcPr>
            <w:tcW w:w="468" w:type="pct"/>
            <w:tcBorders>
              <w:top w:val="nil"/>
              <w:left w:val="nil"/>
              <w:bottom w:val="nil"/>
              <w:right w:val="nil"/>
            </w:tcBorders>
            <w:shd w:val="clear" w:color="000000" w:fill="FFFF00"/>
            <w:noWrap/>
            <w:vAlign w:val="center"/>
            <w:hideMark/>
          </w:tcPr>
          <w:p w14:paraId="6A31016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283,790</w:t>
            </w:r>
          </w:p>
        </w:tc>
        <w:tc>
          <w:tcPr>
            <w:tcW w:w="468" w:type="pct"/>
            <w:tcBorders>
              <w:top w:val="nil"/>
              <w:left w:val="nil"/>
              <w:bottom w:val="nil"/>
              <w:right w:val="nil"/>
            </w:tcBorders>
            <w:shd w:val="clear" w:color="000000" w:fill="FF0000"/>
            <w:noWrap/>
            <w:vAlign w:val="center"/>
            <w:hideMark/>
          </w:tcPr>
          <w:p w14:paraId="750F4EB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479,868</w:t>
            </w:r>
          </w:p>
        </w:tc>
        <w:tc>
          <w:tcPr>
            <w:tcW w:w="468" w:type="pct"/>
            <w:tcBorders>
              <w:top w:val="nil"/>
              <w:left w:val="nil"/>
              <w:bottom w:val="nil"/>
              <w:right w:val="nil"/>
            </w:tcBorders>
            <w:shd w:val="clear" w:color="auto" w:fill="auto"/>
            <w:noWrap/>
            <w:vAlign w:val="center"/>
            <w:hideMark/>
          </w:tcPr>
          <w:p w14:paraId="674C9AB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148,547</w:t>
            </w:r>
          </w:p>
        </w:tc>
        <w:tc>
          <w:tcPr>
            <w:tcW w:w="468" w:type="pct"/>
            <w:tcBorders>
              <w:top w:val="nil"/>
              <w:left w:val="nil"/>
              <w:bottom w:val="nil"/>
              <w:right w:val="nil"/>
            </w:tcBorders>
            <w:shd w:val="clear" w:color="000000" w:fill="FF9900"/>
            <w:noWrap/>
            <w:vAlign w:val="bottom"/>
            <w:hideMark/>
          </w:tcPr>
          <w:p w14:paraId="00D7B08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406,321</w:t>
            </w:r>
          </w:p>
        </w:tc>
        <w:tc>
          <w:tcPr>
            <w:tcW w:w="468" w:type="pct"/>
            <w:tcBorders>
              <w:top w:val="nil"/>
              <w:left w:val="nil"/>
              <w:bottom w:val="nil"/>
              <w:right w:val="nil"/>
            </w:tcBorders>
            <w:shd w:val="clear" w:color="auto" w:fill="auto"/>
            <w:noWrap/>
            <w:vAlign w:val="bottom"/>
            <w:hideMark/>
          </w:tcPr>
          <w:p w14:paraId="6D9CDDCC"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141,133</w:t>
            </w:r>
          </w:p>
        </w:tc>
      </w:tr>
      <w:tr w:rsidR="00DF7B57" w:rsidRPr="00017BC5" w14:paraId="4E53A4CC" w14:textId="77777777" w:rsidTr="00503D38">
        <w:trPr>
          <w:trHeight w:val="255"/>
        </w:trPr>
        <w:tc>
          <w:tcPr>
            <w:tcW w:w="809" w:type="pct"/>
            <w:tcBorders>
              <w:top w:val="nil"/>
              <w:left w:val="nil"/>
              <w:bottom w:val="nil"/>
              <w:right w:val="nil"/>
            </w:tcBorders>
            <w:shd w:val="clear" w:color="auto" w:fill="auto"/>
            <w:noWrap/>
            <w:vAlign w:val="center"/>
            <w:hideMark/>
          </w:tcPr>
          <w:p w14:paraId="31D4C16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Boyne River</w:t>
            </w:r>
          </w:p>
        </w:tc>
        <w:tc>
          <w:tcPr>
            <w:tcW w:w="445" w:type="pct"/>
            <w:tcBorders>
              <w:top w:val="nil"/>
              <w:left w:val="nil"/>
              <w:bottom w:val="nil"/>
              <w:right w:val="nil"/>
            </w:tcBorders>
            <w:shd w:val="clear" w:color="auto" w:fill="auto"/>
            <w:noWrap/>
            <w:vAlign w:val="center"/>
            <w:hideMark/>
          </w:tcPr>
          <w:p w14:paraId="4A0C6AF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38,691</w:t>
            </w:r>
          </w:p>
        </w:tc>
        <w:tc>
          <w:tcPr>
            <w:tcW w:w="468" w:type="pct"/>
            <w:tcBorders>
              <w:top w:val="nil"/>
              <w:left w:val="nil"/>
              <w:bottom w:val="nil"/>
              <w:right w:val="nil"/>
            </w:tcBorders>
            <w:shd w:val="clear" w:color="000000" w:fill="FF0000"/>
            <w:noWrap/>
            <w:vAlign w:val="center"/>
            <w:hideMark/>
          </w:tcPr>
          <w:p w14:paraId="5970DB8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252,949</w:t>
            </w:r>
          </w:p>
        </w:tc>
        <w:tc>
          <w:tcPr>
            <w:tcW w:w="468" w:type="pct"/>
            <w:tcBorders>
              <w:top w:val="nil"/>
              <w:left w:val="nil"/>
              <w:bottom w:val="nil"/>
              <w:right w:val="nil"/>
            </w:tcBorders>
            <w:shd w:val="clear" w:color="000000" w:fill="FF9900"/>
            <w:noWrap/>
            <w:vAlign w:val="center"/>
            <w:hideMark/>
          </w:tcPr>
          <w:p w14:paraId="59A19FC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87,443</w:t>
            </w:r>
          </w:p>
        </w:tc>
        <w:tc>
          <w:tcPr>
            <w:tcW w:w="468" w:type="pct"/>
            <w:tcBorders>
              <w:top w:val="nil"/>
              <w:left w:val="nil"/>
              <w:bottom w:val="nil"/>
              <w:right w:val="nil"/>
            </w:tcBorders>
            <w:shd w:val="clear" w:color="000000" w:fill="FF0000"/>
            <w:noWrap/>
            <w:vAlign w:val="center"/>
            <w:hideMark/>
          </w:tcPr>
          <w:p w14:paraId="287C87A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394,178</w:t>
            </w:r>
          </w:p>
        </w:tc>
        <w:tc>
          <w:tcPr>
            <w:tcW w:w="468" w:type="pct"/>
            <w:tcBorders>
              <w:top w:val="nil"/>
              <w:left w:val="nil"/>
              <w:bottom w:val="nil"/>
              <w:right w:val="nil"/>
            </w:tcBorders>
            <w:shd w:val="clear" w:color="000000" w:fill="FFFF00"/>
            <w:noWrap/>
            <w:vAlign w:val="center"/>
            <w:hideMark/>
          </w:tcPr>
          <w:p w14:paraId="4C6D58D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71,782</w:t>
            </w:r>
          </w:p>
        </w:tc>
        <w:tc>
          <w:tcPr>
            <w:tcW w:w="468" w:type="pct"/>
            <w:tcBorders>
              <w:top w:val="nil"/>
              <w:left w:val="nil"/>
              <w:bottom w:val="nil"/>
              <w:right w:val="nil"/>
            </w:tcBorders>
            <w:shd w:val="clear" w:color="000000" w:fill="FF0000"/>
            <w:noWrap/>
            <w:vAlign w:val="center"/>
            <w:hideMark/>
          </w:tcPr>
          <w:p w14:paraId="19F58F3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121,378</w:t>
            </w:r>
          </w:p>
        </w:tc>
        <w:tc>
          <w:tcPr>
            <w:tcW w:w="468" w:type="pct"/>
            <w:tcBorders>
              <w:top w:val="nil"/>
              <w:left w:val="nil"/>
              <w:bottom w:val="nil"/>
              <w:right w:val="nil"/>
            </w:tcBorders>
            <w:shd w:val="clear" w:color="auto" w:fill="auto"/>
            <w:noWrap/>
            <w:vAlign w:val="center"/>
            <w:hideMark/>
          </w:tcPr>
          <w:p w14:paraId="7C83EE6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37,574</w:t>
            </w:r>
          </w:p>
        </w:tc>
        <w:tc>
          <w:tcPr>
            <w:tcW w:w="468" w:type="pct"/>
            <w:tcBorders>
              <w:top w:val="nil"/>
              <w:left w:val="nil"/>
              <w:bottom w:val="nil"/>
              <w:right w:val="nil"/>
            </w:tcBorders>
            <w:shd w:val="clear" w:color="000000" w:fill="FF9900"/>
            <w:noWrap/>
            <w:vAlign w:val="bottom"/>
            <w:hideMark/>
          </w:tcPr>
          <w:p w14:paraId="6C5E7CF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102,775</w:t>
            </w:r>
          </w:p>
        </w:tc>
        <w:tc>
          <w:tcPr>
            <w:tcW w:w="468" w:type="pct"/>
            <w:tcBorders>
              <w:top w:val="nil"/>
              <w:left w:val="nil"/>
              <w:bottom w:val="nil"/>
              <w:right w:val="nil"/>
            </w:tcBorders>
            <w:shd w:val="clear" w:color="auto" w:fill="auto"/>
            <w:noWrap/>
            <w:vAlign w:val="bottom"/>
            <w:hideMark/>
          </w:tcPr>
          <w:p w14:paraId="7FED514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35,698</w:t>
            </w:r>
          </w:p>
        </w:tc>
      </w:tr>
      <w:tr w:rsidR="00DF7B57" w:rsidRPr="00017BC5" w14:paraId="3F47BBAC" w14:textId="77777777" w:rsidTr="00503D38">
        <w:trPr>
          <w:trHeight w:val="255"/>
        </w:trPr>
        <w:tc>
          <w:tcPr>
            <w:tcW w:w="809" w:type="pct"/>
            <w:tcBorders>
              <w:top w:val="nil"/>
              <w:left w:val="nil"/>
              <w:bottom w:val="nil"/>
              <w:right w:val="nil"/>
            </w:tcBorders>
            <w:shd w:val="clear" w:color="auto" w:fill="auto"/>
            <w:noWrap/>
            <w:vAlign w:val="center"/>
            <w:hideMark/>
          </w:tcPr>
          <w:p w14:paraId="79E6132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Baffle Creek</w:t>
            </w:r>
          </w:p>
        </w:tc>
        <w:tc>
          <w:tcPr>
            <w:tcW w:w="445" w:type="pct"/>
            <w:tcBorders>
              <w:top w:val="nil"/>
              <w:left w:val="nil"/>
              <w:bottom w:val="nil"/>
              <w:right w:val="nil"/>
            </w:tcBorders>
            <w:shd w:val="clear" w:color="auto" w:fill="auto"/>
            <w:noWrap/>
            <w:vAlign w:val="center"/>
            <w:hideMark/>
          </w:tcPr>
          <w:p w14:paraId="0A78BDD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465,218</w:t>
            </w:r>
          </w:p>
        </w:tc>
        <w:tc>
          <w:tcPr>
            <w:tcW w:w="468" w:type="pct"/>
            <w:tcBorders>
              <w:top w:val="nil"/>
              <w:left w:val="nil"/>
              <w:bottom w:val="nil"/>
              <w:right w:val="nil"/>
            </w:tcBorders>
            <w:shd w:val="clear" w:color="000000" w:fill="FF0000"/>
            <w:noWrap/>
            <w:vAlign w:val="center"/>
            <w:hideMark/>
          </w:tcPr>
          <w:p w14:paraId="5517CDD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3,650,093</w:t>
            </w:r>
          </w:p>
        </w:tc>
        <w:tc>
          <w:tcPr>
            <w:tcW w:w="468" w:type="pct"/>
            <w:tcBorders>
              <w:top w:val="nil"/>
              <w:left w:val="nil"/>
              <w:bottom w:val="nil"/>
              <w:right w:val="nil"/>
            </w:tcBorders>
            <w:shd w:val="clear" w:color="000000" w:fill="FF0000"/>
            <w:noWrap/>
            <w:vAlign w:val="center"/>
            <w:hideMark/>
          </w:tcPr>
          <w:p w14:paraId="0D40070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1,775,749</w:t>
            </w:r>
          </w:p>
        </w:tc>
        <w:tc>
          <w:tcPr>
            <w:tcW w:w="468" w:type="pct"/>
            <w:tcBorders>
              <w:top w:val="nil"/>
              <w:left w:val="nil"/>
              <w:bottom w:val="nil"/>
              <w:right w:val="nil"/>
            </w:tcBorders>
            <w:shd w:val="clear" w:color="000000" w:fill="FF0000"/>
            <w:noWrap/>
            <w:vAlign w:val="center"/>
            <w:hideMark/>
          </w:tcPr>
          <w:p w14:paraId="6C593B5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2,030,545</w:t>
            </w:r>
          </w:p>
        </w:tc>
        <w:tc>
          <w:tcPr>
            <w:tcW w:w="468" w:type="pct"/>
            <w:tcBorders>
              <w:top w:val="nil"/>
              <w:left w:val="nil"/>
              <w:bottom w:val="nil"/>
              <w:right w:val="nil"/>
            </w:tcBorders>
            <w:shd w:val="clear" w:color="auto" w:fill="auto"/>
            <w:noWrap/>
            <w:vAlign w:val="center"/>
            <w:hideMark/>
          </w:tcPr>
          <w:p w14:paraId="3645E56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275,517</w:t>
            </w:r>
          </w:p>
        </w:tc>
        <w:tc>
          <w:tcPr>
            <w:tcW w:w="468" w:type="pct"/>
            <w:tcBorders>
              <w:top w:val="nil"/>
              <w:left w:val="nil"/>
              <w:bottom w:val="nil"/>
              <w:right w:val="nil"/>
            </w:tcBorders>
            <w:shd w:val="clear" w:color="000000" w:fill="FFFF00"/>
            <w:noWrap/>
            <w:vAlign w:val="center"/>
            <w:hideMark/>
          </w:tcPr>
          <w:p w14:paraId="327F4D4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710,352</w:t>
            </w:r>
          </w:p>
        </w:tc>
        <w:tc>
          <w:tcPr>
            <w:tcW w:w="468" w:type="pct"/>
            <w:tcBorders>
              <w:top w:val="nil"/>
              <w:left w:val="nil"/>
              <w:bottom w:val="nil"/>
              <w:right w:val="nil"/>
            </w:tcBorders>
            <w:shd w:val="clear" w:color="auto" w:fill="auto"/>
            <w:noWrap/>
            <w:vAlign w:val="center"/>
            <w:hideMark/>
          </w:tcPr>
          <w:p w14:paraId="58C39B7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257,093</w:t>
            </w:r>
          </w:p>
        </w:tc>
        <w:tc>
          <w:tcPr>
            <w:tcW w:w="468" w:type="pct"/>
            <w:tcBorders>
              <w:top w:val="nil"/>
              <w:left w:val="nil"/>
              <w:bottom w:val="nil"/>
              <w:right w:val="nil"/>
            </w:tcBorders>
            <w:shd w:val="clear" w:color="000000" w:fill="FF9900"/>
            <w:noWrap/>
            <w:vAlign w:val="bottom"/>
            <w:hideMark/>
          </w:tcPr>
          <w:p w14:paraId="633010C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829,460</w:t>
            </w:r>
          </w:p>
        </w:tc>
        <w:tc>
          <w:tcPr>
            <w:tcW w:w="468" w:type="pct"/>
            <w:tcBorders>
              <w:top w:val="nil"/>
              <w:left w:val="nil"/>
              <w:bottom w:val="nil"/>
              <w:right w:val="nil"/>
            </w:tcBorders>
            <w:shd w:val="clear" w:color="000000" w:fill="FF0000"/>
            <w:noWrap/>
            <w:vAlign w:val="bottom"/>
            <w:hideMark/>
          </w:tcPr>
          <w:p w14:paraId="460169E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1,844,466</w:t>
            </w:r>
          </w:p>
        </w:tc>
      </w:tr>
      <w:tr w:rsidR="00DF7B57" w:rsidRPr="00017BC5" w14:paraId="11BE8C52" w14:textId="77777777" w:rsidTr="00503D38">
        <w:trPr>
          <w:trHeight w:val="255"/>
        </w:trPr>
        <w:tc>
          <w:tcPr>
            <w:tcW w:w="809" w:type="pct"/>
            <w:tcBorders>
              <w:top w:val="nil"/>
              <w:left w:val="nil"/>
              <w:bottom w:val="nil"/>
              <w:right w:val="nil"/>
            </w:tcBorders>
            <w:shd w:val="clear" w:color="auto" w:fill="auto"/>
            <w:noWrap/>
            <w:vAlign w:val="center"/>
            <w:hideMark/>
          </w:tcPr>
          <w:p w14:paraId="3DF794A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Kolan River</w:t>
            </w:r>
          </w:p>
        </w:tc>
        <w:tc>
          <w:tcPr>
            <w:tcW w:w="445" w:type="pct"/>
            <w:tcBorders>
              <w:top w:val="nil"/>
              <w:left w:val="nil"/>
              <w:bottom w:val="nil"/>
              <w:right w:val="nil"/>
            </w:tcBorders>
            <w:shd w:val="clear" w:color="auto" w:fill="auto"/>
            <w:noWrap/>
            <w:vAlign w:val="center"/>
            <w:hideMark/>
          </w:tcPr>
          <w:p w14:paraId="5E0E4BA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56,231</w:t>
            </w:r>
          </w:p>
        </w:tc>
        <w:tc>
          <w:tcPr>
            <w:tcW w:w="468" w:type="pct"/>
            <w:tcBorders>
              <w:top w:val="nil"/>
              <w:left w:val="nil"/>
              <w:bottom w:val="nil"/>
              <w:right w:val="nil"/>
            </w:tcBorders>
            <w:shd w:val="clear" w:color="000000" w:fill="FF0000"/>
            <w:noWrap/>
            <w:vAlign w:val="center"/>
            <w:hideMark/>
          </w:tcPr>
          <w:p w14:paraId="6578BA4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779,168</w:t>
            </w:r>
          </w:p>
        </w:tc>
        <w:tc>
          <w:tcPr>
            <w:tcW w:w="468" w:type="pct"/>
            <w:tcBorders>
              <w:top w:val="nil"/>
              <w:left w:val="nil"/>
              <w:bottom w:val="nil"/>
              <w:right w:val="nil"/>
            </w:tcBorders>
            <w:shd w:val="clear" w:color="000000" w:fill="FF0000"/>
            <w:noWrap/>
            <w:vAlign w:val="center"/>
            <w:hideMark/>
          </w:tcPr>
          <w:p w14:paraId="638F1E9E"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307,837</w:t>
            </w:r>
          </w:p>
        </w:tc>
        <w:tc>
          <w:tcPr>
            <w:tcW w:w="468" w:type="pct"/>
            <w:tcBorders>
              <w:top w:val="nil"/>
              <w:left w:val="nil"/>
              <w:bottom w:val="nil"/>
              <w:right w:val="nil"/>
            </w:tcBorders>
            <w:shd w:val="clear" w:color="000000" w:fill="FF0000"/>
            <w:noWrap/>
            <w:vAlign w:val="center"/>
            <w:hideMark/>
          </w:tcPr>
          <w:p w14:paraId="049671A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810,411</w:t>
            </w:r>
          </w:p>
        </w:tc>
        <w:tc>
          <w:tcPr>
            <w:tcW w:w="468" w:type="pct"/>
            <w:tcBorders>
              <w:top w:val="nil"/>
              <w:left w:val="nil"/>
              <w:bottom w:val="nil"/>
              <w:right w:val="nil"/>
            </w:tcBorders>
            <w:shd w:val="clear" w:color="auto" w:fill="auto"/>
            <w:noWrap/>
            <w:vAlign w:val="center"/>
            <w:hideMark/>
          </w:tcPr>
          <w:p w14:paraId="1A93273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45,304</w:t>
            </w:r>
          </w:p>
        </w:tc>
        <w:tc>
          <w:tcPr>
            <w:tcW w:w="468" w:type="pct"/>
            <w:tcBorders>
              <w:top w:val="nil"/>
              <w:left w:val="nil"/>
              <w:bottom w:val="nil"/>
              <w:right w:val="nil"/>
            </w:tcBorders>
            <w:shd w:val="clear" w:color="000000" w:fill="FF0000"/>
            <w:noWrap/>
            <w:vAlign w:val="center"/>
            <w:hideMark/>
          </w:tcPr>
          <w:p w14:paraId="1A53C25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213,857</w:t>
            </w:r>
          </w:p>
        </w:tc>
        <w:tc>
          <w:tcPr>
            <w:tcW w:w="468" w:type="pct"/>
            <w:tcBorders>
              <w:top w:val="nil"/>
              <w:left w:val="nil"/>
              <w:bottom w:val="nil"/>
              <w:right w:val="nil"/>
            </w:tcBorders>
            <w:shd w:val="clear" w:color="000000" w:fill="FF9900"/>
            <w:noWrap/>
            <w:vAlign w:val="center"/>
            <w:hideMark/>
          </w:tcPr>
          <w:p w14:paraId="1A5281C2"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111,172</w:t>
            </w:r>
          </w:p>
        </w:tc>
        <w:tc>
          <w:tcPr>
            <w:tcW w:w="468" w:type="pct"/>
            <w:tcBorders>
              <w:top w:val="nil"/>
              <w:left w:val="nil"/>
              <w:bottom w:val="nil"/>
              <w:right w:val="nil"/>
            </w:tcBorders>
            <w:shd w:val="clear" w:color="000000" w:fill="FF9900"/>
            <w:noWrap/>
            <w:vAlign w:val="bottom"/>
            <w:hideMark/>
          </w:tcPr>
          <w:p w14:paraId="6A48AB4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146,154</w:t>
            </w:r>
          </w:p>
        </w:tc>
        <w:tc>
          <w:tcPr>
            <w:tcW w:w="468" w:type="pct"/>
            <w:tcBorders>
              <w:top w:val="nil"/>
              <w:left w:val="nil"/>
              <w:bottom w:val="nil"/>
              <w:right w:val="nil"/>
            </w:tcBorders>
            <w:shd w:val="clear" w:color="000000" w:fill="FF0000"/>
            <w:noWrap/>
            <w:vAlign w:val="bottom"/>
            <w:hideMark/>
          </w:tcPr>
          <w:p w14:paraId="00DF4DF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272,900</w:t>
            </w:r>
          </w:p>
        </w:tc>
      </w:tr>
      <w:tr w:rsidR="00DF7B57" w:rsidRPr="00017BC5" w14:paraId="607EAB1D" w14:textId="77777777" w:rsidTr="00503D38">
        <w:trPr>
          <w:trHeight w:val="255"/>
        </w:trPr>
        <w:tc>
          <w:tcPr>
            <w:tcW w:w="809" w:type="pct"/>
            <w:tcBorders>
              <w:top w:val="nil"/>
              <w:left w:val="nil"/>
              <w:bottom w:val="nil"/>
              <w:right w:val="nil"/>
            </w:tcBorders>
            <w:shd w:val="clear" w:color="auto" w:fill="auto"/>
            <w:noWrap/>
            <w:vAlign w:val="center"/>
            <w:hideMark/>
          </w:tcPr>
          <w:p w14:paraId="5619D0D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Burnett River</w:t>
            </w:r>
          </w:p>
        </w:tc>
        <w:tc>
          <w:tcPr>
            <w:tcW w:w="445" w:type="pct"/>
            <w:tcBorders>
              <w:top w:val="nil"/>
              <w:left w:val="nil"/>
              <w:bottom w:val="nil"/>
              <w:right w:val="nil"/>
            </w:tcBorders>
            <w:shd w:val="clear" w:color="auto" w:fill="auto"/>
            <w:noWrap/>
            <w:vAlign w:val="center"/>
            <w:hideMark/>
          </w:tcPr>
          <w:p w14:paraId="376EF15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285,534</w:t>
            </w:r>
          </w:p>
        </w:tc>
        <w:tc>
          <w:tcPr>
            <w:tcW w:w="468" w:type="pct"/>
            <w:tcBorders>
              <w:top w:val="nil"/>
              <w:left w:val="nil"/>
              <w:bottom w:val="nil"/>
              <w:right w:val="nil"/>
            </w:tcBorders>
            <w:shd w:val="clear" w:color="000000" w:fill="FF0000"/>
            <w:noWrap/>
            <w:vAlign w:val="center"/>
            <w:hideMark/>
          </w:tcPr>
          <w:p w14:paraId="362E3F9F"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9,421,517</w:t>
            </w:r>
          </w:p>
        </w:tc>
        <w:tc>
          <w:tcPr>
            <w:tcW w:w="468" w:type="pct"/>
            <w:tcBorders>
              <w:top w:val="nil"/>
              <w:left w:val="nil"/>
              <w:bottom w:val="nil"/>
              <w:right w:val="nil"/>
            </w:tcBorders>
            <w:shd w:val="clear" w:color="000000" w:fill="FF9900"/>
            <w:noWrap/>
            <w:vAlign w:val="center"/>
            <w:hideMark/>
          </w:tcPr>
          <w:p w14:paraId="274B9180"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643,137</w:t>
            </w:r>
          </w:p>
        </w:tc>
        <w:tc>
          <w:tcPr>
            <w:tcW w:w="468" w:type="pct"/>
            <w:tcBorders>
              <w:top w:val="nil"/>
              <w:left w:val="nil"/>
              <w:bottom w:val="nil"/>
              <w:right w:val="nil"/>
            </w:tcBorders>
            <w:shd w:val="clear" w:color="000000" w:fill="FF0000"/>
            <w:noWrap/>
            <w:vAlign w:val="center"/>
            <w:hideMark/>
          </w:tcPr>
          <w:p w14:paraId="1919B411"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7,581,543</w:t>
            </w:r>
          </w:p>
        </w:tc>
        <w:tc>
          <w:tcPr>
            <w:tcW w:w="468" w:type="pct"/>
            <w:tcBorders>
              <w:top w:val="nil"/>
              <w:left w:val="nil"/>
              <w:bottom w:val="nil"/>
              <w:right w:val="nil"/>
            </w:tcBorders>
            <w:shd w:val="clear" w:color="auto" w:fill="auto"/>
            <w:noWrap/>
            <w:vAlign w:val="center"/>
            <w:hideMark/>
          </w:tcPr>
          <w:p w14:paraId="0A1DBE7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218,087</w:t>
            </w:r>
          </w:p>
        </w:tc>
        <w:tc>
          <w:tcPr>
            <w:tcW w:w="468" w:type="pct"/>
            <w:tcBorders>
              <w:top w:val="nil"/>
              <w:left w:val="nil"/>
              <w:bottom w:val="nil"/>
              <w:right w:val="nil"/>
            </w:tcBorders>
            <w:shd w:val="clear" w:color="000000" w:fill="FF0000"/>
            <w:noWrap/>
            <w:vAlign w:val="center"/>
            <w:hideMark/>
          </w:tcPr>
          <w:p w14:paraId="3221210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853,349</w:t>
            </w:r>
          </w:p>
        </w:tc>
        <w:tc>
          <w:tcPr>
            <w:tcW w:w="468" w:type="pct"/>
            <w:tcBorders>
              <w:top w:val="nil"/>
              <w:left w:val="nil"/>
              <w:bottom w:val="nil"/>
              <w:right w:val="nil"/>
            </w:tcBorders>
            <w:shd w:val="clear" w:color="000000" w:fill="FFFF00"/>
            <w:noWrap/>
            <w:vAlign w:val="center"/>
            <w:hideMark/>
          </w:tcPr>
          <w:p w14:paraId="3BFD6AD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381,054</w:t>
            </w:r>
          </w:p>
        </w:tc>
        <w:tc>
          <w:tcPr>
            <w:tcW w:w="468" w:type="pct"/>
            <w:tcBorders>
              <w:top w:val="nil"/>
              <w:left w:val="nil"/>
              <w:bottom w:val="nil"/>
              <w:right w:val="nil"/>
            </w:tcBorders>
            <w:shd w:val="clear" w:color="000000" w:fill="FF9900"/>
            <w:noWrap/>
            <w:vAlign w:val="bottom"/>
            <w:hideMark/>
          </w:tcPr>
          <w:p w14:paraId="03F90E7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536,242</w:t>
            </w:r>
          </w:p>
        </w:tc>
        <w:tc>
          <w:tcPr>
            <w:tcW w:w="468" w:type="pct"/>
            <w:tcBorders>
              <w:top w:val="nil"/>
              <w:left w:val="nil"/>
              <w:bottom w:val="nil"/>
              <w:right w:val="nil"/>
            </w:tcBorders>
            <w:shd w:val="clear" w:color="000000" w:fill="FF0000"/>
            <w:noWrap/>
            <w:vAlign w:val="bottom"/>
            <w:hideMark/>
          </w:tcPr>
          <w:p w14:paraId="04AC492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839,021</w:t>
            </w:r>
          </w:p>
        </w:tc>
      </w:tr>
      <w:tr w:rsidR="00DF7B57" w:rsidRPr="00017BC5" w14:paraId="5DE74D34" w14:textId="77777777" w:rsidTr="00503D38">
        <w:trPr>
          <w:trHeight w:val="255"/>
        </w:trPr>
        <w:tc>
          <w:tcPr>
            <w:tcW w:w="809" w:type="pct"/>
            <w:tcBorders>
              <w:top w:val="nil"/>
              <w:left w:val="nil"/>
              <w:bottom w:val="nil"/>
              <w:right w:val="nil"/>
            </w:tcBorders>
            <w:shd w:val="clear" w:color="auto" w:fill="auto"/>
            <w:noWrap/>
            <w:vAlign w:val="center"/>
            <w:hideMark/>
          </w:tcPr>
          <w:p w14:paraId="76776AD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Burrum River</w:t>
            </w:r>
          </w:p>
        </w:tc>
        <w:tc>
          <w:tcPr>
            <w:tcW w:w="445" w:type="pct"/>
            <w:tcBorders>
              <w:top w:val="nil"/>
              <w:left w:val="nil"/>
              <w:bottom w:val="nil"/>
              <w:right w:val="nil"/>
            </w:tcBorders>
            <w:shd w:val="clear" w:color="auto" w:fill="auto"/>
            <w:noWrap/>
            <w:vAlign w:val="center"/>
            <w:hideMark/>
          </w:tcPr>
          <w:p w14:paraId="5E4AF593"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71,658</w:t>
            </w:r>
          </w:p>
        </w:tc>
        <w:tc>
          <w:tcPr>
            <w:tcW w:w="468" w:type="pct"/>
            <w:tcBorders>
              <w:top w:val="nil"/>
              <w:left w:val="nil"/>
              <w:bottom w:val="nil"/>
              <w:right w:val="nil"/>
            </w:tcBorders>
            <w:shd w:val="clear" w:color="000000" w:fill="FFFF00"/>
            <w:noWrap/>
            <w:vAlign w:val="center"/>
            <w:hideMark/>
          </w:tcPr>
          <w:p w14:paraId="7CBBF43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114,492</w:t>
            </w:r>
          </w:p>
        </w:tc>
        <w:tc>
          <w:tcPr>
            <w:tcW w:w="468" w:type="pct"/>
            <w:tcBorders>
              <w:top w:val="nil"/>
              <w:left w:val="nil"/>
              <w:bottom w:val="nil"/>
              <w:right w:val="nil"/>
            </w:tcBorders>
            <w:shd w:val="clear" w:color="000000" w:fill="FFFF00"/>
            <w:noWrap/>
            <w:vAlign w:val="center"/>
            <w:hideMark/>
          </w:tcPr>
          <w:p w14:paraId="5195172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117,762</w:t>
            </w:r>
          </w:p>
        </w:tc>
        <w:tc>
          <w:tcPr>
            <w:tcW w:w="468" w:type="pct"/>
            <w:tcBorders>
              <w:top w:val="nil"/>
              <w:left w:val="nil"/>
              <w:bottom w:val="nil"/>
              <w:right w:val="nil"/>
            </w:tcBorders>
            <w:shd w:val="clear" w:color="auto" w:fill="auto"/>
            <w:noWrap/>
            <w:vAlign w:val="center"/>
            <w:hideMark/>
          </w:tcPr>
          <w:p w14:paraId="5FA63B7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90,921</w:t>
            </w:r>
          </w:p>
        </w:tc>
        <w:tc>
          <w:tcPr>
            <w:tcW w:w="468" w:type="pct"/>
            <w:tcBorders>
              <w:top w:val="nil"/>
              <w:left w:val="nil"/>
              <w:bottom w:val="nil"/>
              <w:right w:val="nil"/>
            </w:tcBorders>
            <w:shd w:val="clear" w:color="auto" w:fill="auto"/>
            <w:noWrap/>
            <w:vAlign w:val="center"/>
            <w:hideMark/>
          </w:tcPr>
          <w:p w14:paraId="0744073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62,188</w:t>
            </w:r>
          </w:p>
        </w:tc>
        <w:tc>
          <w:tcPr>
            <w:tcW w:w="468" w:type="pct"/>
            <w:tcBorders>
              <w:top w:val="nil"/>
              <w:left w:val="nil"/>
              <w:bottom w:val="nil"/>
              <w:right w:val="nil"/>
            </w:tcBorders>
            <w:shd w:val="clear" w:color="000000" w:fill="FF9900"/>
            <w:noWrap/>
            <w:vAlign w:val="center"/>
            <w:hideMark/>
          </w:tcPr>
          <w:p w14:paraId="57D5B1A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150,113</w:t>
            </w:r>
          </w:p>
        </w:tc>
        <w:tc>
          <w:tcPr>
            <w:tcW w:w="468" w:type="pct"/>
            <w:tcBorders>
              <w:top w:val="nil"/>
              <w:left w:val="nil"/>
              <w:bottom w:val="nil"/>
              <w:right w:val="nil"/>
            </w:tcBorders>
            <w:shd w:val="clear" w:color="000000" w:fill="FF0000"/>
            <w:noWrap/>
            <w:vAlign w:val="center"/>
            <w:hideMark/>
          </w:tcPr>
          <w:p w14:paraId="3C0D4A5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334,681</w:t>
            </w:r>
          </w:p>
        </w:tc>
        <w:tc>
          <w:tcPr>
            <w:tcW w:w="468" w:type="pct"/>
            <w:tcBorders>
              <w:top w:val="nil"/>
              <w:left w:val="nil"/>
              <w:bottom w:val="nil"/>
              <w:right w:val="nil"/>
            </w:tcBorders>
            <w:shd w:val="clear" w:color="000000" w:fill="FF0000"/>
            <w:noWrap/>
            <w:vAlign w:val="bottom"/>
            <w:hideMark/>
          </w:tcPr>
          <w:p w14:paraId="64EA541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456,549</w:t>
            </w:r>
          </w:p>
        </w:tc>
        <w:tc>
          <w:tcPr>
            <w:tcW w:w="468" w:type="pct"/>
            <w:tcBorders>
              <w:top w:val="nil"/>
              <w:left w:val="nil"/>
              <w:bottom w:val="nil"/>
              <w:right w:val="nil"/>
            </w:tcBorders>
            <w:shd w:val="clear" w:color="000000" w:fill="FF0000"/>
            <w:noWrap/>
            <w:vAlign w:val="bottom"/>
            <w:hideMark/>
          </w:tcPr>
          <w:p w14:paraId="0CA981DA"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667,635</w:t>
            </w:r>
          </w:p>
        </w:tc>
      </w:tr>
      <w:tr w:rsidR="00DF7B57" w:rsidRPr="00017BC5" w14:paraId="3420EF0F" w14:textId="77777777" w:rsidTr="00503D38">
        <w:trPr>
          <w:trHeight w:val="270"/>
        </w:trPr>
        <w:tc>
          <w:tcPr>
            <w:tcW w:w="809" w:type="pct"/>
            <w:tcBorders>
              <w:top w:val="nil"/>
              <w:left w:val="nil"/>
              <w:bottom w:val="single" w:sz="8" w:space="0" w:color="auto"/>
              <w:right w:val="nil"/>
            </w:tcBorders>
            <w:shd w:val="clear" w:color="auto" w:fill="auto"/>
            <w:noWrap/>
            <w:vAlign w:val="center"/>
            <w:hideMark/>
          </w:tcPr>
          <w:p w14:paraId="0D89A8E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Mary  River</w:t>
            </w:r>
          </w:p>
        </w:tc>
        <w:tc>
          <w:tcPr>
            <w:tcW w:w="445" w:type="pct"/>
            <w:tcBorders>
              <w:top w:val="nil"/>
              <w:left w:val="nil"/>
              <w:bottom w:val="single" w:sz="8" w:space="0" w:color="auto"/>
              <w:right w:val="nil"/>
            </w:tcBorders>
            <w:shd w:val="clear" w:color="auto" w:fill="auto"/>
            <w:noWrap/>
            <w:vAlign w:val="center"/>
            <w:hideMark/>
          </w:tcPr>
          <w:p w14:paraId="75212D55"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1,144,714</w:t>
            </w:r>
          </w:p>
        </w:tc>
        <w:tc>
          <w:tcPr>
            <w:tcW w:w="468" w:type="pct"/>
            <w:tcBorders>
              <w:top w:val="nil"/>
              <w:left w:val="nil"/>
              <w:bottom w:val="single" w:sz="8" w:space="0" w:color="auto"/>
              <w:right w:val="nil"/>
            </w:tcBorders>
            <w:shd w:val="clear" w:color="000000" w:fill="FF0000"/>
            <w:noWrap/>
            <w:vAlign w:val="center"/>
            <w:hideMark/>
          </w:tcPr>
          <w:p w14:paraId="14D51569"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8,719,106</w:t>
            </w:r>
          </w:p>
        </w:tc>
        <w:tc>
          <w:tcPr>
            <w:tcW w:w="468" w:type="pct"/>
            <w:tcBorders>
              <w:top w:val="nil"/>
              <w:left w:val="nil"/>
              <w:bottom w:val="single" w:sz="8" w:space="0" w:color="auto"/>
              <w:right w:val="nil"/>
            </w:tcBorders>
            <w:shd w:val="clear" w:color="000000" w:fill="FF0000"/>
            <w:noWrap/>
            <w:vAlign w:val="center"/>
            <w:hideMark/>
          </w:tcPr>
          <w:p w14:paraId="4DA3169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4,340,275</w:t>
            </w:r>
          </w:p>
        </w:tc>
        <w:tc>
          <w:tcPr>
            <w:tcW w:w="468" w:type="pct"/>
            <w:tcBorders>
              <w:top w:val="nil"/>
              <w:left w:val="nil"/>
              <w:bottom w:val="single" w:sz="8" w:space="0" w:color="auto"/>
              <w:right w:val="nil"/>
            </w:tcBorders>
            <w:shd w:val="clear" w:color="000000" w:fill="FF0000"/>
            <w:noWrap/>
            <w:vAlign w:val="center"/>
            <w:hideMark/>
          </w:tcPr>
          <w:p w14:paraId="04A76B17"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7,654,320</w:t>
            </w:r>
          </w:p>
        </w:tc>
        <w:tc>
          <w:tcPr>
            <w:tcW w:w="468" w:type="pct"/>
            <w:tcBorders>
              <w:top w:val="nil"/>
              <w:left w:val="nil"/>
              <w:bottom w:val="single" w:sz="8" w:space="0" w:color="auto"/>
              <w:right w:val="nil"/>
            </w:tcBorders>
            <w:shd w:val="clear" w:color="auto" w:fill="auto"/>
            <w:noWrap/>
            <w:vAlign w:val="center"/>
            <w:hideMark/>
          </w:tcPr>
          <w:p w14:paraId="25C413F8"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594,612</w:t>
            </w:r>
          </w:p>
        </w:tc>
        <w:tc>
          <w:tcPr>
            <w:tcW w:w="468" w:type="pct"/>
            <w:tcBorders>
              <w:top w:val="nil"/>
              <w:left w:val="nil"/>
              <w:bottom w:val="single" w:sz="8" w:space="0" w:color="auto"/>
              <w:right w:val="nil"/>
            </w:tcBorders>
            <w:shd w:val="clear" w:color="auto" w:fill="auto"/>
            <w:noWrap/>
            <w:vAlign w:val="center"/>
            <w:hideMark/>
          </w:tcPr>
          <w:p w14:paraId="6E3ED6ED"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1,651,901</w:t>
            </w:r>
          </w:p>
        </w:tc>
        <w:tc>
          <w:tcPr>
            <w:tcW w:w="468" w:type="pct"/>
            <w:tcBorders>
              <w:top w:val="nil"/>
              <w:left w:val="nil"/>
              <w:bottom w:val="single" w:sz="8" w:space="0" w:color="auto"/>
              <w:right w:val="nil"/>
            </w:tcBorders>
            <w:shd w:val="clear" w:color="auto" w:fill="auto"/>
            <w:noWrap/>
            <w:vAlign w:val="center"/>
            <w:hideMark/>
          </w:tcPr>
          <w:p w14:paraId="7BC82706"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480,854</w:t>
            </w:r>
          </w:p>
        </w:tc>
        <w:tc>
          <w:tcPr>
            <w:tcW w:w="468" w:type="pct"/>
            <w:tcBorders>
              <w:top w:val="nil"/>
              <w:left w:val="nil"/>
              <w:bottom w:val="single" w:sz="8" w:space="0" w:color="auto"/>
              <w:right w:val="nil"/>
            </w:tcBorders>
            <w:shd w:val="clear" w:color="auto" w:fill="auto"/>
            <w:noWrap/>
            <w:vAlign w:val="bottom"/>
            <w:hideMark/>
          </w:tcPr>
          <w:p w14:paraId="488E04CB"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582,510</w:t>
            </w:r>
          </w:p>
        </w:tc>
        <w:tc>
          <w:tcPr>
            <w:tcW w:w="468" w:type="pct"/>
            <w:tcBorders>
              <w:top w:val="nil"/>
              <w:left w:val="nil"/>
              <w:bottom w:val="single" w:sz="8" w:space="0" w:color="auto"/>
              <w:right w:val="nil"/>
            </w:tcBorders>
            <w:shd w:val="clear" w:color="000000" w:fill="FFFF00"/>
            <w:noWrap/>
            <w:vAlign w:val="bottom"/>
            <w:hideMark/>
          </w:tcPr>
          <w:p w14:paraId="0B5AC414" w14:textId="77777777" w:rsidR="00DF7B57" w:rsidRPr="00503D38" w:rsidRDefault="00DF7B57" w:rsidP="002439C8">
            <w:pPr>
              <w:jc w:val="left"/>
              <w:rPr>
                <w:rFonts w:eastAsia="Times New Roman" w:cs="Arial"/>
                <w:sz w:val="16"/>
                <w:szCs w:val="20"/>
                <w:lang w:val="en-AU" w:eastAsia="en-AU" w:bidi="ar-SA"/>
              </w:rPr>
            </w:pPr>
            <w:r w:rsidRPr="00503D38">
              <w:rPr>
                <w:rFonts w:eastAsia="Times New Roman" w:cs="Arial"/>
                <w:sz w:val="16"/>
                <w:szCs w:val="20"/>
                <w:lang w:val="en-AU" w:eastAsia="en-AU" w:bidi="ar-SA"/>
              </w:rPr>
              <w:t>1,886,517</w:t>
            </w:r>
          </w:p>
        </w:tc>
      </w:tr>
    </w:tbl>
    <w:p w14:paraId="6E7FEA56" w14:textId="77777777" w:rsidR="00B578F3" w:rsidRPr="00B578F3" w:rsidRDefault="00B578F3" w:rsidP="002439C8">
      <w:pPr>
        <w:jc w:val="left"/>
      </w:pPr>
    </w:p>
    <w:p w14:paraId="3C4DE7EB" w14:textId="77777777" w:rsidR="00B022B4" w:rsidRDefault="0059608E" w:rsidP="002439C8">
      <w:pPr>
        <w:spacing w:line="276" w:lineRule="auto"/>
        <w:jc w:val="left"/>
        <w:rPr>
          <w:rFonts w:eastAsia="Times New Roman" w:cs="Arial"/>
          <w:color w:val="000000"/>
          <w:sz w:val="16"/>
          <w:szCs w:val="18"/>
          <w:lang w:val="en-AU" w:eastAsia="en-AU" w:bidi="ar-SA"/>
        </w:rPr>
      </w:pPr>
      <w:r w:rsidRPr="00D14900">
        <w:rPr>
          <w:rFonts w:cs="Arial"/>
          <w:sz w:val="16"/>
          <w:szCs w:val="18"/>
          <w:lang w:val="en-AU" w:eastAsia="en-AU"/>
        </w:rPr>
        <w:t xml:space="preserve">Missing values represent years for which &gt;15% of daily flow estimates were not available. </w:t>
      </w:r>
      <w:r w:rsidRPr="00D14900">
        <w:rPr>
          <w:rFonts w:eastAsia="Times New Roman" w:cs="Arial"/>
          <w:color w:val="000000"/>
          <w:sz w:val="16"/>
          <w:szCs w:val="18"/>
          <w:lang w:val="en-AU" w:eastAsia="en-AU" w:bidi="ar-SA"/>
        </w:rPr>
        <w:t xml:space="preserve">Daily discharge for Euramo site (Tully River) from July, 2011 to November, 2012 and from October, 2014 to August, 2015 were estimated from Gorge station (Tully River) using: Euramo Disch = Gorge Disch * 3.5941; Daily discharge for Pioneer river now includes Miriani station, allowing flow record since 1977-11-09. Dumbleton and Miriani stations are </w:t>
      </w:r>
      <w:r w:rsidR="00E018CC" w:rsidRPr="00D14900">
        <w:rPr>
          <w:rFonts w:eastAsia="Times New Roman" w:cs="Arial"/>
          <w:color w:val="000000"/>
          <w:sz w:val="16"/>
          <w:szCs w:val="18"/>
          <w:lang w:val="en-AU" w:eastAsia="en-AU" w:bidi="ar-SA"/>
        </w:rPr>
        <w:t>correlated</w:t>
      </w:r>
      <w:r w:rsidRPr="00D14900">
        <w:rPr>
          <w:rFonts w:eastAsia="Times New Roman" w:cs="Arial"/>
          <w:color w:val="000000"/>
          <w:sz w:val="16"/>
          <w:szCs w:val="18"/>
          <w:lang w:val="en-AU" w:eastAsia="en-AU" w:bidi="ar-SA"/>
        </w:rPr>
        <w:t xml:space="preserve"> by the following equation: Dumbleton Disch = Miriani Disch * 1.4276; All data from the Ross gauge station, which ceased in 2007-08-01 with no substitute in the same river, was replaced by Bohle gauge station; Boyne gauge station was ceased in 2012-06-30 with no substitute in the vicinities of the closed station; Ende</w:t>
      </w:r>
      <w:r w:rsidR="00B8455B">
        <w:rPr>
          <w:rFonts w:eastAsia="Times New Roman" w:cs="Arial"/>
          <w:color w:val="000000"/>
          <w:sz w:val="16"/>
          <w:szCs w:val="18"/>
          <w:lang w:val="en-AU" w:eastAsia="en-AU" w:bidi="ar-SA"/>
        </w:rPr>
        <w:t>a</w:t>
      </w:r>
      <w:r w:rsidRPr="00D14900">
        <w:rPr>
          <w:rFonts w:eastAsia="Times New Roman" w:cs="Arial"/>
          <w:color w:val="000000"/>
          <w:sz w:val="16"/>
          <w:szCs w:val="18"/>
          <w:lang w:val="en-AU" w:eastAsia="en-AU" w:bidi="ar-SA"/>
        </w:rPr>
        <w:t>vour gauge station was ceased 2015-05-</w:t>
      </w:r>
      <w:r w:rsidR="00D419C1" w:rsidRPr="00D14900">
        <w:rPr>
          <w:rFonts w:eastAsia="Times New Roman" w:cs="Arial"/>
          <w:color w:val="000000"/>
          <w:sz w:val="16"/>
          <w:szCs w:val="18"/>
          <w:lang w:val="en-AU" w:eastAsia="en-AU" w:bidi="ar-SA"/>
        </w:rPr>
        <w:t>10 with</w:t>
      </w:r>
      <w:r w:rsidRPr="00D14900">
        <w:rPr>
          <w:rFonts w:eastAsia="Times New Roman" w:cs="Arial"/>
          <w:color w:val="000000"/>
          <w:sz w:val="16"/>
          <w:szCs w:val="18"/>
          <w:lang w:val="en-AU" w:eastAsia="en-AU" w:bidi="ar-SA"/>
        </w:rPr>
        <w:t xml:space="preserve"> no substitute in the vicinities of the closed station</w:t>
      </w:r>
      <w:r w:rsidR="00B8455B">
        <w:rPr>
          <w:rFonts w:eastAsia="Times New Roman" w:cs="Arial"/>
          <w:color w:val="000000"/>
          <w:sz w:val="16"/>
          <w:szCs w:val="18"/>
          <w:lang w:val="en-AU" w:eastAsia="en-AU" w:bidi="ar-SA"/>
        </w:rPr>
        <w:t>.</w:t>
      </w:r>
      <w:r w:rsidRPr="00D14900">
        <w:rPr>
          <w:rFonts w:eastAsia="Times New Roman" w:cs="Arial"/>
          <w:color w:val="000000"/>
          <w:sz w:val="16"/>
          <w:szCs w:val="18"/>
          <w:lang w:val="en-AU" w:eastAsia="en-AU" w:bidi="ar-SA"/>
        </w:rPr>
        <w:t xml:space="preserve"> Proserpine gauge station was ceased </w:t>
      </w:r>
      <w:r w:rsidR="00A3394C">
        <w:rPr>
          <w:rFonts w:eastAsia="Times New Roman" w:cs="Arial"/>
          <w:color w:val="000000"/>
          <w:sz w:val="16"/>
          <w:szCs w:val="18"/>
          <w:lang w:val="en-AU" w:eastAsia="en-AU" w:bidi="ar-SA"/>
        </w:rPr>
        <w:t>on</w:t>
      </w:r>
      <w:r w:rsidRPr="00D14900">
        <w:rPr>
          <w:rFonts w:eastAsia="Times New Roman" w:cs="Arial"/>
          <w:color w:val="000000"/>
          <w:sz w:val="16"/>
          <w:szCs w:val="18"/>
          <w:lang w:val="en-AU" w:eastAsia="en-AU" w:bidi="ar-SA"/>
        </w:rPr>
        <w:t xml:space="preserve"> </w:t>
      </w:r>
      <w:r w:rsidR="00A3394C">
        <w:rPr>
          <w:rFonts w:eastAsia="Times New Roman" w:cs="Arial"/>
          <w:color w:val="000000"/>
          <w:sz w:val="16"/>
          <w:szCs w:val="18"/>
          <w:lang w:val="en-AU" w:eastAsia="en-AU" w:bidi="ar-SA"/>
        </w:rPr>
        <w:t>3.6.</w:t>
      </w:r>
      <w:r w:rsidRPr="00D14900">
        <w:rPr>
          <w:rFonts w:eastAsia="Times New Roman" w:cs="Arial"/>
          <w:color w:val="000000"/>
          <w:sz w:val="16"/>
          <w:szCs w:val="18"/>
          <w:lang w:val="en-AU" w:eastAsia="en-AU" w:bidi="ar-SA"/>
        </w:rPr>
        <w:t>2014 with no substitute in the vicinities of the closed station</w:t>
      </w:r>
      <w:r w:rsidR="0080635B">
        <w:rPr>
          <w:rFonts w:eastAsia="Times New Roman" w:cs="Arial"/>
          <w:color w:val="000000"/>
          <w:sz w:val="16"/>
          <w:szCs w:val="18"/>
          <w:lang w:val="en-AU" w:eastAsia="en-AU" w:bidi="ar-SA"/>
        </w:rPr>
        <w:t>.</w:t>
      </w:r>
      <w:r w:rsidRPr="00D14900">
        <w:rPr>
          <w:rFonts w:eastAsia="Times New Roman" w:cs="Arial"/>
          <w:color w:val="000000"/>
          <w:sz w:val="16"/>
          <w:szCs w:val="18"/>
          <w:lang w:val="en-AU" w:eastAsia="en-AU" w:bidi="ar-SA"/>
        </w:rPr>
        <w:t xml:space="preserve"> The full dataset does not exist fo</w:t>
      </w:r>
      <w:r w:rsidR="0080635B">
        <w:rPr>
          <w:rFonts w:eastAsia="Times New Roman" w:cs="Arial"/>
          <w:color w:val="000000"/>
          <w:sz w:val="16"/>
          <w:szCs w:val="18"/>
          <w:lang w:val="en-AU" w:eastAsia="en-AU" w:bidi="ar-SA"/>
        </w:rPr>
        <w:t>r the Normanby gauging station</w:t>
      </w:r>
      <w:bookmarkStart w:id="720" w:name="_Ref480727126"/>
      <w:r w:rsidR="00B022B4">
        <w:rPr>
          <w:rFonts w:eastAsia="Times New Roman" w:cs="Arial"/>
          <w:color w:val="000000"/>
          <w:sz w:val="16"/>
          <w:szCs w:val="18"/>
          <w:lang w:val="en-AU" w:eastAsia="en-AU" w:bidi="ar-SA"/>
        </w:rPr>
        <w:t>.</w:t>
      </w:r>
    </w:p>
    <w:p w14:paraId="13C6F3D2" w14:textId="77777777" w:rsidR="00B022B4" w:rsidRDefault="00B022B4" w:rsidP="002439C8">
      <w:pPr>
        <w:jc w:val="left"/>
      </w:pPr>
    </w:p>
    <w:bookmarkEnd w:id="720"/>
    <w:p w14:paraId="336C6CD3" w14:textId="77777777" w:rsidR="00CC7BC7" w:rsidRDefault="00CC7BC7" w:rsidP="002439C8">
      <w:pPr>
        <w:spacing w:line="276" w:lineRule="auto"/>
        <w:jc w:val="left"/>
        <w:rPr>
          <w:sz w:val="18"/>
          <w:lang w:val="en-AU" w:eastAsia="en-AU"/>
        </w:rPr>
        <w:sectPr w:rsidR="00CC7BC7" w:rsidSect="00CC7BC7">
          <w:pgSz w:w="16839" w:h="11907" w:orient="landscape" w:code="9"/>
          <w:pgMar w:top="1440" w:right="1440" w:bottom="1440" w:left="1440" w:header="709" w:footer="709" w:gutter="0"/>
          <w:cols w:space="708"/>
          <w:docGrid w:linePitch="360"/>
        </w:sectPr>
      </w:pPr>
    </w:p>
    <w:p w14:paraId="253941F2" w14:textId="77777777" w:rsidR="009C27AB" w:rsidRDefault="009C27AB" w:rsidP="002439C8">
      <w:pPr>
        <w:spacing w:after="120"/>
        <w:jc w:val="left"/>
        <w:rPr>
          <w:b/>
          <w:sz w:val="24"/>
        </w:rPr>
      </w:pPr>
      <w:r>
        <w:rPr>
          <w:b/>
          <w:sz w:val="24"/>
        </w:rPr>
        <w:t>E</w:t>
      </w:r>
      <w:r w:rsidRPr="00A206DB">
        <w:rPr>
          <w:b/>
          <w:sz w:val="24"/>
        </w:rPr>
        <w:t>.</w:t>
      </w:r>
      <w:r>
        <w:rPr>
          <w:b/>
          <w:sz w:val="24"/>
        </w:rPr>
        <w:t>1</w:t>
      </w:r>
      <w:r w:rsidRPr="00A206DB">
        <w:rPr>
          <w:b/>
          <w:sz w:val="24"/>
        </w:rPr>
        <w:t xml:space="preserve"> Flood </w:t>
      </w:r>
      <w:r w:rsidR="00CF188B">
        <w:rPr>
          <w:b/>
          <w:sz w:val="24"/>
        </w:rPr>
        <w:t>water type frequency</w:t>
      </w:r>
      <w:r w:rsidR="00CF188B" w:rsidRPr="00A206DB">
        <w:rPr>
          <w:b/>
          <w:sz w:val="24"/>
        </w:rPr>
        <w:t xml:space="preserve"> </w:t>
      </w:r>
      <w:r w:rsidRPr="00A206DB">
        <w:rPr>
          <w:b/>
          <w:sz w:val="24"/>
        </w:rPr>
        <w:t>mapping</w:t>
      </w:r>
    </w:p>
    <w:p w14:paraId="20A3B775" w14:textId="77777777" w:rsidR="007D0683" w:rsidRDefault="007D0683" w:rsidP="002439C8">
      <w:pPr>
        <w:spacing w:line="276" w:lineRule="auto"/>
        <w:jc w:val="left"/>
        <w:rPr>
          <w:lang w:val="en-GB" w:eastAsia="en-AU"/>
        </w:rPr>
      </w:pPr>
      <w:r>
        <w:rPr>
          <w:lang w:val="en-GB" w:eastAsia="en-AU"/>
        </w:rPr>
        <w:t xml:space="preserve">Mapping the frequency, spatial extent and duration of flood events can inform management about the areas that may be the most at risk from acute or chronic effects of pollutant exposure resulting from river discharge. It should be noted that whilst flood plumes are a major contributor to the movement of pesticide loads from </w:t>
      </w:r>
      <w:r w:rsidR="00BF37D6">
        <w:rPr>
          <w:lang w:val="en-GB" w:eastAsia="en-AU"/>
        </w:rPr>
        <w:t>basin</w:t>
      </w:r>
      <w:r>
        <w:rPr>
          <w:lang w:val="en-GB" w:eastAsia="en-AU"/>
        </w:rPr>
        <w:t xml:space="preserve">s to the Reef lagoon, the amount of pesticides released with an individual flood plume will depend on many factors in addition to water flow, e.g. timing of pesticide applications relative to rainfall events, degradation rates etc. For many </w:t>
      </w:r>
      <w:r w:rsidR="00BF37D6">
        <w:rPr>
          <w:lang w:val="en-GB" w:eastAsia="en-AU"/>
        </w:rPr>
        <w:t>basin</w:t>
      </w:r>
      <w:r>
        <w:rPr>
          <w:lang w:val="en-GB" w:eastAsia="en-AU"/>
        </w:rPr>
        <w:t xml:space="preserve">s, the highest concentrations of pesticides are released at the beginning of the wet season with the first ‘flush’. Flood plumes later in the year may deliver little or no pesticides to the marine environment. In this report, we present the plume maps and frequencies with the intention to inform the likelihood of a fixed (passive sampling) monitoring site to be located within a flood plume and how often and for how long it may be impacted by plume waters. </w:t>
      </w:r>
    </w:p>
    <w:p w14:paraId="43C1D57A" w14:textId="77777777" w:rsidR="007D0683" w:rsidRDefault="007D0683" w:rsidP="002439C8">
      <w:pPr>
        <w:spacing w:line="276" w:lineRule="auto"/>
        <w:jc w:val="left"/>
        <w:rPr>
          <w:lang w:val="en-GB" w:eastAsia="en-AU"/>
        </w:rPr>
      </w:pPr>
    </w:p>
    <w:p w14:paraId="7E277837" w14:textId="77777777" w:rsidR="007D0683" w:rsidRDefault="007D0683" w:rsidP="002439C8">
      <w:pPr>
        <w:spacing w:line="276" w:lineRule="auto"/>
        <w:jc w:val="left"/>
        <w:rPr>
          <w:lang w:val="en-AU"/>
        </w:rPr>
      </w:pPr>
      <w:r>
        <w:rPr>
          <w:lang w:val="en-GB" w:eastAsia="en-AU"/>
        </w:rPr>
        <w:t>The Marine Water Quality component of the MMP maps the frequency and extent of (surface) flood plumes</w:t>
      </w:r>
      <w:r w:rsidR="007D5A7C">
        <w:rPr>
          <w:lang w:val="en-GB" w:eastAsia="en-AU"/>
        </w:rPr>
        <w:t xml:space="preserve"> </w:t>
      </w:r>
      <w:r w:rsidR="00D419C1">
        <w:rPr>
          <w:lang w:val="en-GB" w:eastAsia="en-AU"/>
        </w:rPr>
        <w:fldChar w:fldCharType="begin"/>
      </w:r>
      <w:r w:rsidR="0058467F">
        <w:rPr>
          <w:lang w:val="en-GB" w:eastAsia="en-AU"/>
        </w:rPr>
        <w:instrText xml:space="preserve"> ADDIN EN.CITE &lt;EndNote&gt;&lt;Cite&gt;&lt;Author&gt;Waterhouse&lt;/Author&gt;&lt;Year&gt;2018&lt;/Year&gt;&lt;RecNum&gt;25&lt;/RecNum&gt;&lt;DisplayText&gt;(Waterhouse et al., 2018)&lt;/DisplayText&gt;&lt;record&gt;&lt;rec-number&gt;25&lt;/rec-number&gt;&lt;foreign-keys&gt;&lt;key app="EN" db-id="xtpvpwz0ufxa2me5tv6v2prn2ez5p9atsvtr" timestamp="1539144943"&gt;25&lt;/key&gt;&lt;/foreign-keys&gt;&lt;ref-type name="Statute"&gt;31&lt;/ref-type&gt;&lt;contributors&gt;&lt;authors&gt;&lt;author&gt;Waterhouse, J.&lt;/author&gt;&lt;author&gt;Lønborg, C&lt;/author&gt;&lt;author&gt;Logan, M&lt;/author&gt;&lt;author&gt;Petus, C&lt;/author&gt;&lt;author&gt;Tracey, D.&lt;/author&gt;&lt;author&gt;Lewis, S&lt;/author&gt;&lt;author&gt;Howley,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 Townsville, 393pp&lt;/title&gt;&lt;/titles&gt;&lt;dates&gt;&lt;year&gt;2018&lt;/year&gt;&lt;/dates&gt;&lt;urls&gt;&lt;/urls&gt;&lt;/record&gt;&lt;/Cite&gt;&lt;/EndNote&gt;</w:instrText>
      </w:r>
      <w:r w:rsidR="00D419C1">
        <w:rPr>
          <w:lang w:val="en-GB" w:eastAsia="en-AU"/>
        </w:rPr>
        <w:fldChar w:fldCharType="separate"/>
      </w:r>
      <w:r w:rsidR="00B33845">
        <w:rPr>
          <w:noProof/>
          <w:lang w:val="en-GB" w:eastAsia="en-AU"/>
        </w:rPr>
        <w:t>(Waterhouse et al., 2018)</w:t>
      </w:r>
      <w:r w:rsidR="00D419C1">
        <w:rPr>
          <w:lang w:val="en-GB" w:eastAsia="en-AU"/>
        </w:rPr>
        <w:fldChar w:fldCharType="end"/>
      </w:r>
      <w:r>
        <w:rPr>
          <w:lang w:val="en-GB" w:eastAsia="en-AU"/>
        </w:rPr>
        <w:t>. This is achieved using ocean colour (corresponding to different water types) collected via satellite imagery that</w:t>
      </w:r>
      <w:r w:rsidRPr="003C0ECC">
        <w:rPr>
          <w:lang w:val="en-GB" w:eastAsia="en-AU"/>
        </w:rPr>
        <w:t xml:space="preserve"> exploit</w:t>
      </w:r>
      <w:r>
        <w:rPr>
          <w:lang w:val="en-GB" w:eastAsia="en-AU"/>
        </w:rPr>
        <w:t>s</w:t>
      </w:r>
      <w:r w:rsidRPr="003C0ECC">
        <w:rPr>
          <w:lang w:val="en-GB" w:eastAsia="en-AU"/>
        </w:rPr>
        <w:t xml:space="preserve"> differences in colour </w:t>
      </w:r>
      <w:r>
        <w:rPr>
          <w:lang w:val="en-GB" w:eastAsia="en-AU"/>
        </w:rPr>
        <w:t xml:space="preserve">of plume waters </w:t>
      </w:r>
      <w:r w:rsidRPr="003C0ECC">
        <w:rPr>
          <w:lang w:val="en-GB" w:eastAsia="en-AU"/>
        </w:rPr>
        <w:t>from ambient marine</w:t>
      </w:r>
      <w:r>
        <w:rPr>
          <w:lang w:val="en-GB" w:eastAsia="en-AU"/>
        </w:rPr>
        <w:t xml:space="preserve"> </w:t>
      </w:r>
      <w:r w:rsidRPr="003C0ECC">
        <w:rPr>
          <w:lang w:val="en-GB" w:eastAsia="en-AU"/>
        </w:rPr>
        <w:t>waters</w:t>
      </w:r>
      <w:r>
        <w:rPr>
          <w:lang w:val="en-GB" w:eastAsia="en-AU"/>
        </w:rPr>
        <w:t xml:space="preserve"> in 1km</w:t>
      </w:r>
      <w:r>
        <w:rPr>
          <w:vertAlign w:val="superscript"/>
          <w:lang w:val="en-GB" w:eastAsia="en-AU"/>
        </w:rPr>
        <w:t>2</w:t>
      </w:r>
      <w:r>
        <w:rPr>
          <w:lang w:val="en-GB" w:eastAsia="en-AU"/>
        </w:rPr>
        <w:t xml:space="preserve"> ‘pixels’ </w:t>
      </w:r>
      <w:r>
        <w:rPr>
          <w:lang w:val="en-GB" w:eastAsia="en-AU"/>
        </w:rPr>
        <w:fldChar w:fldCharType="begin"/>
      </w:r>
      <w:r w:rsidR="0018079F">
        <w:rPr>
          <w:lang w:val="en-GB" w:eastAsia="en-AU"/>
        </w:rPr>
        <w:instrText xml:space="preserve"> ADDIN EN.CITE &lt;EndNote&gt;&lt;Cite&gt;&lt;Author&gt;Devlin&lt;/Author&gt;&lt;Year&gt;2012&lt;/Year&gt;&lt;RecNum&gt;97&lt;/RecNum&gt;&lt;DisplayText&gt;(Devlin et al., 2012)&lt;/DisplayText&gt;&lt;record&gt;&lt;rec-number&gt;97&lt;/rec-number&gt;&lt;foreign-keys&gt;&lt;key app="EN" db-id="xtpvpwz0ufxa2me5tv6v2prn2ez5p9atsvtr" timestamp="1539144946"&gt;97&lt;/key&gt;&lt;/foreign-keys&gt;&lt;ref-type name="Report"&gt;27&lt;/ref-type&gt;&lt;contributors&gt;&lt;authors&gt;&lt;author&gt;Devlin, M.J.&lt;/author&gt;&lt;author&gt;Wenger, A.&lt;/author&gt;&lt;author&gt;Petus, C.&lt;/author&gt;&lt;author&gt;da Silva, E.T.&lt;/author&gt;&lt;author&gt;DeBose, J.&lt;/author&gt;&lt;author&gt;Álvarez-Romero, J&lt;/author&gt;&lt;/authors&gt;&lt;/contributors&gt;&lt;titles&gt;&lt;title&gt;Reef Rescue Marine Monitoring Program. Final Report of JCU Activities 2011/12– Flood Plumes and Extreme weather monitoring for the Great Barrier Reef Marine Park Authority.&lt;/title&gt;&lt;/titles&gt;&lt;dates&gt;&lt;year&gt;2012&lt;/year&gt;&lt;/dates&gt;&lt;pub-location&gt;James Cook University. Townsville.&lt;/pub-location&gt;&lt;urls&gt;&lt;/urls&gt;&lt;/record&gt;&lt;/Cite&gt;&lt;/EndNote&gt;</w:instrText>
      </w:r>
      <w:r>
        <w:rPr>
          <w:lang w:val="en-GB" w:eastAsia="en-AU"/>
        </w:rPr>
        <w:fldChar w:fldCharType="separate"/>
      </w:r>
      <w:r w:rsidR="00B33845">
        <w:rPr>
          <w:noProof/>
          <w:lang w:val="en-GB" w:eastAsia="en-AU"/>
        </w:rPr>
        <w:t>(Devlin et al., 2012)</w:t>
      </w:r>
      <w:r>
        <w:rPr>
          <w:lang w:val="en-GB" w:eastAsia="en-AU"/>
        </w:rPr>
        <w:fldChar w:fldCharType="end"/>
      </w:r>
      <w:r>
        <w:rPr>
          <w:lang w:val="en-GB" w:eastAsia="en-AU"/>
        </w:rPr>
        <w:t xml:space="preserve">. </w:t>
      </w:r>
      <w:r w:rsidRPr="00F579FD">
        <w:rPr>
          <w:lang w:val="en-AU"/>
        </w:rPr>
        <w:t xml:space="preserve">Plumes are classified into three water types: </w:t>
      </w:r>
    </w:p>
    <w:p w14:paraId="4B3BE073" w14:textId="77777777" w:rsidR="007D0683" w:rsidRPr="00821598" w:rsidRDefault="007D0683" w:rsidP="002439C8">
      <w:pPr>
        <w:pStyle w:val="ListParagraph"/>
        <w:numPr>
          <w:ilvl w:val="0"/>
          <w:numId w:val="5"/>
        </w:numPr>
        <w:spacing w:line="276" w:lineRule="auto"/>
        <w:jc w:val="left"/>
        <w:rPr>
          <w:lang w:val="en-AU"/>
        </w:rPr>
      </w:pPr>
      <w:r w:rsidRPr="00821598">
        <w:rPr>
          <w:lang w:val="en-AU"/>
        </w:rPr>
        <w:t xml:space="preserve">Primary </w:t>
      </w:r>
      <w:r>
        <w:rPr>
          <w:lang w:val="en-AU"/>
        </w:rPr>
        <w:t>–</w:t>
      </w:r>
      <w:r w:rsidRPr="00821598">
        <w:rPr>
          <w:lang w:val="en-AU"/>
        </w:rPr>
        <w:t xml:space="preserve"> very high turbidity, low salinity (0 to 10 ppt), and very high values of CDOM and TSS; </w:t>
      </w:r>
    </w:p>
    <w:p w14:paraId="531E6907" w14:textId="77777777" w:rsidR="007D0683" w:rsidRPr="00821598" w:rsidRDefault="007D0683" w:rsidP="002439C8">
      <w:pPr>
        <w:pStyle w:val="ListParagraph"/>
        <w:numPr>
          <w:ilvl w:val="0"/>
          <w:numId w:val="5"/>
        </w:numPr>
        <w:spacing w:line="276" w:lineRule="auto"/>
        <w:jc w:val="left"/>
        <w:rPr>
          <w:lang w:val="en-AU"/>
        </w:rPr>
      </w:pPr>
      <w:r w:rsidRPr="00821598">
        <w:rPr>
          <w:lang w:val="en-AU"/>
        </w:rPr>
        <w:t xml:space="preserve">Secondary </w:t>
      </w:r>
      <w:r>
        <w:rPr>
          <w:lang w:val="en-AU"/>
        </w:rPr>
        <w:t>–</w:t>
      </w:r>
      <w:r w:rsidRPr="00821598">
        <w:rPr>
          <w:lang w:val="en-AU"/>
        </w:rPr>
        <w:t xml:space="preserve"> intermediate salinity, elevated CDOM concentrations, and reduced TSS due to sedimentation, where phytoplankton growth is prompted by the increased light (due to lower TSS) and high nutrient availability delivered by the river plume; </w:t>
      </w:r>
    </w:p>
    <w:p w14:paraId="50B015CC" w14:textId="77777777" w:rsidR="007D0683" w:rsidRPr="00821598" w:rsidRDefault="007D0683" w:rsidP="002439C8">
      <w:pPr>
        <w:pStyle w:val="ListParagraph"/>
        <w:numPr>
          <w:ilvl w:val="0"/>
          <w:numId w:val="5"/>
        </w:numPr>
        <w:spacing w:line="276" w:lineRule="auto"/>
        <w:jc w:val="left"/>
        <w:rPr>
          <w:lang w:val="en-GB" w:eastAsia="en-AU"/>
        </w:rPr>
      </w:pPr>
      <w:r w:rsidRPr="00821598">
        <w:rPr>
          <w:lang w:val="en-AU"/>
        </w:rPr>
        <w:t xml:space="preserve">Tertiary </w:t>
      </w:r>
      <w:r>
        <w:rPr>
          <w:lang w:val="en-AU"/>
        </w:rPr>
        <w:t>–</w:t>
      </w:r>
      <w:r w:rsidRPr="00821598">
        <w:rPr>
          <w:lang w:val="en-AU"/>
        </w:rPr>
        <w:t xml:space="preserve"> exhibits no or low TSS associated with the river plume, and above-ambient concentrations of chlorophyll </w:t>
      </w:r>
      <w:r w:rsidRPr="00821598">
        <w:rPr>
          <w:i/>
          <w:lang w:val="en-AU"/>
        </w:rPr>
        <w:t>a</w:t>
      </w:r>
      <w:r w:rsidRPr="00821598">
        <w:rPr>
          <w:lang w:val="en-AU"/>
        </w:rPr>
        <w:t xml:space="preserve"> and CDOM.  </w:t>
      </w:r>
    </w:p>
    <w:p w14:paraId="0E410E4D" w14:textId="77777777" w:rsidR="007D0683" w:rsidRDefault="007D0683" w:rsidP="002439C8">
      <w:pPr>
        <w:spacing w:line="276" w:lineRule="auto"/>
        <w:jc w:val="left"/>
        <w:rPr>
          <w:lang w:val="en-GB" w:eastAsia="en-AU"/>
        </w:rPr>
      </w:pPr>
      <w:r>
        <w:rPr>
          <w:lang w:val="en-GB" w:eastAsia="en-AU"/>
        </w:rPr>
        <w:t>It should be noted that plume exposure mapping may be complicated by the resuspension of fine sediments during periods of high winds and waves (rather than periods of actual river discharge) as well as cloud cover.</w:t>
      </w:r>
    </w:p>
    <w:p w14:paraId="70CE559E" w14:textId="77777777" w:rsidR="007D0683" w:rsidRDefault="007D0683" w:rsidP="002439C8">
      <w:pPr>
        <w:spacing w:line="276" w:lineRule="auto"/>
        <w:jc w:val="left"/>
        <w:rPr>
          <w:lang w:val="en-GB" w:eastAsia="en-AU"/>
        </w:rPr>
      </w:pPr>
    </w:p>
    <w:p w14:paraId="36B790B3" w14:textId="77777777" w:rsidR="009C27AB" w:rsidRPr="009C27AB" w:rsidRDefault="009C27AB" w:rsidP="002439C8">
      <w:pPr>
        <w:spacing w:after="120" w:line="276" w:lineRule="auto"/>
        <w:jc w:val="left"/>
        <w:rPr>
          <w:lang w:val="en-GB" w:eastAsia="en-AU"/>
        </w:rPr>
      </w:pPr>
      <w:r w:rsidRPr="009C27AB">
        <w:rPr>
          <w:lang w:val="en-GB" w:eastAsia="en-AU"/>
        </w:rPr>
        <w:t xml:space="preserve">Six colour classes have been defined that correspond to three water types – primary, secondary and tertiary.  Each water type is associated with different levels and combination of pollutants which potentially have different impacts on Reef ecosystems </w:t>
      </w:r>
      <w:r w:rsidR="00C91BF5" w:rsidRPr="009C27AB">
        <w:rPr>
          <w:lang w:val="en-GB" w:eastAsia="en-AU"/>
        </w:rPr>
        <w:fldChar w:fldCharType="begin"/>
      </w:r>
      <w:r w:rsidR="002D0872">
        <w:rPr>
          <w:lang w:val="en-GB" w:eastAsia="en-AU"/>
        </w:rPr>
        <w:instrText xml:space="preserve"> ADDIN EN.CITE &lt;EndNote&gt;&lt;Cite&gt;&lt;Author&gt;Álvarez-Romero&lt;/Author&gt;&lt;Year&gt;2013&lt;/Year&gt;&lt;RecNum&gt;98&lt;/RecNum&gt;&lt;DisplayText&gt;(Álvarez-Romero et al., 2013; Devlin et al., 2012)&lt;/DisplayText&gt;&lt;record&gt;&lt;rec-number&gt;98&lt;/rec-number&gt;&lt;foreign-keys&gt;&lt;key app="EN" db-id="xtpvpwz0ufxa2me5tv6v2prn2ez5p9atsvtr" timestamp="1539144946"&gt;98&lt;/key&gt;&lt;/foreign-keys&gt;&lt;ref-type name="Journal Article"&gt;17&lt;/ref-type&gt;&lt;contributors&gt;&lt;authors&gt;&lt;author&gt;Álvarez-Romero, Jorge G&lt;/author&gt;&lt;author&gt;Devlin, Michelle&lt;/author&gt;&lt;author&gt;da Silva, Eduardo Teixeira&lt;/author&gt;&lt;author&gt;Petus, Caroline&lt;/author&gt;&lt;author&gt;Ban, Natalie C&lt;/author&gt;&lt;author&gt;Pressey, Robert L&lt;/author&gt;&lt;author&gt;Kool, Johnathan&lt;/author&gt;&lt;author&gt;Roberts, Jason J&lt;/author&gt;&lt;author&gt;Cerdeira-Estrada, Sergio&lt;/author&gt;&lt;author&gt;Wenger, Amelia S&lt;/author&gt;&lt;/authors&gt;&lt;/contributors&gt;&lt;titles&gt;&lt;title&gt;A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dates&gt;&lt;year&gt;2013&lt;/year&gt;&lt;/dates&gt;&lt;isbn&gt;0301-4797&lt;/isbn&gt;&lt;urls&gt;&lt;/urls&gt;&lt;/record&gt;&lt;/Cite&gt;&lt;Cite&gt;&lt;Author&gt;Devlin&lt;/Author&gt;&lt;Year&gt;2012&lt;/Year&gt;&lt;RecNum&gt;97&lt;/RecNum&gt;&lt;record&gt;&lt;rec-number&gt;97&lt;/rec-number&gt;&lt;foreign-keys&gt;&lt;key app="EN" db-id="xtpvpwz0ufxa2me5tv6v2prn2ez5p9atsvtr" timestamp="1539144946"&gt;97&lt;/key&gt;&lt;/foreign-keys&gt;&lt;ref-type name="Report"&gt;27&lt;/ref-type&gt;&lt;contributors&gt;&lt;authors&gt;&lt;author&gt;Devlin, M.J.&lt;/author&gt;&lt;author&gt;Wenger, A.&lt;/author&gt;&lt;author&gt;Petus, C.&lt;/author&gt;&lt;author&gt;da Silva, E.T.&lt;/author&gt;&lt;author&gt;DeBose, J.&lt;/author&gt;&lt;author&gt;Álvarez-Romero, J&lt;/author&gt;&lt;/authors&gt;&lt;/contributors&gt;&lt;titles&gt;&lt;title&gt;Reef Rescue Marine Monitoring Program. Final Report of JCU Activities 2011/12– Flood Plumes and Extreme weather monitoring for the Great Barrier Reef Marine Park Authority.&lt;/title&gt;&lt;/titles&gt;&lt;dates&gt;&lt;year&gt;2012&lt;/year&gt;&lt;/dates&gt;&lt;pub-location&gt;James Cook University. Townsville.&lt;/pub-location&gt;&lt;urls&gt;&lt;/urls&gt;&lt;/record&gt;&lt;/Cite&gt;&lt;/EndNote&gt;</w:instrText>
      </w:r>
      <w:r w:rsidR="00C91BF5" w:rsidRPr="009C27AB">
        <w:rPr>
          <w:lang w:val="en-GB" w:eastAsia="en-AU"/>
        </w:rPr>
        <w:fldChar w:fldCharType="separate"/>
      </w:r>
      <w:r w:rsidR="002D0872">
        <w:rPr>
          <w:noProof/>
          <w:lang w:val="en-GB" w:eastAsia="en-AU"/>
        </w:rPr>
        <w:t>(Álvarez-Romero et al., 2013; Devlin et al., 2012)</w:t>
      </w:r>
      <w:r w:rsidR="00C91BF5" w:rsidRPr="009C27AB">
        <w:rPr>
          <w:lang w:val="en-GB" w:eastAsia="en-AU"/>
        </w:rPr>
        <w:fldChar w:fldCharType="end"/>
      </w:r>
      <w:r w:rsidRPr="009C27AB">
        <w:rPr>
          <w:lang w:val="en-GB" w:eastAsia="en-AU"/>
        </w:rPr>
        <w:t>.</w:t>
      </w:r>
      <w:r w:rsidR="005625D6">
        <w:rPr>
          <w:lang w:val="en-GB" w:eastAsia="en-AU"/>
        </w:rPr>
        <w:t xml:space="preserve"> These impacts relate to turbidity and other effects of CDOM and are not the same as for pesticides, but water type is an indicator of the potential for a flood plume to reach a particular monitoring site.</w:t>
      </w:r>
      <w:r w:rsidRPr="009C27AB">
        <w:rPr>
          <w:lang w:val="en-GB" w:eastAsia="en-AU"/>
        </w:rPr>
        <w:t xml:space="preserve"> For each of the fixed monitoring sites, the weekly colour class (i.e. the minimum colour class at each pixel recorded for the week) was recorded, for 22 weeks of the wet season (beginning on 1</w:t>
      </w:r>
      <w:r>
        <w:rPr>
          <w:vertAlign w:val="superscript"/>
          <w:lang w:val="en-GB" w:eastAsia="en-AU"/>
        </w:rPr>
        <w:t xml:space="preserve"> </w:t>
      </w:r>
      <w:r w:rsidRPr="009C27AB">
        <w:rPr>
          <w:lang w:val="en-GB" w:eastAsia="en-AU"/>
        </w:rPr>
        <w:t xml:space="preserve">December </w:t>
      </w:r>
      <w:r w:rsidR="005612D5" w:rsidRPr="009C27AB">
        <w:rPr>
          <w:lang w:val="en-GB" w:eastAsia="en-AU"/>
        </w:rPr>
        <w:t>201</w:t>
      </w:r>
      <w:r w:rsidR="005612D5">
        <w:rPr>
          <w:lang w:val="en-GB" w:eastAsia="en-AU"/>
        </w:rPr>
        <w:t>7</w:t>
      </w:r>
      <w:r w:rsidRPr="009C27AB">
        <w:rPr>
          <w:lang w:val="en-GB" w:eastAsia="en-AU"/>
        </w:rPr>
        <w:t>) (</w:t>
      </w:r>
      <w:r>
        <w:rPr>
          <w:lang w:val="en-GB" w:eastAsia="en-AU"/>
        </w:rPr>
        <w:t xml:space="preserve">see </w:t>
      </w:r>
      <w:r w:rsidR="00D419C1">
        <w:rPr>
          <w:lang w:val="en-GB" w:eastAsia="en-AU"/>
        </w:rPr>
        <w:t>Table E-2</w:t>
      </w:r>
      <w:r w:rsidRPr="009C27AB">
        <w:rPr>
          <w:lang w:val="en-GB" w:eastAsia="en-AU"/>
        </w:rPr>
        <w:t>). Weeks that have no data (a value of 7) indicate that the sites were beyond the plume extent for those weeks. The annual frequency of occurrence for primary and secondary water types (colour classes 1 – 5) were calculated for each fixed monitoring sites by dividing the number of weeks that a pixel was retrieved as either primary or secondary water types, by the maximum number of weeks (i.e. 22) in a wet season. The frequency of occurrence of flood plumes can then be aggregated into frequency classes of low risk</w:t>
      </w:r>
      <w:r w:rsidR="005625D6">
        <w:rPr>
          <w:lang w:val="en-GB" w:eastAsia="en-AU"/>
        </w:rPr>
        <w:t xml:space="preserve"> of a flood plume reaching the site</w:t>
      </w:r>
      <w:r w:rsidRPr="009C27AB">
        <w:rPr>
          <w:lang w:val="en-GB" w:eastAsia="en-AU"/>
        </w:rPr>
        <w:t xml:space="preserve"> (frequency of 0.1) to high risk (frequency of 1) to create frequency maps for primary and secondary water types. </w:t>
      </w:r>
    </w:p>
    <w:p w14:paraId="3B36F812" w14:textId="274B7BDB" w:rsidR="00760DAE" w:rsidRDefault="009C27AB" w:rsidP="002439C8">
      <w:pPr>
        <w:spacing w:line="276" w:lineRule="auto"/>
        <w:jc w:val="left"/>
        <w:rPr>
          <w:sz w:val="18"/>
          <w:lang w:val="en-AU" w:eastAsia="en-AU"/>
        </w:rPr>
      </w:pPr>
      <w:r w:rsidRPr="009C27AB">
        <w:rPr>
          <w:lang w:val="en-GB" w:eastAsia="en-AU"/>
        </w:rPr>
        <w:t xml:space="preserve">Annual </w:t>
      </w:r>
      <w:r w:rsidR="005612D5">
        <w:rPr>
          <w:lang w:val="en-GB" w:eastAsia="en-AU"/>
        </w:rPr>
        <w:t>water type</w:t>
      </w:r>
      <w:r w:rsidR="005612D5" w:rsidRPr="009C27AB">
        <w:rPr>
          <w:lang w:val="en-GB" w:eastAsia="en-AU"/>
        </w:rPr>
        <w:t xml:space="preserve"> </w:t>
      </w:r>
      <w:r w:rsidRPr="009C27AB">
        <w:rPr>
          <w:lang w:val="en-GB" w:eastAsia="en-AU"/>
        </w:rPr>
        <w:t>frequency maps can then be prepared by overlaying weekly composite maps as the number of weeks that a pixel was retrieved as either primary, secondary or tertiary water type, divided by the maximum number of weeks in a wet season (</w:t>
      </w:r>
      <w:r w:rsidR="003A1DE2">
        <w:rPr>
          <w:lang w:val="en-GB" w:eastAsia="en-AU"/>
        </w:rPr>
        <w:t xml:space="preserve">as shown </w:t>
      </w:r>
      <w:r w:rsidR="003A1DE2" w:rsidRPr="003A1DE2">
        <w:rPr>
          <w:lang w:val="en-GB" w:eastAsia="en-AU"/>
        </w:rPr>
        <w:t xml:space="preserve">in </w:t>
      </w:r>
      <w:r w:rsidR="002A77E1">
        <w:fldChar w:fldCharType="begin"/>
      </w:r>
      <w:r w:rsidR="002A77E1">
        <w:instrText xml:space="preserve"> REF _Ref480731514 \h  \* MERGEFORMAT </w:instrText>
      </w:r>
      <w:r w:rsidR="002A77E1">
        <w:fldChar w:fldCharType="separate"/>
      </w:r>
      <w:r w:rsidR="00251B46" w:rsidRPr="00251B46">
        <w:t>Figure 3</w:t>
      </w:r>
      <w:r w:rsidR="002A77E1">
        <w:fldChar w:fldCharType="end"/>
      </w:r>
      <w:r w:rsidRPr="009C27AB">
        <w:rPr>
          <w:lang w:val="en-GB" w:eastAsia="en-AU"/>
        </w:rPr>
        <w:t>). Annual exposure maps are useful to identify the year to year variation of the surface water types but can also be useful to develop a long-term surface exposure map that can identify areas that are at higher risk of exposure to surface pollutants over a longer temporal scale. To create multi-annual exposure maps, the annual frequency maps are overlaid and the water type category for each pixel reclassified using the median pixel value (all plume frequency maps were prepared by Dieter Tracy (JCU)).</w:t>
      </w:r>
    </w:p>
    <w:p w14:paraId="46D7AA99" w14:textId="77777777" w:rsidR="00760DAE" w:rsidRDefault="00760DAE" w:rsidP="002439C8">
      <w:pPr>
        <w:spacing w:line="276" w:lineRule="auto"/>
        <w:jc w:val="left"/>
        <w:rPr>
          <w:sz w:val="18"/>
          <w:lang w:val="en-AU" w:eastAsia="en-AU"/>
        </w:rPr>
      </w:pPr>
    </w:p>
    <w:p w14:paraId="5AB8842D" w14:textId="77777777" w:rsidR="00D419C1" w:rsidRDefault="00D419C1" w:rsidP="002439C8">
      <w:pPr>
        <w:spacing w:line="276" w:lineRule="auto"/>
        <w:jc w:val="left"/>
        <w:rPr>
          <w:sz w:val="18"/>
          <w:lang w:val="en-AU" w:eastAsia="en-AU"/>
        </w:rPr>
        <w:sectPr w:rsidR="00D419C1" w:rsidSect="00CC7BC7">
          <w:pgSz w:w="11907" w:h="16839" w:code="9"/>
          <w:pgMar w:top="1440" w:right="1440" w:bottom="1440" w:left="1440" w:header="709" w:footer="709" w:gutter="0"/>
          <w:cols w:space="708"/>
          <w:docGrid w:linePitch="360"/>
        </w:sectPr>
      </w:pPr>
    </w:p>
    <w:p w14:paraId="6C257EAB" w14:textId="77777777" w:rsidR="00954FCA" w:rsidRPr="00CB093C" w:rsidRDefault="00D419C1" w:rsidP="00954FCA">
      <w:pPr>
        <w:pStyle w:val="Caption"/>
        <w:rPr>
          <w:rFonts w:cs="Arial"/>
          <w:i/>
          <w:vanish/>
          <w:color w:val="000000"/>
          <w:specVanish/>
        </w:rPr>
      </w:pPr>
      <w:bookmarkStart w:id="721" w:name="_Toc15283231"/>
      <w:bookmarkStart w:id="722" w:name="_Toc527468634"/>
      <w:r>
        <w:t xml:space="preserve">Table </w:t>
      </w:r>
      <w:r>
        <w:fldChar w:fldCharType="begin"/>
      </w:r>
      <w:r>
        <w:instrText xml:space="preserve"> STYLEREF 7 \s </w:instrText>
      </w:r>
      <w:r>
        <w:fldChar w:fldCharType="separate"/>
      </w:r>
      <w:r w:rsidR="00251B46">
        <w:rPr>
          <w:noProof/>
        </w:rPr>
        <w:t>E</w:t>
      </w:r>
      <w:r>
        <w:fldChar w:fldCharType="end"/>
      </w:r>
      <w:r>
        <w:noBreakHyphen/>
      </w:r>
      <w:r>
        <w:fldChar w:fldCharType="begin"/>
      </w:r>
      <w:r>
        <w:instrText xml:space="preserve"> SEQ Table_Apx \* ARABIC \s 7 </w:instrText>
      </w:r>
      <w:r>
        <w:fldChar w:fldCharType="separate"/>
      </w:r>
      <w:r w:rsidR="00251B46">
        <w:rPr>
          <w:noProof/>
        </w:rPr>
        <w:t>2</w:t>
      </w:r>
      <w:r>
        <w:fldChar w:fldCharType="end"/>
      </w:r>
      <w:r>
        <w:t xml:space="preserve">: </w:t>
      </w:r>
      <w:r w:rsidRPr="00840E64">
        <w:rPr>
          <w:b w:val="0"/>
        </w:rPr>
        <w:t xml:space="preserve">Weekly </w:t>
      </w:r>
      <w:r w:rsidR="005612D5">
        <w:rPr>
          <w:b w:val="0"/>
        </w:rPr>
        <w:t>water type</w:t>
      </w:r>
      <w:r w:rsidRPr="00840E64">
        <w:rPr>
          <w:b w:val="0"/>
        </w:rPr>
        <w:t xml:space="preserve"> colour class (1 – 6) for fixed site passive sampler</w:t>
      </w:r>
      <w:r w:rsidR="00763A30">
        <w:rPr>
          <w:b w:val="0"/>
        </w:rPr>
        <w:t xml:space="preserve"> and river transect</w:t>
      </w:r>
      <w:r w:rsidRPr="00840E64">
        <w:rPr>
          <w:b w:val="0"/>
        </w:rPr>
        <w:t xml:space="preserve"> locations</w:t>
      </w:r>
      <w:bookmarkEnd w:id="721"/>
    </w:p>
    <w:p w14:paraId="73B38EF5" w14:textId="77777777" w:rsidR="00D419C1" w:rsidRPr="00840E64" w:rsidRDefault="00D419C1" w:rsidP="002439C8">
      <w:pPr>
        <w:pStyle w:val="Caption"/>
        <w:keepNext/>
        <w:spacing w:after="120"/>
        <w:rPr>
          <w:b w:val="0"/>
        </w:rPr>
      </w:pPr>
      <w:r w:rsidRPr="00840E64">
        <w:rPr>
          <w:b w:val="0"/>
        </w:rPr>
        <w:t xml:space="preserve"> during the </w:t>
      </w:r>
      <w:r w:rsidR="001B73E5">
        <w:rPr>
          <w:b w:val="0"/>
        </w:rPr>
        <w:t>2017–18</w:t>
      </w:r>
      <w:r w:rsidR="00737BDD">
        <w:rPr>
          <w:b w:val="0"/>
        </w:rPr>
        <w:t xml:space="preserve"> </w:t>
      </w:r>
      <w:r w:rsidRPr="00840E64">
        <w:rPr>
          <w:b w:val="0"/>
        </w:rPr>
        <w:t xml:space="preserve">wet season (beginning 1 December </w:t>
      </w:r>
      <w:r w:rsidR="005612D5" w:rsidRPr="00840E64">
        <w:rPr>
          <w:b w:val="0"/>
        </w:rPr>
        <w:t>201</w:t>
      </w:r>
      <w:r w:rsidR="005612D5">
        <w:rPr>
          <w:b w:val="0"/>
        </w:rPr>
        <w:t>7</w:t>
      </w:r>
      <w:r w:rsidRPr="00840E64">
        <w:rPr>
          <w:b w:val="0"/>
        </w:rPr>
        <w:t>)</w:t>
      </w:r>
      <w:bookmarkEnd w:id="722"/>
    </w:p>
    <w:p w14:paraId="4A803A53" w14:textId="77777777" w:rsidR="00D419C1" w:rsidRDefault="00763A30" w:rsidP="002439C8">
      <w:pPr>
        <w:spacing w:line="276" w:lineRule="auto"/>
        <w:jc w:val="left"/>
        <w:rPr>
          <w:sz w:val="18"/>
          <w:lang w:val="en-AU" w:eastAsia="en-AU"/>
        </w:rPr>
      </w:pPr>
      <w:r w:rsidRPr="00763A30">
        <w:rPr>
          <w:noProof/>
          <w:lang w:val="en-AU" w:eastAsia="en-AU" w:bidi="ar-SA"/>
        </w:rPr>
        <w:drawing>
          <wp:inline distT="0" distB="0" distL="0" distR="0" wp14:anchorId="7BBD8E54" wp14:editId="42EF46E0">
            <wp:extent cx="8734537" cy="3513455"/>
            <wp:effectExtent l="0" t="0" r="9525" b="0"/>
            <wp:docPr id="7" name="Picture 7" descr="Weekly water type colour class (1 – 6) for fixed site passive sampler and river transect locations during the 2017–18 wet season (beginning 1 December 2017)" title="Table 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8741219" cy="3516143"/>
                    </a:xfrm>
                    <a:prstGeom prst="rect">
                      <a:avLst/>
                    </a:prstGeom>
                    <a:noFill/>
                    <a:ln>
                      <a:noFill/>
                    </a:ln>
                  </pic:spPr>
                </pic:pic>
              </a:graphicData>
            </a:graphic>
          </wp:inline>
        </w:drawing>
      </w:r>
    </w:p>
    <w:p w14:paraId="344A5C98" w14:textId="77777777" w:rsidR="00D419C1" w:rsidRDefault="00D419C1" w:rsidP="002439C8">
      <w:pPr>
        <w:spacing w:line="276" w:lineRule="auto"/>
        <w:jc w:val="left"/>
        <w:rPr>
          <w:sz w:val="18"/>
          <w:lang w:val="en-AU" w:eastAsia="en-AU"/>
        </w:rPr>
      </w:pPr>
    </w:p>
    <w:p w14:paraId="23CEEFEA" w14:textId="77777777" w:rsidR="00D419C1" w:rsidRDefault="00D419C1" w:rsidP="002439C8">
      <w:pPr>
        <w:spacing w:line="276" w:lineRule="auto"/>
        <w:jc w:val="left"/>
        <w:rPr>
          <w:sz w:val="18"/>
          <w:lang w:val="en-AU" w:eastAsia="en-AU"/>
        </w:rPr>
      </w:pPr>
      <w:r>
        <w:rPr>
          <w:sz w:val="18"/>
          <w:lang w:val="en-AU" w:eastAsia="en-AU"/>
        </w:rPr>
        <w:t>A value of 7 indicates no data available (e.g. due to cloud cover or the pixel was beyond the plume area).</w:t>
      </w:r>
      <w:r w:rsidRPr="00933132">
        <w:t xml:space="preserve"> </w:t>
      </w:r>
      <w:r w:rsidRPr="00106CE5">
        <w:rPr>
          <w:sz w:val="18"/>
        </w:rPr>
        <w:t>W</w:t>
      </w:r>
      <w:r>
        <w:rPr>
          <w:sz w:val="18"/>
          <w:lang w:val="en-AU" w:eastAsia="en-AU"/>
        </w:rPr>
        <w:t>eekly data</w:t>
      </w:r>
      <w:r w:rsidRPr="00933132">
        <w:rPr>
          <w:sz w:val="18"/>
          <w:lang w:val="en-AU" w:eastAsia="en-AU"/>
        </w:rPr>
        <w:t xml:space="preserve"> comprises the minimum colour class at each pixel recorded for the week</w:t>
      </w:r>
      <w:r>
        <w:rPr>
          <w:sz w:val="18"/>
          <w:lang w:val="en-AU" w:eastAsia="en-AU"/>
        </w:rPr>
        <w:t>. Dark blue colour class (6) = tertiary plume water; light blue (colour class 5) = secondary plume water; green, yellow, orange and red (colour classes 4 to 1 respectively) = primary plume water.</w:t>
      </w:r>
    </w:p>
    <w:p w14:paraId="54D69C6E" w14:textId="77777777" w:rsidR="00D419C1" w:rsidRDefault="00D419C1" w:rsidP="002439C8">
      <w:pPr>
        <w:spacing w:line="276" w:lineRule="auto"/>
        <w:jc w:val="left"/>
        <w:rPr>
          <w:sz w:val="18"/>
          <w:lang w:val="en-AU" w:eastAsia="en-AU"/>
        </w:rPr>
        <w:sectPr w:rsidR="00D419C1" w:rsidSect="009E5D22">
          <w:type w:val="continuous"/>
          <w:pgSz w:w="16839" w:h="11907" w:orient="landscape" w:code="9"/>
          <w:pgMar w:top="1440" w:right="1440" w:bottom="1440" w:left="1440" w:header="709" w:footer="709" w:gutter="0"/>
          <w:cols w:space="708"/>
          <w:docGrid w:linePitch="360"/>
        </w:sectPr>
      </w:pPr>
    </w:p>
    <w:p w14:paraId="483BF92F" w14:textId="77777777" w:rsidR="007D6C43" w:rsidRDefault="00DF7B57" w:rsidP="002439C8">
      <w:pPr>
        <w:keepNext/>
        <w:spacing w:after="120" w:line="276" w:lineRule="auto"/>
        <w:jc w:val="left"/>
      </w:pPr>
      <w:r w:rsidRPr="00DF7B57">
        <w:rPr>
          <w:noProof/>
          <w:lang w:val="en-AU" w:eastAsia="en-AU" w:bidi="ar-SA"/>
        </w:rPr>
        <w:drawing>
          <wp:inline distT="0" distB="0" distL="0" distR="0" wp14:anchorId="4BE0DAE6" wp14:editId="39BBA56A">
            <wp:extent cx="8448675" cy="5433088"/>
            <wp:effectExtent l="0" t="0" r="0" b="0"/>
            <wp:docPr id="56" name="Picture 56" descr="Total monthly rainfall for the wet 2017–18  season across Queensland  (Bureau of Meteorology, 2018)" title="Figure 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qcbentl\ownCloud\documents\REEF\2018\REPORT\Monthly wet season rainfall_BOM images.pn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8465578" cy="5443958"/>
                    </a:xfrm>
                    <a:prstGeom prst="rect">
                      <a:avLst/>
                    </a:prstGeom>
                    <a:noFill/>
                    <a:ln>
                      <a:noFill/>
                    </a:ln>
                  </pic:spPr>
                </pic:pic>
              </a:graphicData>
            </a:graphic>
          </wp:inline>
        </w:drawing>
      </w:r>
    </w:p>
    <w:p w14:paraId="6EC5A494" w14:textId="77777777" w:rsidR="00954FCA" w:rsidRPr="00CB093C" w:rsidRDefault="007D6C43" w:rsidP="00954FCA">
      <w:pPr>
        <w:pStyle w:val="Caption"/>
        <w:rPr>
          <w:rFonts w:cs="Arial"/>
          <w:i/>
          <w:vanish/>
          <w:color w:val="000000"/>
          <w:specVanish/>
        </w:rPr>
      </w:pPr>
      <w:bookmarkStart w:id="723" w:name="_Toc15042777"/>
      <w:bookmarkStart w:id="724" w:name="_Toc527468608"/>
      <w:r>
        <w:t xml:space="preserve">Figure </w:t>
      </w:r>
      <w:r>
        <w:fldChar w:fldCharType="begin"/>
      </w:r>
      <w:r>
        <w:instrText xml:space="preserve"> STYLEREF 7 \s </w:instrText>
      </w:r>
      <w:r>
        <w:fldChar w:fldCharType="separate"/>
      </w:r>
      <w:r w:rsidR="00251B46">
        <w:rPr>
          <w:noProof/>
        </w:rPr>
        <w:t>E</w:t>
      </w:r>
      <w:r>
        <w:fldChar w:fldCharType="end"/>
      </w:r>
      <w:r>
        <w:noBreakHyphen/>
      </w:r>
      <w:r>
        <w:fldChar w:fldCharType="begin"/>
      </w:r>
      <w:r>
        <w:instrText xml:space="preserve"> SEQ Figure_Apx \* ARABIC \s 7 </w:instrText>
      </w:r>
      <w:r>
        <w:fldChar w:fldCharType="separate"/>
      </w:r>
      <w:r w:rsidR="00251B46">
        <w:rPr>
          <w:noProof/>
        </w:rPr>
        <w:t>1</w:t>
      </w:r>
      <w:r>
        <w:fldChar w:fldCharType="end"/>
      </w:r>
      <w:r>
        <w:t xml:space="preserve">: </w:t>
      </w:r>
      <w:r>
        <w:rPr>
          <w:b w:val="0"/>
        </w:rPr>
        <w:t xml:space="preserve">Total monthly rainfall for the wet </w:t>
      </w:r>
      <w:r w:rsidR="001B73E5">
        <w:rPr>
          <w:b w:val="0"/>
        </w:rPr>
        <w:t xml:space="preserve">2017–18 </w:t>
      </w:r>
      <w:r w:rsidR="00737BDD">
        <w:rPr>
          <w:b w:val="0"/>
        </w:rPr>
        <w:t xml:space="preserve"> </w:t>
      </w:r>
      <w:r>
        <w:rPr>
          <w:b w:val="0"/>
        </w:rPr>
        <w:t>season across Queensland</w:t>
      </w:r>
      <w:bookmarkEnd w:id="723"/>
    </w:p>
    <w:p w14:paraId="3FD35604" w14:textId="79F45E7B" w:rsidR="007D6C43" w:rsidRPr="00E23A9F" w:rsidRDefault="007D6C43" w:rsidP="002439C8">
      <w:pPr>
        <w:pStyle w:val="Caption"/>
        <w:rPr>
          <w:b w:val="0"/>
        </w:rPr>
      </w:pPr>
      <w:r w:rsidRPr="00817681">
        <w:t xml:space="preserve"> </w:t>
      </w:r>
      <w:r w:rsidRPr="00E23A9F">
        <w:rPr>
          <w:b w:val="0"/>
        </w:rPr>
        <w:fldChar w:fldCharType="begin"/>
      </w:r>
      <w:r w:rsidR="0058467F">
        <w:rPr>
          <w:b w:val="0"/>
        </w:rPr>
        <w:instrText xml:space="preserve"> ADDIN EN.CITE &lt;EndNote&gt;&lt;Cite&gt;&lt;Author&gt;Bureau of Meteorology&lt;/Author&gt;&lt;Year&gt;2018&lt;/Year&gt;&lt;RecNum&gt;99&lt;/RecNum&gt;&lt;DisplayText&gt;(Bureau of Meteorology, 2018)&lt;/DisplayText&gt;&lt;record&gt;&lt;rec-number&gt;99&lt;/rec-number&gt;&lt;foreign-keys&gt;&lt;key app="EN" db-id="xtpvpwz0ufxa2me5tv6v2prn2ez5p9atsvtr" timestamp="1539144946"&gt;99&lt;/key&gt;&lt;/foreign-keys&gt;&lt;ref-type name="Web Page"&gt;12&lt;/ref-type&gt;&lt;contributors&gt;&lt;authors&gt;&lt;author&gt;Bureau of Meteorology,&lt;/author&gt;&lt;/authors&gt;&lt;/contributors&gt;&lt;titles&gt;&lt;title&gt;Daily rainfall totals for Australia&lt;/title&gt;&lt;/titles&gt;&lt;volume&gt;2016&lt;/volume&gt;&lt;number&gt;15 June&lt;/number&gt;&lt;dates&gt;&lt;year&gt;2018&lt;/year&gt;&lt;/dates&gt;&lt;publisher&gt;Bureau of Meteorology&lt;/publisher&gt;&lt;urls&gt;&lt;related-urls&gt;&lt;url&gt;http://www.bom.gov.au/jsp/awap/rain/index.jsp&lt;/url&gt;&lt;/related-urls&gt;&lt;/urls&gt;&lt;/record&gt;&lt;/Cite&gt;&lt;/EndNote&gt;</w:instrText>
      </w:r>
      <w:r w:rsidRPr="00E23A9F">
        <w:rPr>
          <w:b w:val="0"/>
        </w:rPr>
        <w:fldChar w:fldCharType="separate"/>
      </w:r>
      <w:r w:rsidR="00B33845">
        <w:rPr>
          <w:b w:val="0"/>
          <w:noProof/>
        </w:rPr>
        <w:t>(Bureau of Meteorology, 2018)</w:t>
      </w:r>
      <w:bookmarkEnd w:id="724"/>
      <w:r w:rsidRPr="00E23A9F">
        <w:rPr>
          <w:b w:val="0"/>
        </w:rPr>
        <w:fldChar w:fldCharType="end"/>
      </w:r>
    </w:p>
    <w:p w14:paraId="2997BE68" w14:textId="77777777" w:rsidR="007D6C43" w:rsidRDefault="007D6C43" w:rsidP="002439C8">
      <w:pPr>
        <w:jc w:val="left"/>
      </w:pPr>
    </w:p>
    <w:p w14:paraId="3D706549" w14:textId="77777777" w:rsidR="00716921" w:rsidRDefault="00DF7B57" w:rsidP="002439C8">
      <w:pPr>
        <w:keepNext/>
        <w:spacing w:line="276" w:lineRule="auto"/>
        <w:jc w:val="left"/>
      </w:pPr>
      <w:r w:rsidRPr="00DF7B57">
        <w:rPr>
          <w:noProof/>
          <w:lang w:val="en-AU" w:eastAsia="en-AU" w:bidi="ar-SA"/>
        </w:rPr>
        <w:drawing>
          <wp:inline distT="0" distB="0" distL="0" distR="0" wp14:anchorId="3E5C0E02" wp14:editId="76A0EE62">
            <wp:extent cx="8749881" cy="4822300"/>
            <wp:effectExtent l="0" t="0" r="0" b="0"/>
            <wp:docPr id="59" name="Picture 59" descr="Rainfall decile ranges (comparison of current period with long term average) for the dry season between May 2017- October 2018 (left) and wet season between November 2017 – 30 April 2018 (right). Figure sourced from (Bureau of Meteorology, 2018)" title="Figure 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qcbentl\ownCloud\documents\REEF\2018\REPORT\Seasonal deciles maps_BOM.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8761433" cy="4828667"/>
                    </a:xfrm>
                    <a:prstGeom prst="rect">
                      <a:avLst/>
                    </a:prstGeom>
                    <a:noFill/>
                    <a:ln>
                      <a:noFill/>
                    </a:ln>
                  </pic:spPr>
                </pic:pic>
              </a:graphicData>
            </a:graphic>
          </wp:inline>
        </w:drawing>
      </w:r>
    </w:p>
    <w:p w14:paraId="1BEA82A1" w14:textId="77777777" w:rsidR="006B1E20" w:rsidRDefault="006B1E20" w:rsidP="002439C8">
      <w:pPr>
        <w:pStyle w:val="Caption"/>
        <w:keepNext/>
        <w:spacing w:line="276" w:lineRule="auto"/>
        <w:rPr>
          <w:b w:val="0"/>
        </w:rPr>
      </w:pPr>
    </w:p>
    <w:p w14:paraId="5B5E2B1B" w14:textId="77777777" w:rsidR="00954FCA" w:rsidRPr="00CB093C" w:rsidRDefault="002A20D5" w:rsidP="00954FCA">
      <w:pPr>
        <w:pStyle w:val="Caption"/>
        <w:rPr>
          <w:rFonts w:cs="Arial"/>
          <w:i/>
          <w:vanish/>
          <w:color w:val="000000"/>
          <w:specVanish/>
        </w:rPr>
      </w:pPr>
      <w:bookmarkStart w:id="725" w:name="_Ref480727330"/>
      <w:bookmarkStart w:id="726" w:name="_Toc15042778"/>
      <w:bookmarkStart w:id="727" w:name="_Toc527468609"/>
      <w:r>
        <w:t xml:space="preserve">Figure </w:t>
      </w:r>
      <w:r w:rsidR="00C91BF5">
        <w:fldChar w:fldCharType="begin"/>
      </w:r>
      <w:r w:rsidR="008C60F9">
        <w:instrText xml:space="preserve"> STYLEREF 7 \s </w:instrText>
      </w:r>
      <w:r w:rsidR="00C91BF5">
        <w:fldChar w:fldCharType="separate"/>
      </w:r>
      <w:r w:rsidR="00251B46">
        <w:rPr>
          <w:noProof/>
        </w:rPr>
        <w:t>E</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2</w:t>
      </w:r>
      <w:r w:rsidR="00C91BF5">
        <w:fldChar w:fldCharType="end"/>
      </w:r>
      <w:bookmarkEnd w:id="725"/>
      <w:r>
        <w:t xml:space="preserve">: </w:t>
      </w:r>
      <w:r w:rsidR="00716921" w:rsidRPr="00840E64">
        <w:rPr>
          <w:b w:val="0"/>
        </w:rPr>
        <w:t>Rainfall decile ranges</w:t>
      </w:r>
      <w:bookmarkEnd w:id="726"/>
    </w:p>
    <w:p w14:paraId="0EA21D8D" w14:textId="77777777" w:rsidR="0059608E" w:rsidRPr="00840E64" w:rsidRDefault="00716921" w:rsidP="002439C8">
      <w:pPr>
        <w:pStyle w:val="Caption"/>
        <w:rPr>
          <w:b w:val="0"/>
        </w:rPr>
      </w:pPr>
      <w:r w:rsidRPr="00840E64">
        <w:rPr>
          <w:b w:val="0"/>
        </w:rPr>
        <w:t xml:space="preserve"> </w:t>
      </w:r>
      <w:r w:rsidR="006B1E20">
        <w:rPr>
          <w:b w:val="0"/>
        </w:rPr>
        <w:t xml:space="preserve">(comparison of current period with long term average) </w:t>
      </w:r>
      <w:r w:rsidRPr="00840E64">
        <w:rPr>
          <w:b w:val="0"/>
        </w:rPr>
        <w:t>for the dry season between May 201</w:t>
      </w:r>
      <w:r w:rsidR="00DF7B57">
        <w:rPr>
          <w:b w:val="0"/>
        </w:rPr>
        <w:t>7</w:t>
      </w:r>
      <w:r w:rsidRPr="00840E64">
        <w:rPr>
          <w:b w:val="0"/>
        </w:rPr>
        <w:t xml:space="preserve">- </w:t>
      </w:r>
      <w:r w:rsidR="001B104C">
        <w:rPr>
          <w:b w:val="0"/>
        </w:rPr>
        <w:t>October</w:t>
      </w:r>
      <w:r w:rsidRPr="00840E64">
        <w:rPr>
          <w:b w:val="0"/>
        </w:rPr>
        <w:t xml:space="preserve"> 201</w:t>
      </w:r>
      <w:r w:rsidR="00DF7B57">
        <w:rPr>
          <w:b w:val="0"/>
        </w:rPr>
        <w:t>8</w:t>
      </w:r>
      <w:r w:rsidRPr="00840E64">
        <w:rPr>
          <w:b w:val="0"/>
        </w:rPr>
        <w:t xml:space="preserve"> (left) and wet season between </w:t>
      </w:r>
      <w:r w:rsidR="00F53806">
        <w:rPr>
          <w:b w:val="0"/>
        </w:rPr>
        <w:t>November</w:t>
      </w:r>
      <w:r w:rsidRPr="00840E64">
        <w:rPr>
          <w:b w:val="0"/>
        </w:rPr>
        <w:t xml:space="preserve"> </w:t>
      </w:r>
      <w:r w:rsidR="00DF7B57" w:rsidRPr="00840E64">
        <w:rPr>
          <w:b w:val="0"/>
        </w:rPr>
        <w:t>201</w:t>
      </w:r>
      <w:r w:rsidR="00DF7B57">
        <w:rPr>
          <w:b w:val="0"/>
        </w:rPr>
        <w:t>7</w:t>
      </w:r>
      <w:r w:rsidR="00DF7B57" w:rsidRPr="00840E64">
        <w:rPr>
          <w:b w:val="0"/>
        </w:rPr>
        <w:t xml:space="preserve"> </w:t>
      </w:r>
      <w:r w:rsidRPr="00840E64">
        <w:rPr>
          <w:b w:val="0"/>
        </w:rPr>
        <w:t>– 30 April 201</w:t>
      </w:r>
      <w:r w:rsidR="00DF7B57">
        <w:rPr>
          <w:b w:val="0"/>
        </w:rPr>
        <w:t>8</w:t>
      </w:r>
      <w:r w:rsidR="006B1E20">
        <w:rPr>
          <w:b w:val="0"/>
        </w:rPr>
        <w:t xml:space="preserve"> </w:t>
      </w:r>
      <w:r w:rsidRPr="00840E64">
        <w:rPr>
          <w:b w:val="0"/>
        </w:rPr>
        <w:t>(right).</w:t>
      </w:r>
      <w:r w:rsidR="006B1E20">
        <w:rPr>
          <w:b w:val="0"/>
        </w:rPr>
        <w:t xml:space="preserve"> </w:t>
      </w:r>
      <w:r w:rsidR="0059608E" w:rsidRPr="00840E64">
        <w:rPr>
          <w:b w:val="0"/>
        </w:rPr>
        <w:t xml:space="preserve">Figure </w:t>
      </w:r>
      <w:r w:rsidR="00015606" w:rsidRPr="00840E64">
        <w:rPr>
          <w:b w:val="0"/>
        </w:rPr>
        <w:t>sourced from</w:t>
      </w:r>
      <w:r w:rsidR="0059608E" w:rsidRPr="00840E64">
        <w:rPr>
          <w:b w:val="0"/>
        </w:rPr>
        <w:t xml:space="preserve"> </w:t>
      </w:r>
      <w:r w:rsidR="008312A7">
        <w:rPr>
          <w:b w:val="0"/>
        </w:rPr>
        <w:fldChar w:fldCharType="begin"/>
      </w:r>
      <w:r w:rsidR="0058467F">
        <w:rPr>
          <w:b w:val="0"/>
        </w:rPr>
        <w:instrText xml:space="preserve"> ADDIN EN.CITE &lt;EndNote&gt;&lt;Cite&gt;&lt;Author&gt;Bureau of Meteorology&lt;/Author&gt;&lt;Year&gt;2018&lt;/Year&gt;&lt;RecNum&gt;99&lt;/RecNum&gt;&lt;DisplayText&gt;(Bureau of Meteorology, 2018)&lt;/DisplayText&gt;&lt;record&gt;&lt;rec-number&gt;99&lt;/rec-number&gt;&lt;foreign-keys&gt;&lt;key app="EN" db-id="xtpvpwz0ufxa2me5tv6v2prn2ez5p9atsvtr" timestamp="1539144946"&gt;99&lt;/key&gt;&lt;/foreign-keys&gt;&lt;ref-type name="Web Page"&gt;12&lt;/ref-type&gt;&lt;contributors&gt;&lt;authors&gt;&lt;author&gt;Bureau of Meteorology,&lt;/author&gt;&lt;/authors&gt;&lt;/contributors&gt;&lt;titles&gt;&lt;title&gt;Daily rainfall totals for Australia&lt;/title&gt;&lt;/titles&gt;&lt;volume&gt;2016&lt;/volume&gt;&lt;number&gt;15 June&lt;/number&gt;&lt;dates&gt;&lt;year&gt;2018&lt;/year&gt;&lt;/dates&gt;&lt;publisher&gt;Bureau of Meteorology&lt;/publisher&gt;&lt;urls&gt;&lt;related-urls&gt;&lt;url&gt;http://www.bom.gov.au/jsp/awap/rain/index.jsp&lt;/url&gt;&lt;/related-urls&gt;&lt;/urls&gt;&lt;/record&gt;&lt;/Cite&gt;&lt;/EndNote&gt;</w:instrText>
      </w:r>
      <w:r w:rsidR="008312A7">
        <w:rPr>
          <w:b w:val="0"/>
        </w:rPr>
        <w:fldChar w:fldCharType="separate"/>
      </w:r>
      <w:r w:rsidR="00B33845">
        <w:rPr>
          <w:b w:val="0"/>
          <w:noProof/>
        </w:rPr>
        <w:t>(Bureau of Meteorology, 2018)</w:t>
      </w:r>
      <w:bookmarkEnd w:id="727"/>
      <w:r w:rsidR="008312A7">
        <w:rPr>
          <w:b w:val="0"/>
        </w:rPr>
        <w:fldChar w:fldCharType="end"/>
      </w:r>
    </w:p>
    <w:p w14:paraId="7C547380" w14:textId="77777777" w:rsidR="0059608E" w:rsidRDefault="0059608E" w:rsidP="002439C8">
      <w:pPr>
        <w:spacing w:line="276" w:lineRule="auto"/>
        <w:jc w:val="left"/>
        <w:rPr>
          <w:sz w:val="18"/>
          <w:lang w:val="en-AU" w:eastAsia="en-AU"/>
        </w:rPr>
      </w:pPr>
    </w:p>
    <w:p w14:paraId="4EDFE811" w14:textId="77777777" w:rsidR="00EC21B7" w:rsidRDefault="005218F5" w:rsidP="002439C8">
      <w:pPr>
        <w:keepNext/>
        <w:spacing w:after="120" w:line="276" w:lineRule="auto"/>
        <w:jc w:val="left"/>
      </w:pPr>
      <w:r w:rsidRPr="005218F5">
        <w:rPr>
          <w:noProof/>
          <w:lang w:val="en-AU" w:eastAsia="en-AU" w:bidi="ar-SA"/>
        </w:rPr>
        <w:drawing>
          <wp:inline distT="0" distB="0" distL="0" distR="0" wp14:anchorId="3EE2D29A" wp14:editId="0BB84875">
            <wp:extent cx="8534400" cy="5173865"/>
            <wp:effectExtent l="0" t="0" r="0" b="8255"/>
            <wp:docPr id="2048" name="Picture 2048" descr="A) Inter-annual rainfall difference between the previous monitoring year (2016-17) and the current monitoring year (2017-18). B) and C) show comparison between previous year and current year for dry and wet season, respectively. A negative value indicates that rainfall was lower this year compared to the previous year. Figure sourced from (Bureau of Meteorology, 2018)" title="Figure 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qcbentl\ownCloud\documents\REEF\2018\REPORT\Interannual rainfall differences_BOM.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45563" cy="5180633"/>
                    </a:xfrm>
                    <a:prstGeom prst="rect">
                      <a:avLst/>
                    </a:prstGeom>
                    <a:noFill/>
                    <a:ln>
                      <a:noFill/>
                    </a:ln>
                  </pic:spPr>
                </pic:pic>
              </a:graphicData>
            </a:graphic>
          </wp:inline>
        </w:drawing>
      </w:r>
    </w:p>
    <w:p w14:paraId="34ECB596" w14:textId="77FEFABB" w:rsidR="00954FCA" w:rsidRPr="00CB093C" w:rsidRDefault="002A20D5" w:rsidP="00954FCA">
      <w:pPr>
        <w:pStyle w:val="Caption"/>
        <w:rPr>
          <w:rFonts w:cs="Arial"/>
          <w:i/>
          <w:vanish/>
          <w:color w:val="000000"/>
          <w:specVanish/>
        </w:rPr>
      </w:pPr>
      <w:bookmarkStart w:id="728" w:name="_Ref480727377"/>
      <w:bookmarkStart w:id="729" w:name="_Toc15042779"/>
      <w:bookmarkStart w:id="730" w:name="_Toc527468610"/>
      <w:r>
        <w:t xml:space="preserve">Figure </w:t>
      </w:r>
      <w:r w:rsidR="00C91BF5">
        <w:fldChar w:fldCharType="begin"/>
      </w:r>
      <w:r w:rsidR="008C60F9">
        <w:instrText xml:space="preserve"> STYLEREF 7 \s </w:instrText>
      </w:r>
      <w:r w:rsidR="00C91BF5">
        <w:fldChar w:fldCharType="separate"/>
      </w:r>
      <w:r w:rsidR="00251B46">
        <w:rPr>
          <w:noProof/>
        </w:rPr>
        <w:t>E</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3</w:t>
      </w:r>
      <w:r w:rsidR="00C91BF5">
        <w:fldChar w:fldCharType="end"/>
      </w:r>
      <w:bookmarkEnd w:id="728"/>
      <w:r>
        <w:t>:</w:t>
      </w:r>
      <w:r w:rsidR="00EC21B7" w:rsidRPr="00840E64">
        <w:rPr>
          <w:b w:val="0"/>
        </w:rPr>
        <w:t xml:space="preserve"> </w:t>
      </w:r>
      <w:r w:rsidR="006B1E20">
        <w:rPr>
          <w:b w:val="0"/>
        </w:rPr>
        <w:t>A) I</w:t>
      </w:r>
      <w:r w:rsidR="00EC21B7" w:rsidRPr="00840E64">
        <w:rPr>
          <w:b w:val="0"/>
        </w:rPr>
        <w:t>nter-annual rainfall difference between the previous monitoring year (</w:t>
      </w:r>
      <w:r w:rsidR="00DF7B57" w:rsidRPr="00840E64">
        <w:rPr>
          <w:b w:val="0"/>
        </w:rPr>
        <w:t>201</w:t>
      </w:r>
      <w:r w:rsidR="005218F5">
        <w:rPr>
          <w:b w:val="0"/>
        </w:rPr>
        <w:t>6</w:t>
      </w:r>
      <w:r w:rsidR="00EC21B7" w:rsidRPr="00840E64">
        <w:rPr>
          <w:b w:val="0"/>
        </w:rPr>
        <w:t>-</w:t>
      </w:r>
      <w:r w:rsidR="00DF7B57" w:rsidRPr="00840E64">
        <w:rPr>
          <w:b w:val="0"/>
        </w:rPr>
        <w:t>1</w:t>
      </w:r>
      <w:r w:rsidR="005218F5">
        <w:rPr>
          <w:b w:val="0"/>
        </w:rPr>
        <w:t>7</w:t>
      </w:r>
      <w:r w:rsidR="00EC21B7" w:rsidRPr="00840E64">
        <w:rPr>
          <w:b w:val="0"/>
        </w:rPr>
        <w:t>) and the current monitoring year (</w:t>
      </w:r>
      <w:r w:rsidR="00AF79EB" w:rsidRPr="00840E64">
        <w:rPr>
          <w:b w:val="0"/>
        </w:rPr>
        <w:t>201</w:t>
      </w:r>
      <w:r w:rsidR="00AF79EB">
        <w:rPr>
          <w:b w:val="0"/>
        </w:rPr>
        <w:t>7</w:t>
      </w:r>
      <w:r w:rsidR="00EC21B7" w:rsidRPr="00840E64">
        <w:rPr>
          <w:b w:val="0"/>
        </w:rPr>
        <w:t>-</w:t>
      </w:r>
      <w:r w:rsidR="00AF79EB" w:rsidRPr="00840E64">
        <w:rPr>
          <w:b w:val="0"/>
        </w:rPr>
        <w:t>1</w:t>
      </w:r>
      <w:r w:rsidR="00AF79EB">
        <w:rPr>
          <w:b w:val="0"/>
        </w:rPr>
        <w:t>8</w:t>
      </w:r>
      <w:r w:rsidR="00EC21B7" w:rsidRPr="00840E64">
        <w:rPr>
          <w:b w:val="0"/>
        </w:rPr>
        <w:t>).</w:t>
      </w:r>
      <w:bookmarkEnd w:id="729"/>
      <w:r w:rsidR="00954FCA" w:rsidRPr="00954FCA">
        <w:rPr>
          <w:rFonts w:cs="Arial"/>
          <w:i/>
          <w:vanish/>
          <w:color w:val="000000"/>
          <w:specVanish/>
        </w:rPr>
        <w:t xml:space="preserve"> </w:t>
      </w:r>
    </w:p>
    <w:p w14:paraId="7ED6A3AC" w14:textId="77777777" w:rsidR="0059608E" w:rsidRDefault="00840E64" w:rsidP="002439C8">
      <w:pPr>
        <w:pStyle w:val="Caption"/>
        <w:rPr>
          <w:b w:val="0"/>
        </w:rPr>
      </w:pPr>
      <w:r>
        <w:rPr>
          <w:b w:val="0"/>
        </w:rPr>
        <w:t xml:space="preserve"> </w:t>
      </w:r>
      <w:r w:rsidR="006B1E20">
        <w:rPr>
          <w:b w:val="0"/>
        </w:rPr>
        <w:t xml:space="preserve">B) and C) show comparison between previous year and current year for dry and wet season, respectively. A negative value indicates that rainfall was lower this year compared to the previous year. </w:t>
      </w:r>
      <w:r w:rsidR="0059608E" w:rsidRPr="00840E64">
        <w:rPr>
          <w:b w:val="0"/>
        </w:rPr>
        <w:t xml:space="preserve">Figure </w:t>
      </w:r>
      <w:r w:rsidR="00015606" w:rsidRPr="00840E64">
        <w:rPr>
          <w:b w:val="0"/>
        </w:rPr>
        <w:t>sourced from</w:t>
      </w:r>
      <w:r w:rsidR="0059608E" w:rsidRPr="00840E64">
        <w:rPr>
          <w:b w:val="0"/>
        </w:rPr>
        <w:t xml:space="preserve"> </w:t>
      </w:r>
      <w:r w:rsidR="0054078B">
        <w:rPr>
          <w:b w:val="0"/>
        </w:rPr>
        <w:fldChar w:fldCharType="begin"/>
      </w:r>
      <w:r w:rsidR="0058467F">
        <w:rPr>
          <w:b w:val="0"/>
        </w:rPr>
        <w:instrText xml:space="preserve"> ADDIN EN.CITE &lt;EndNote&gt;&lt;Cite&gt;&lt;Author&gt;Bureau of Meteorology&lt;/Author&gt;&lt;Year&gt;2018&lt;/Year&gt;&lt;RecNum&gt;99&lt;/RecNum&gt;&lt;DisplayText&gt;(Bureau of Meteorology, 2018)&lt;/DisplayText&gt;&lt;record&gt;&lt;rec-number&gt;99&lt;/rec-number&gt;&lt;foreign-keys&gt;&lt;key app="EN" db-id="xtpvpwz0ufxa2me5tv6v2prn2ez5p9atsvtr" timestamp="1539144946"&gt;99&lt;/key&gt;&lt;/foreign-keys&gt;&lt;ref-type name="Web Page"&gt;12&lt;/ref-type&gt;&lt;contributors&gt;&lt;authors&gt;&lt;author&gt;Bureau of Meteorology,&lt;/author&gt;&lt;/authors&gt;&lt;/contributors&gt;&lt;titles&gt;&lt;title&gt;Daily rainfall totals for Australia&lt;/title&gt;&lt;/titles&gt;&lt;volume&gt;2016&lt;/volume&gt;&lt;number&gt;15 June&lt;/number&gt;&lt;dates&gt;&lt;year&gt;2018&lt;/year&gt;&lt;/dates&gt;&lt;publisher&gt;Bureau of Meteorology&lt;/publisher&gt;&lt;urls&gt;&lt;related-urls&gt;&lt;url&gt;http://www.bom.gov.au/jsp/awap/rain/index.jsp&lt;/url&gt;&lt;/related-urls&gt;&lt;/urls&gt;&lt;/record&gt;&lt;/Cite&gt;&lt;/EndNote&gt;</w:instrText>
      </w:r>
      <w:r w:rsidR="0054078B">
        <w:rPr>
          <w:b w:val="0"/>
        </w:rPr>
        <w:fldChar w:fldCharType="separate"/>
      </w:r>
      <w:r w:rsidR="00B33845">
        <w:rPr>
          <w:b w:val="0"/>
          <w:noProof/>
        </w:rPr>
        <w:t>(Bureau of Meteorology, 2018)</w:t>
      </w:r>
      <w:bookmarkEnd w:id="730"/>
      <w:r w:rsidR="0054078B">
        <w:rPr>
          <w:b w:val="0"/>
        </w:rPr>
        <w:fldChar w:fldCharType="end"/>
      </w:r>
    </w:p>
    <w:p w14:paraId="0B51F2FA" w14:textId="77777777" w:rsidR="00B022B4" w:rsidRDefault="00B022B4" w:rsidP="002439C8">
      <w:pPr>
        <w:jc w:val="left"/>
        <w:sectPr w:rsidR="00B022B4" w:rsidSect="009E5D22">
          <w:type w:val="continuous"/>
          <w:pgSz w:w="16839" w:h="11907" w:orient="landscape" w:code="9"/>
          <w:pgMar w:top="1440" w:right="1440" w:bottom="1440" w:left="1440" w:header="709" w:footer="709" w:gutter="0"/>
          <w:cols w:space="708"/>
          <w:docGrid w:linePitch="360"/>
        </w:sectPr>
      </w:pPr>
    </w:p>
    <w:p w14:paraId="61E30D1A" w14:textId="77777777" w:rsidR="00B022B4" w:rsidRPr="00B022B4" w:rsidRDefault="00B022B4" w:rsidP="002439C8">
      <w:pPr>
        <w:jc w:val="left"/>
      </w:pPr>
    </w:p>
    <w:p w14:paraId="5E7A85B2" w14:textId="77777777" w:rsidR="00B022B4" w:rsidRPr="00B022B4" w:rsidRDefault="00B022B4" w:rsidP="002439C8">
      <w:pPr>
        <w:jc w:val="left"/>
        <w:rPr>
          <w:highlight w:val="yellow"/>
          <w:lang w:val="en-AU" w:bidi="ar-SA"/>
        </w:rPr>
        <w:sectPr w:rsidR="00B022B4" w:rsidRPr="00B022B4" w:rsidSect="009E5D22">
          <w:type w:val="continuous"/>
          <w:pgSz w:w="11907" w:h="16839" w:code="9"/>
          <w:pgMar w:top="1440" w:right="1440" w:bottom="1440" w:left="1440" w:header="709" w:footer="709" w:gutter="0"/>
          <w:cols w:space="708"/>
          <w:docGrid w:linePitch="360"/>
        </w:sectPr>
      </w:pPr>
    </w:p>
    <w:p w14:paraId="1D67E30B" w14:textId="77777777" w:rsidR="0059608E" w:rsidRDefault="00305667" w:rsidP="002439C8">
      <w:pPr>
        <w:pStyle w:val="Heading7"/>
        <w:ind w:left="1701" w:hanging="1701"/>
      </w:pPr>
      <w:bookmarkStart w:id="731" w:name="_Ref335637596"/>
      <w:bookmarkStart w:id="732" w:name="_Toc461457789"/>
      <w:r>
        <w:t xml:space="preserve">Fixed </w:t>
      </w:r>
      <w:r w:rsidR="00494403">
        <w:t xml:space="preserve">monitoring </w:t>
      </w:r>
      <w:r w:rsidR="00185EFD">
        <w:t xml:space="preserve">sites </w:t>
      </w:r>
      <w:r w:rsidR="00494403">
        <w:t>–</w:t>
      </w:r>
      <w:r w:rsidR="0021135E">
        <w:t xml:space="preserve"> sampler returns and</w:t>
      </w:r>
      <w:r w:rsidR="00494403">
        <w:t xml:space="preserve"> individual site results</w:t>
      </w:r>
      <w:bookmarkEnd w:id="731"/>
      <w:bookmarkEnd w:id="732"/>
    </w:p>
    <w:p w14:paraId="37C0657B" w14:textId="16139EDF" w:rsidR="00954FCA" w:rsidRPr="00CB093C" w:rsidRDefault="0021135E" w:rsidP="00954FCA">
      <w:pPr>
        <w:pStyle w:val="Caption"/>
        <w:rPr>
          <w:rFonts w:cs="Arial"/>
          <w:i/>
          <w:vanish/>
          <w:color w:val="000000"/>
          <w:specVanish/>
        </w:rPr>
      </w:pPr>
      <w:bookmarkStart w:id="733" w:name="_Toc15283232"/>
      <w:bookmarkStart w:id="734" w:name="_Toc527468635"/>
      <w:bookmarkStart w:id="735" w:name="_Ref480725590"/>
      <w:r>
        <w:t xml:space="preserve">Table </w:t>
      </w:r>
      <w:r>
        <w:fldChar w:fldCharType="begin"/>
      </w:r>
      <w:r>
        <w:instrText xml:space="preserve"> STYLEREF 7 \s </w:instrText>
      </w:r>
      <w:r>
        <w:fldChar w:fldCharType="separate"/>
      </w:r>
      <w:r w:rsidR="00251B46">
        <w:rPr>
          <w:noProof/>
        </w:rPr>
        <w:t>F</w:t>
      </w:r>
      <w:r>
        <w:fldChar w:fldCharType="end"/>
      </w:r>
      <w:r>
        <w:noBreakHyphen/>
      </w:r>
      <w:r>
        <w:fldChar w:fldCharType="begin"/>
      </w:r>
      <w:r>
        <w:instrText xml:space="preserve"> SEQ Table_Apx \* ARABIC \s 7 </w:instrText>
      </w:r>
      <w:r>
        <w:fldChar w:fldCharType="separate"/>
      </w:r>
      <w:r w:rsidR="00251B46">
        <w:rPr>
          <w:noProof/>
        </w:rPr>
        <w:t>1</w:t>
      </w:r>
      <w:r>
        <w:fldChar w:fldCharType="end"/>
      </w:r>
      <w:r>
        <w:rPr>
          <w:b w:val="0"/>
        </w:rPr>
        <w:t xml:space="preserve">: </w:t>
      </w:r>
      <w:r w:rsidRPr="00747824">
        <w:rPr>
          <w:b w:val="0"/>
        </w:rPr>
        <w:t xml:space="preserve">Passive sampling return record for the </w:t>
      </w:r>
      <w:r w:rsidR="001B73E5">
        <w:rPr>
          <w:b w:val="0"/>
        </w:rPr>
        <w:t>2017–18</w:t>
      </w:r>
      <w:r w:rsidR="00737BDD">
        <w:rPr>
          <w:b w:val="0"/>
        </w:rPr>
        <w:t xml:space="preserve"> </w:t>
      </w:r>
      <w:r w:rsidRPr="00747824">
        <w:rPr>
          <w:b w:val="0"/>
        </w:rPr>
        <w:t>monitoring year</w:t>
      </w:r>
      <w:r>
        <w:rPr>
          <w:b w:val="0"/>
        </w:rPr>
        <w:t>.</w:t>
      </w:r>
      <w:bookmarkEnd w:id="733"/>
    </w:p>
    <w:p w14:paraId="357DED9F" w14:textId="77777777" w:rsidR="0021135E" w:rsidRDefault="0021135E" w:rsidP="002439C8">
      <w:pPr>
        <w:pStyle w:val="Caption"/>
        <w:keepNext/>
        <w:spacing w:after="120" w:line="276" w:lineRule="auto"/>
        <w:rPr>
          <w:b w:val="0"/>
        </w:rPr>
      </w:pPr>
      <w:r>
        <w:rPr>
          <w:b w:val="0"/>
        </w:rPr>
        <w:t xml:space="preserve"> ED sampler numbers are given with PDMS (non-polar) samplers in brackets after.</w:t>
      </w:r>
      <w:bookmarkEnd w:id="734"/>
    </w:p>
    <w:tbl>
      <w:tblPr>
        <w:tblW w:w="5000" w:type="pct"/>
        <w:tblLook w:val="04A0" w:firstRow="1" w:lastRow="0" w:firstColumn="1" w:lastColumn="0" w:noHBand="0" w:noVBand="1"/>
      </w:tblPr>
      <w:tblGrid>
        <w:gridCol w:w="1219"/>
        <w:gridCol w:w="1266"/>
        <w:gridCol w:w="966"/>
        <w:gridCol w:w="1266"/>
        <w:gridCol w:w="4290"/>
      </w:tblGrid>
      <w:tr w:rsidR="005218F5" w:rsidRPr="00017BC5" w14:paraId="5FE3B025" w14:textId="77777777" w:rsidTr="00503D38">
        <w:trPr>
          <w:trHeight w:val="473"/>
        </w:trPr>
        <w:tc>
          <w:tcPr>
            <w:tcW w:w="599" w:type="pct"/>
            <w:tcBorders>
              <w:top w:val="single" w:sz="8" w:space="0" w:color="auto"/>
              <w:left w:val="single" w:sz="8" w:space="0" w:color="auto"/>
              <w:bottom w:val="single" w:sz="8" w:space="0" w:color="auto"/>
              <w:right w:val="single" w:sz="8" w:space="0" w:color="auto"/>
            </w:tcBorders>
            <w:shd w:val="clear" w:color="000000" w:fill="FFFFFF"/>
            <w:vAlign w:val="center"/>
            <w:hideMark/>
          </w:tcPr>
          <w:p w14:paraId="3B11B152"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NRM Region</w:t>
            </w:r>
          </w:p>
        </w:tc>
        <w:tc>
          <w:tcPr>
            <w:tcW w:w="731" w:type="pct"/>
            <w:tcBorders>
              <w:top w:val="single" w:sz="8" w:space="0" w:color="auto"/>
              <w:left w:val="nil"/>
              <w:bottom w:val="single" w:sz="8" w:space="0" w:color="auto"/>
              <w:right w:val="single" w:sz="8" w:space="0" w:color="auto"/>
            </w:tcBorders>
            <w:shd w:val="clear" w:color="000000" w:fill="FFFFFF"/>
            <w:vAlign w:val="center"/>
            <w:hideMark/>
          </w:tcPr>
          <w:p w14:paraId="30CC7859"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Site Name</w:t>
            </w:r>
          </w:p>
        </w:tc>
        <w:tc>
          <w:tcPr>
            <w:tcW w:w="530" w:type="pct"/>
            <w:tcBorders>
              <w:top w:val="single" w:sz="8" w:space="0" w:color="auto"/>
              <w:left w:val="nil"/>
              <w:bottom w:val="single" w:sz="8" w:space="0" w:color="auto"/>
              <w:right w:val="single" w:sz="8" w:space="0" w:color="auto"/>
            </w:tcBorders>
            <w:shd w:val="clear" w:color="000000" w:fill="FFFFFF"/>
            <w:vAlign w:val="center"/>
            <w:hideMark/>
          </w:tcPr>
          <w:p w14:paraId="2F31B4D7"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No of samplers sent</w:t>
            </w:r>
          </w:p>
        </w:tc>
        <w:tc>
          <w:tcPr>
            <w:tcW w:w="731" w:type="pct"/>
            <w:tcBorders>
              <w:top w:val="single" w:sz="8" w:space="0" w:color="auto"/>
              <w:left w:val="nil"/>
              <w:bottom w:val="single" w:sz="8" w:space="0" w:color="auto"/>
              <w:right w:val="single" w:sz="8" w:space="0" w:color="auto"/>
            </w:tcBorders>
            <w:shd w:val="clear" w:color="000000" w:fill="FFFFFF"/>
            <w:vAlign w:val="center"/>
            <w:hideMark/>
          </w:tcPr>
          <w:p w14:paraId="20F37306"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No of samplers returned and analysed</w:t>
            </w:r>
          </w:p>
        </w:tc>
        <w:tc>
          <w:tcPr>
            <w:tcW w:w="2409" w:type="pct"/>
            <w:tcBorders>
              <w:top w:val="single" w:sz="8" w:space="0" w:color="auto"/>
              <w:left w:val="nil"/>
              <w:bottom w:val="single" w:sz="8" w:space="0" w:color="auto"/>
              <w:right w:val="single" w:sz="8" w:space="0" w:color="auto"/>
            </w:tcBorders>
            <w:shd w:val="clear" w:color="000000" w:fill="FFFFFF"/>
            <w:vAlign w:val="center"/>
            <w:hideMark/>
          </w:tcPr>
          <w:p w14:paraId="36907BA1" w14:textId="77777777" w:rsidR="005218F5" w:rsidRPr="00503D38" w:rsidRDefault="005218F5" w:rsidP="002439C8">
            <w:pPr>
              <w:jc w:val="left"/>
              <w:rPr>
                <w:rFonts w:ascii="Calibri" w:eastAsia="Times New Roman" w:hAnsi="Calibri" w:cs="Calibri"/>
                <w:b/>
                <w:bCs/>
                <w:sz w:val="20"/>
                <w:szCs w:val="32"/>
                <w:lang w:val="en-AU" w:eastAsia="en-AU" w:bidi="ar-SA"/>
              </w:rPr>
            </w:pPr>
            <w:r w:rsidRPr="00503D38">
              <w:rPr>
                <w:rFonts w:ascii="Calibri" w:eastAsia="Times New Roman" w:hAnsi="Calibri" w:cs="Calibri"/>
                <w:b/>
                <w:bCs/>
                <w:sz w:val="20"/>
                <w:szCs w:val="32"/>
                <w:lang w:val="en-AU" w:eastAsia="en-AU" w:bidi="ar-SA"/>
              </w:rPr>
              <w:t>Comments</w:t>
            </w:r>
          </w:p>
        </w:tc>
      </w:tr>
      <w:tr w:rsidR="005218F5" w:rsidRPr="00017BC5" w14:paraId="2BA71F81" w14:textId="77777777" w:rsidTr="00503D38">
        <w:trPr>
          <w:trHeight w:val="287"/>
        </w:trPr>
        <w:tc>
          <w:tcPr>
            <w:tcW w:w="599" w:type="pct"/>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CE9616B"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Wet Tropics</w:t>
            </w:r>
          </w:p>
        </w:tc>
        <w:tc>
          <w:tcPr>
            <w:tcW w:w="731" w:type="pct"/>
            <w:tcBorders>
              <w:top w:val="nil"/>
              <w:left w:val="nil"/>
              <w:bottom w:val="single" w:sz="8" w:space="0" w:color="404040"/>
              <w:right w:val="nil"/>
            </w:tcBorders>
            <w:shd w:val="clear" w:color="000000" w:fill="FFFFFF"/>
            <w:vAlign w:val="center"/>
            <w:hideMark/>
          </w:tcPr>
          <w:p w14:paraId="604B27E0"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Low Isles</w:t>
            </w:r>
          </w:p>
        </w:tc>
        <w:tc>
          <w:tcPr>
            <w:tcW w:w="530" w:type="pct"/>
            <w:tcBorders>
              <w:top w:val="nil"/>
              <w:left w:val="nil"/>
              <w:bottom w:val="single" w:sz="8" w:space="0" w:color="404040"/>
              <w:right w:val="nil"/>
            </w:tcBorders>
            <w:shd w:val="clear" w:color="000000" w:fill="FFFFFF"/>
            <w:noWrap/>
            <w:vAlign w:val="center"/>
            <w:hideMark/>
          </w:tcPr>
          <w:p w14:paraId="3E45ACB1"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8</w:t>
            </w:r>
          </w:p>
        </w:tc>
        <w:tc>
          <w:tcPr>
            <w:tcW w:w="731" w:type="pct"/>
            <w:tcBorders>
              <w:top w:val="nil"/>
              <w:left w:val="nil"/>
              <w:bottom w:val="single" w:sz="8" w:space="0" w:color="404040"/>
              <w:right w:val="nil"/>
            </w:tcBorders>
            <w:shd w:val="clear" w:color="000000" w:fill="FFFFFF"/>
            <w:noWrap/>
            <w:vAlign w:val="center"/>
            <w:hideMark/>
          </w:tcPr>
          <w:p w14:paraId="11FEE6DC"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7</w:t>
            </w:r>
          </w:p>
        </w:tc>
        <w:tc>
          <w:tcPr>
            <w:tcW w:w="2409" w:type="pct"/>
            <w:tcBorders>
              <w:top w:val="nil"/>
              <w:left w:val="nil"/>
              <w:bottom w:val="single" w:sz="8" w:space="0" w:color="404040"/>
              <w:right w:val="single" w:sz="8" w:space="0" w:color="404040"/>
            </w:tcBorders>
            <w:shd w:val="clear" w:color="000000" w:fill="FFFFFF"/>
            <w:vAlign w:val="center"/>
            <w:hideMark/>
          </w:tcPr>
          <w:p w14:paraId="7AEB3041" w14:textId="77777777"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January kit and mooring lost. Delayed and long February deployment meant that April sampler kit not required to be sent.</w:t>
            </w:r>
          </w:p>
        </w:tc>
      </w:tr>
      <w:tr w:rsidR="005218F5" w:rsidRPr="00017BC5" w14:paraId="4979F427" w14:textId="77777777" w:rsidTr="00503D38">
        <w:trPr>
          <w:trHeight w:val="839"/>
        </w:trPr>
        <w:tc>
          <w:tcPr>
            <w:tcW w:w="599" w:type="pct"/>
            <w:vMerge/>
            <w:tcBorders>
              <w:top w:val="nil"/>
              <w:left w:val="single" w:sz="8" w:space="0" w:color="auto"/>
              <w:bottom w:val="single" w:sz="8" w:space="0" w:color="000000"/>
              <w:right w:val="single" w:sz="8" w:space="0" w:color="auto"/>
            </w:tcBorders>
            <w:vAlign w:val="center"/>
            <w:hideMark/>
          </w:tcPr>
          <w:p w14:paraId="4570754D"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p>
        </w:tc>
        <w:tc>
          <w:tcPr>
            <w:tcW w:w="731" w:type="pct"/>
            <w:tcBorders>
              <w:top w:val="nil"/>
              <w:left w:val="nil"/>
              <w:bottom w:val="nil"/>
              <w:right w:val="nil"/>
            </w:tcBorders>
            <w:shd w:val="clear" w:color="000000" w:fill="FFFFFF"/>
            <w:vAlign w:val="center"/>
            <w:hideMark/>
          </w:tcPr>
          <w:p w14:paraId="0650D1DC"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Normanby Island</w:t>
            </w:r>
          </w:p>
        </w:tc>
        <w:tc>
          <w:tcPr>
            <w:tcW w:w="530" w:type="pct"/>
            <w:tcBorders>
              <w:top w:val="nil"/>
              <w:left w:val="nil"/>
              <w:bottom w:val="nil"/>
              <w:right w:val="nil"/>
            </w:tcBorders>
            <w:shd w:val="clear" w:color="000000" w:fill="FFFFFF"/>
            <w:noWrap/>
            <w:vAlign w:val="center"/>
            <w:hideMark/>
          </w:tcPr>
          <w:p w14:paraId="658F91F4"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7</w:t>
            </w:r>
          </w:p>
        </w:tc>
        <w:tc>
          <w:tcPr>
            <w:tcW w:w="731" w:type="pct"/>
            <w:tcBorders>
              <w:top w:val="nil"/>
              <w:left w:val="nil"/>
              <w:bottom w:val="nil"/>
              <w:right w:val="nil"/>
            </w:tcBorders>
            <w:shd w:val="clear" w:color="000000" w:fill="FFFFFF"/>
            <w:noWrap/>
            <w:vAlign w:val="center"/>
            <w:hideMark/>
          </w:tcPr>
          <w:p w14:paraId="4FDF1DD9"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6</w:t>
            </w:r>
          </w:p>
        </w:tc>
        <w:tc>
          <w:tcPr>
            <w:tcW w:w="2409" w:type="pct"/>
            <w:tcBorders>
              <w:top w:val="nil"/>
              <w:left w:val="nil"/>
              <w:bottom w:val="nil"/>
              <w:right w:val="single" w:sz="8" w:space="0" w:color="404040"/>
            </w:tcBorders>
            <w:shd w:val="clear" w:color="000000" w:fill="FFFFFF"/>
            <w:vAlign w:val="center"/>
            <w:hideMark/>
          </w:tcPr>
          <w:p w14:paraId="3D88F05D" w14:textId="6090CE8E"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Due to change of ownership of company, sampling in 2017/18 did not begin until September. Some minor over</w:t>
            </w:r>
            <w:r w:rsidR="00CC7BC7">
              <w:rPr>
                <w:rFonts w:ascii="Calibri" w:eastAsia="Times New Roman" w:hAnsi="Calibri" w:cs="Calibri"/>
                <w:sz w:val="20"/>
                <w:szCs w:val="32"/>
                <w:lang w:val="en-AU" w:eastAsia="en-AU" w:bidi="ar-SA"/>
              </w:rPr>
              <w:t>-</w:t>
            </w:r>
            <w:r w:rsidRPr="00503D38">
              <w:rPr>
                <w:rFonts w:ascii="Calibri" w:eastAsia="Times New Roman" w:hAnsi="Calibri" w:cs="Calibri"/>
                <w:sz w:val="20"/>
                <w:szCs w:val="32"/>
                <w:lang w:val="en-AU" w:eastAsia="en-AU" w:bidi="ar-SA"/>
              </w:rPr>
              <w:t>deployments occurred resulting in April kit being deployed in May (2018/19 sampling year).</w:t>
            </w:r>
          </w:p>
        </w:tc>
      </w:tr>
      <w:tr w:rsidR="005218F5" w:rsidRPr="00017BC5" w14:paraId="0CEB84C5" w14:textId="77777777" w:rsidTr="00503D38">
        <w:trPr>
          <w:trHeight w:val="414"/>
        </w:trPr>
        <w:tc>
          <w:tcPr>
            <w:tcW w:w="599" w:type="pct"/>
            <w:vMerge/>
            <w:tcBorders>
              <w:top w:val="nil"/>
              <w:left w:val="single" w:sz="8" w:space="0" w:color="auto"/>
              <w:bottom w:val="single" w:sz="8" w:space="0" w:color="000000"/>
              <w:right w:val="single" w:sz="8" w:space="0" w:color="auto"/>
            </w:tcBorders>
            <w:vAlign w:val="center"/>
            <w:hideMark/>
          </w:tcPr>
          <w:p w14:paraId="66986A3C"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p>
        </w:tc>
        <w:tc>
          <w:tcPr>
            <w:tcW w:w="731" w:type="pct"/>
            <w:tcBorders>
              <w:top w:val="single" w:sz="8" w:space="0" w:color="auto"/>
              <w:left w:val="nil"/>
              <w:bottom w:val="single" w:sz="8" w:space="0" w:color="auto"/>
              <w:right w:val="nil"/>
            </w:tcBorders>
            <w:shd w:val="clear" w:color="000000" w:fill="FFFFFF"/>
            <w:vAlign w:val="center"/>
            <w:hideMark/>
          </w:tcPr>
          <w:p w14:paraId="0030797C"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Dunk Island</w:t>
            </w:r>
          </w:p>
        </w:tc>
        <w:tc>
          <w:tcPr>
            <w:tcW w:w="530" w:type="pct"/>
            <w:tcBorders>
              <w:top w:val="single" w:sz="8" w:space="0" w:color="auto"/>
              <w:left w:val="nil"/>
              <w:bottom w:val="single" w:sz="8" w:space="0" w:color="auto"/>
              <w:right w:val="nil"/>
            </w:tcBorders>
            <w:shd w:val="clear" w:color="000000" w:fill="FFFFFF"/>
            <w:noWrap/>
            <w:vAlign w:val="center"/>
            <w:hideMark/>
          </w:tcPr>
          <w:p w14:paraId="5EB13CEC"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9</w:t>
            </w:r>
          </w:p>
        </w:tc>
        <w:tc>
          <w:tcPr>
            <w:tcW w:w="731" w:type="pct"/>
            <w:tcBorders>
              <w:top w:val="single" w:sz="8" w:space="0" w:color="auto"/>
              <w:left w:val="nil"/>
              <w:bottom w:val="single" w:sz="8" w:space="0" w:color="auto"/>
              <w:right w:val="nil"/>
            </w:tcBorders>
            <w:shd w:val="clear" w:color="000000" w:fill="FFFFFF"/>
            <w:noWrap/>
            <w:vAlign w:val="center"/>
            <w:hideMark/>
          </w:tcPr>
          <w:p w14:paraId="507B1063"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8</w:t>
            </w:r>
          </w:p>
        </w:tc>
        <w:tc>
          <w:tcPr>
            <w:tcW w:w="2409" w:type="pct"/>
            <w:tcBorders>
              <w:top w:val="single" w:sz="8" w:space="0" w:color="auto"/>
              <w:left w:val="nil"/>
              <w:bottom w:val="single" w:sz="8" w:space="0" w:color="auto"/>
              <w:right w:val="single" w:sz="8" w:space="0" w:color="auto"/>
            </w:tcBorders>
            <w:shd w:val="clear" w:color="000000" w:fill="FFFFFF"/>
            <w:vAlign w:val="center"/>
            <w:hideMark/>
          </w:tcPr>
          <w:p w14:paraId="1C308859" w14:textId="77777777"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May/June samplers at both Dunk and High Islands lost with moorings. Re-established in July.</w:t>
            </w:r>
          </w:p>
        </w:tc>
      </w:tr>
      <w:tr w:rsidR="005218F5" w:rsidRPr="00017BC5" w14:paraId="73563C9C" w14:textId="77777777" w:rsidTr="00503D38">
        <w:trPr>
          <w:trHeight w:val="291"/>
        </w:trPr>
        <w:tc>
          <w:tcPr>
            <w:tcW w:w="599" w:type="pct"/>
            <w:vMerge/>
            <w:tcBorders>
              <w:top w:val="nil"/>
              <w:left w:val="single" w:sz="8" w:space="0" w:color="auto"/>
              <w:bottom w:val="single" w:sz="8" w:space="0" w:color="000000"/>
              <w:right w:val="single" w:sz="8" w:space="0" w:color="auto"/>
            </w:tcBorders>
            <w:vAlign w:val="center"/>
            <w:hideMark/>
          </w:tcPr>
          <w:p w14:paraId="42512327"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p>
        </w:tc>
        <w:tc>
          <w:tcPr>
            <w:tcW w:w="731" w:type="pct"/>
            <w:tcBorders>
              <w:top w:val="nil"/>
              <w:left w:val="nil"/>
              <w:bottom w:val="single" w:sz="8" w:space="0" w:color="auto"/>
              <w:right w:val="nil"/>
            </w:tcBorders>
            <w:shd w:val="clear" w:color="000000" w:fill="FFFFFF"/>
            <w:vAlign w:val="center"/>
            <w:hideMark/>
          </w:tcPr>
          <w:p w14:paraId="3DBE61BD"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High Island</w:t>
            </w:r>
          </w:p>
        </w:tc>
        <w:tc>
          <w:tcPr>
            <w:tcW w:w="530" w:type="pct"/>
            <w:tcBorders>
              <w:top w:val="nil"/>
              <w:left w:val="nil"/>
              <w:bottom w:val="single" w:sz="8" w:space="0" w:color="auto"/>
              <w:right w:val="nil"/>
            </w:tcBorders>
            <w:shd w:val="clear" w:color="000000" w:fill="FFFFFF"/>
            <w:noWrap/>
            <w:vAlign w:val="center"/>
            <w:hideMark/>
          </w:tcPr>
          <w:p w14:paraId="4BB86FF1"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9</w:t>
            </w:r>
          </w:p>
        </w:tc>
        <w:tc>
          <w:tcPr>
            <w:tcW w:w="731" w:type="pct"/>
            <w:tcBorders>
              <w:top w:val="nil"/>
              <w:left w:val="nil"/>
              <w:bottom w:val="single" w:sz="8" w:space="0" w:color="auto"/>
              <w:right w:val="nil"/>
            </w:tcBorders>
            <w:shd w:val="clear" w:color="000000" w:fill="FFFFFF"/>
            <w:noWrap/>
            <w:vAlign w:val="center"/>
            <w:hideMark/>
          </w:tcPr>
          <w:p w14:paraId="7DAB5A0C"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8</w:t>
            </w:r>
          </w:p>
        </w:tc>
        <w:tc>
          <w:tcPr>
            <w:tcW w:w="2409" w:type="pct"/>
            <w:tcBorders>
              <w:top w:val="nil"/>
              <w:left w:val="nil"/>
              <w:bottom w:val="single" w:sz="8" w:space="0" w:color="auto"/>
              <w:right w:val="single" w:sz="8" w:space="0" w:color="auto"/>
            </w:tcBorders>
            <w:shd w:val="clear" w:color="000000" w:fill="FFFFFF"/>
            <w:vAlign w:val="center"/>
            <w:hideMark/>
          </w:tcPr>
          <w:p w14:paraId="31AA74F9" w14:textId="77777777"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May/June samplers at both Dunk and High Islands lost with moorings. Re-established in July.</w:t>
            </w:r>
          </w:p>
        </w:tc>
      </w:tr>
      <w:tr w:rsidR="005218F5" w:rsidRPr="00017BC5" w14:paraId="627AF7F4" w14:textId="77777777" w:rsidTr="00503D38">
        <w:trPr>
          <w:trHeight w:val="975"/>
        </w:trPr>
        <w:tc>
          <w:tcPr>
            <w:tcW w:w="599" w:type="pct"/>
            <w:vMerge/>
            <w:tcBorders>
              <w:top w:val="nil"/>
              <w:left w:val="single" w:sz="8" w:space="0" w:color="auto"/>
              <w:bottom w:val="single" w:sz="8" w:space="0" w:color="000000"/>
              <w:right w:val="single" w:sz="8" w:space="0" w:color="auto"/>
            </w:tcBorders>
            <w:vAlign w:val="center"/>
            <w:hideMark/>
          </w:tcPr>
          <w:p w14:paraId="4E6029CD"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p>
        </w:tc>
        <w:tc>
          <w:tcPr>
            <w:tcW w:w="731" w:type="pct"/>
            <w:tcBorders>
              <w:top w:val="nil"/>
              <w:left w:val="nil"/>
              <w:bottom w:val="single" w:sz="8" w:space="0" w:color="auto"/>
              <w:right w:val="nil"/>
            </w:tcBorders>
            <w:shd w:val="clear" w:color="000000" w:fill="FFFFFF"/>
            <w:vAlign w:val="center"/>
            <w:hideMark/>
          </w:tcPr>
          <w:p w14:paraId="5A30847F"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Lucinda Jetty (CSIRO)</w:t>
            </w:r>
          </w:p>
        </w:tc>
        <w:tc>
          <w:tcPr>
            <w:tcW w:w="530" w:type="pct"/>
            <w:tcBorders>
              <w:top w:val="nil"/>
              <w:left w:val="nil"/>
              <w:bottom w:val="single" w:sz="8" w:space="0" w:color="auto"/>
              <w:right w:val="nil"/>
            </w:tcBorders>
            <w:shd w:val="clear" w:color="000000" w:fill="FFFFFF"/>
            <w:noWrap/>
            <w:vAlign w:val="center"/>
            <w:hideMark/>
          </w:tcPr>
          <w:p w14:paraId="1257F2FA"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8</w:t>
            </w:r>
          </w:p>
        </w:tc>
        <w:tc>
          <w:tcPr>
            <w:tcW w:w="731" w:type="pct"/>
            <w:tcBorders>
              <w:top w:val="nil"/>
              <w:left w:val="nil"/>
              <w:bottom w:val="single" w:sz="8" w:space="0" w:color="auto"/>
              <w:right w:val="nil"/>
            </w:tcBorders>
            <w:shd w:val="clear" w:color="000000" w:fill="FFFFFF"/>
            <w:noWrap/>
            <w:vAlign w:val="center"/>
            <w:hideMark/>
          </w:tcPr>
          <w:p w14:paraId="53111771"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8</w:t>
            </w:r>
          </w:p>
        </w:tc>
        <w:tc>
          <w:tcPr>
            <w:tcW w:w="2409" w:type="pct"/>
            <w:tcBorders>
              <w:top w:val="nil"/>
              <w:left w:val="nil"/>
              <w:bottom w:val="single" w:sz="8" w:space="0" w:color="auto"/>
              <w:right w:val="single" w:sz="8" w:space="0" w:color="auto"/>
            </w:tcBorders>
            <w:shd w:val="clear" w:color="000000" w:fill="FFFFFF"/>
            <w:vAlign w:val="center"/>
            <w:hideMark/>
          </w:tcPr>
          <w:p w14:paraId="51BD33D9" w14:textId="77777777"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Long December deployment due to shutdown of site included all of January. Double ED setup used (as used during bi-monthly dry season deployments). January kit not needed.</w:t>
            </w:r>
          </w:p>
        </w:tc>
      </w:tr>
      <w:tr w:rsidR="005218F5" w:rsidRPr="00017BC5" w14:paraId="56925BE1" w14:textId="77777777" w:rsidTr="00503D38">
        <w:trPr>
          <w:trHeight w:val="899"/>
        </w:trPr>
        <w:tc>
          <w:tcPr>
            <w:tcW w:w="599" w:type="pct"/>
            <w:tcBorders>
              <w:top w:val="nil"/>
              <w:left w:val="single" w:sz="8" w:space="0" w:color="auto"/>
              <w:bottom w:val="nil"/>
              <w:right w:val="single" w:sz="8" w:space="0" w:color="auto"/>
            </w:tcBorders>
            <w:shd w:val="clear" w:color="000000" w:fill="FFFFFF"/>
            <w:noWrap/>
            <w:vAlign w:val="center"/>
            <w:hideMark/>
          </w:tcPr>
          <w:p w14:paraId="2287299A"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Burdekin</w:t>
            </w:r>
          </w:p>
        </w:tc>
        <w:tc>
          <w:tcPr>
            <w:tcW w:w="731" w:type="pct"/>
            <w:tcBorders>
              <w:top w:val="single" w:sz="8" w:space="0" w:color="404040"/>
              <w:left w:val="nil"/>
              <w:bottom w:val="nil"/>
              <w:right w:val="nil"/>
            </w:tcBorders>
            <w:shd w:val="clear" w:color="000000" w:fill="FFFFFF"/>
            <w:vAlign w:val="center"/>
            <w:hideMark/>
          </w:tcPr>
          <w:p w14:paraId="3653CA3E"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Barratta Creek</w:t>
            </w:r>
          </w:p>
        </w:tc>
        <w:tc>
          <w:tcPr>
            <w:tcW w:w="530" w:type="pct"/>
            <w:tcBorders>
              <w:top w:val="single" w:sz="8" w:space="0" w:color="404040"/>
              <w:left w:val="nil"/>
              <w:bottom w:val="nil"/>
              <w:right w:val="nil"/>
            </w:tcBorders>
            <w:shd w:val="clear" w:color="000000" w:fill="FFFFFF"/>
            <w:noWrap/>
            <w:vAlign w:val="center"/>
            <w:hideMark/>
          </w:tcPr>
          <w:p w14:paraId="4782896F"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8</w:t>
            </w:r>
          </w:p>
        </w:tc>
        <w:tc>
          <w:tcPr>
            <w:tcW w:w="731" w:type="pct"/>
            <w:tcBorders>
              <w:top w:val="single" w:sz="8" w:space="0" w:color="404040"/>
              <w:left w:val="nil"/>
              <w:bottom w:val="nil"/>
              <w:right w:val="nil"/>
            </w:tcBorders>
            <w:shd w:val="clear" w:color="000000" w:fill="FFFFFF"/>
            <w:noWrap/>
            <w:vAlign w:val="center"/>
            <w:hideMark/>
          </w:tcPr>
          <w:p w14:paraId="75DF4A27"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6</w:t>
            </w:r>
          </w:p>
        </w:tc>
        <w:tc>
          <w:tcPr>
            <w:tcW w:w="2409" w:type="pct"/>
            <w:tcBorders>
              <w:top w:val="single" w:sz="8" w:space="0" w:color="404040"/>
              <w:left w:val="nil"/>
              <w:bottom w:val="nil"/>
              <w:right w:val="single" w:sz="8" w:space="0" w:color="404040"/>
            </w:tcBorders>
            <w:shd w:val="clear" w:color="000000" w:fill="FFFFFF"/>
            <w:vAlign w:val="center"/>
            <w:hideMark/>
          </w:tcPr>
          <w:p w14:paraId="122CAA6A" w14:textId="2C5D1CB9"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Over</w:t>
            </w:r>
            <w:r w:rsidR="00CC7BC7">
              <w:rPr>
                <w:rFonts w:ascii="Calibri" w:eastAsia="Times New Roman" w:hAnsi="Calibri" w:cs="Calibri"/>
                <w:sz w:val="20"/>
                <w:szCs w:val="32"/>
                <w:lang w:val="en-AU" w:eastAsia="en-AU" w:bidi="ar-SA"/>
              </w:rPr>
              <w:t>-</w:t>
            </w:r>
            <w:r w:rsidRPr="00503D38">
              <w:rPr>
                <w:rFonts w:ascii="Calibri" w:eastAsia="Times New Roman" w:hAnsi="Calibri" w:cs="Calibri"/>
                <w:sz w:val="20"/>
                <w:szCs w:val="32"/>
                <w:lang w:val="en-AU" w:eastAsia="en-AU" w:bidi="ar-SA"/>
              </w:rPr>
              <w:t>deployments between November and February resulted in February sampler not being required, and March and April samplers being deployed from May 2018 (2018/19 sampling year). Minor losses of individual PDMS cage (January) and  1 ED (Sept/Oct).</w:t>
            </w:r>
          </w:p>
        </w:tc>
      </w:tr>
      <w:tr w:rsidR="005218F5" w:rsidRPr="00017BC5" w14:paraId="0DBD67E4" w14:textId="77777777" w:rsidTr="00503D38">
        <w:trPr>
          <w:trHeight w:val="1109"/>
        </w:trPr>
        <w:tc>
          <w:tcPr>
            <w:tcW w:w="599"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47DBA97E"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Mackay Whitsunday</w:t>
            </w:r>
          </w:p>
        </w:tc>
        <w:tc>
          <w:tcPr>
            <w:tcW w:w="731" w:type="pct"/>
            <w:tcBorders>
              <w:top w:val="single" w:sz="8" w:space="0" w:color="auto"/>
              <w:left w:val="nil"/>
              <w:bottom w:val="single" w:sz="8" w:space="0" w:color="404040"/>
              <w:right w:val="nil"/>
            </w:tcBorders>
            <w:shd w:val="clear" w:color="000000" w:fill="FFFFFF"/>
            <w:vAlign w:val="center"/>
            <w:hideMark/>
          </w:tcPr>
          <w:p w14:paraId="5102300C"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Repulse Bay</w:t>
            </w:r>
          </w:p>
        </w:tc>
        <w:tc>
          <w:tcPr>
            <w:tcW w:w="530" w:type="pct"/>
            <w:tcBorders>
              <w:top w:val="single" w:sz="8" w:space="0" w:color="auto"/>
              <w:left w:val="nil"/>
              <w:bottom w:val="single" w:sz="8" w:space="0" w:color="404040"/>
              <w:right w:val="nil"/>
            </w:tcBorders>
            <w:shd w:val="clear" w:color="000000" w:fill="FFFFFF"/>
            <w:noWrap/>
            <w:vAlign w:val="center"/>
            <w:hideMark/>
          </w:tcPr>
          <w:p w14:paraId="5BFA1E11"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7</w:t>
            </w:r>
          </w:p>
        </w:tc>
        <w:tc>
          <w:tcPr>
            <w:tcW w:w="731" w:type="pct"/>
            <w:tcBorders>
              <w:top w:val="single" w:sz="8" w:space="0" w:color="auto"/>
              <w:left w:val="nil"/>
              <w:bottom w:val="single" w:sz="8" w:space="0" w:color="404040"/>
              <w:right w:val="nil"/>
            </w:tcBorders>
            <w:shd w:val="clear" w:color="000000" w:fill="FFFFFF"/>
            <w:noWrap/>
            <w:vAlign w:val="center"/>
            <w:hideMark/>
          </w:tcPr>
          <w:p w14:paraId="2560469F"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3</w:t>
            </w:r>
          </w:p>
        </w:tc>
        <w:tc>
          <w:tcPr>
            <w:tcW w:w="2409" w:type="pct"/>
            <w:tcBorders>
              <w:top w:val="single" w:sz="8" w:space="0" w:color="auto"/>
              <w:left w:val="nil"/>
              <w:bottom w:val="single" w:sz="8" w:space="0" w:color="404040"/>
              <w:right w:val="single" w:sz="8" w:space="0" w:color="auto"/>
            </w:tcBorders>
            <w:shd w:val="clear" w:color="000000" w:fill="FFFFFF"/>
            <w:vAlign w:val="center"/>
            <w:hideMark/>
          </w:tcPr>
          <w:p w14:paraId="7982106F" w14:textId="77777777"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Sept/Oct and February kits not sent due to sampler/mooring losses of May/June and January. March and April samplers removed from mooring and later recovered out of water, so samplers not analysed. 1 ED lost in December.</w:t>
            </w:r>
          </w:p>
        </w:tc>
      </w:tr>
      <w:tr w:rsidR="005218F5" w:rsidRPr="00017BC5" w14:paraId="076D5426" w14:textId="77777777" w:rsidTr="00503D38">
        <w:trPr>
          <w:trHeight w:val="871"/>
        </w:trPr>
        <w:tc>
          <w:tcPr>
            <w:tcW w:w="599" w:type="pct"/>
            <w:vMerge/>
            <w:tcBorders>
              <w:top w:val="single" w:sz="8" w:space="0" w:color="auto"/>
              <w:left w:val="single" w:sz="8" w:space="0" w:color="auto"/>
              <w:bottom w:val="single" w:sz="8" w:space="0" w:color="000000"/>
              <w:right w:val="single" w:sz="8" w:space="0" w:color="auto"/>
            </w:tcBorders>
            <w:vAlign w:val="center"/>
            <w:hideMark/>
          </w:tcPr>
          <w:p w14:paraId="36474928"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p>
        </w:tc>
        <w:tc>
          <w:tcPr>
            <w:tcW w:w="731" w:type="pct"/>
            <w:tcBorders>
              <w:top w:val="nil"/>
              <w:left w:val="nil"/>
              <w:bottom w:val="single" w:sz="8" w:space="0" w:color="404040"/>
              <w:right w:val="nil"/>
            </w:tcBorders>
            <w:shd w:val="clear" w:color="000000" w:fill="FFFFFF"/>
            <w:vAlign w:val="center"/>
            <w:hideMark/>
          </w:tcPr>
          <w:p w14:paraId="67CE4744"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Round Top Island</w:t>
            </w:r>
          </w:p>
        </w:tc>
        <w:tc>
          <w:tcPr>
            <w:tcW w:w="530" w:type="pct"/>
            <w:tcBorders>
              <w:top w:val="nil"/>
              <w:left w:val="nil"/>
              <w:bottom w:val="single" w:sz="8" w:space="0" w:color="404040"/>
              <w:right w:val="nil"/>
            </w:tcBorders>
            <w:shd w:val="clear" w:color="000000" w:fill="FFFFFF"/>
            <w:noWrap/>
            <w:vAlign w:val="center"/>
            <w:hideMark/>
          </w:tcPr>
          <w:p w14:paraId="6F90DD55"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8</w:t>
            </w:r>
          </w:p>
        </w:tc>
        <w:tc>
          <w:tcPr>
            <w:tcW w:w="731" w:type="pct"/>
            <w:tcBorders>
              <w:top w:val="nil"/>
              <w:left w:val="nil"/>
              <w:bottom w:val="single" w:sz="8" w:space="0" w:color="404040"/>
              <w:right w:val="nil"/>
            </w:tcBorders>
            <w:shd w:val="clear" w:color="000000" w:fill="FFFFFF"/>
            <w:noWrap/>
            <w:vAlign w:val="center"/>
            <w:hideMark/>
          </w:tcPr>
          <w:p w14:paraId="2387F9B8"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6</w:t>
            </w:r>
          </w:p>
        </w:tc>
        <w:tc>
          <w:tcPr>
            <w:tcW w:w="2409" w:type="pct"/>
            <w:tcBorders>
              <w:top w:val="single" w:sz="8" w:space="0" w:color="auto"/>
              <w:left w:val="nil"/>
              <w:bottom w:val="single" w:sz="8" w:space="0" w:color="404040"/>
              <w:right w:val="single" w:sz="8" w:space="0" w:color="auto"/>
            </w:tcBorders>
            <w:shd w:val="clear" w:color="000000" w:fill="FFFFFF"/>
            <w:vAlign w:val="center"/>
            <w:hideMark/>
          </w:tcPr>
          <w:p w14:paraId="3283DACA" w14:textId="77777777"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Lost samplers/mooring in May/June and April. Sept/Oct samplers not sent due to late deployment of July/Aug due to earlier lost mooring. 1 ED lost from July/August samplers.</w:t>
            </w:r>
          </w:p>
        </w:tc>
      </w:tr>
      <w:tr w:rsidR="005218F5" w:rsidRPr="00017BC5" w14:paraId="1644984D" w14:textId="77777777" w:rsidTr="00503D38">
        <w:trPr>
          <w:trHeight w:val="1035"/>
        </w:trPr>
        <w:tc>
          <w:tcPr>
            <w:tcW w:w="599" w:type="pct"/>
            <w:vMerge/>
            <w:tcBorders>
              <w:top w:val="single" w:sz="8" w:space="0" w:color="auto"/>
              <w:left w:val="single" w:sz="8" w:space="0" w:color="auto"/>
              <w:bottom w:val="single" w:sz="8" w:space="0" w:color="000000"/>
              <w:right w:val="single" w:sz="8" w:space="0" w:color="auto"/>
            </w:tcBorders>
            <w:vAlign w:val="center"/>
            <w:hideMark/>
          </w:tcPr>
          <w:p w14:paraId="0841E457"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p>
        </w:tc>
        <w:tc>
          <w:tcPr>
            <w:tcW w:w="731" w:type="pct"/>
            <w:tcBorders>
              <w:top w:val="nil"/>
              <w:left w:val="nil"/>
              <w:bottom w:val="single" w:sz="8" w:space="0" w:color="auto"/>
              <w:right w:val="nil"/>
            </w:tcBorders>
            <w:shd w:val="clear" w:color="000000" w:fill="FFFFFF"/>
            <w:vAlign w:val="center"/>
            <w:hideMark/>
          </w:tcPr>
          <w:p w14:paraId="62E1895D"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Sarina Inlet</w:t>
            </w:r>
          </w:p>
        </w:tc>
        <w:tc>
          <w:tcPr>
            <w:tcW w:w="530" w:type="pct"/>
            <w:tcBorders>
              <w:top w:val="nil"/>
              <w:left w:val="nil"/>
              <w:bottom w:val="single" w:sz="8" w:space="0" w:color="auto"/>
              <w:right w:val="nil"/>
            </w:tcBorders>
            <w:shd w:val="clear" w:color="000000" w:fill="FFFFFF"/>
            <w:noWrap/>
            <w:vAlign w:val="center"/>
            <w:hideMark/>
          </w:tcPr>
          <w:p w14:paraId="015F91A0"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8</w:t>
            </w:r>
          </w:p>
        </w:tc>
        <w:tc>
          <w:tcPr>
            <w:tcW w:w="731" w:type="pct"/>
            <w:tcBorders>
              <w:top w:val="nil"/>
              <w:left w:val="nil"/>
              <w:bottom w:val="single" w:sz="8" w:space="0" w:color="auto"/>
              <w:right w:val="nil"/>
            </w:tcBorders>
            <w:shd w:val="clear" w:color="000000" w:fill="FFFFFF"/>
            <w:noWrap/>
            <w:vAlign w:val="center"/>
            <w:hideMark/>
          </w:tcPr>
          <w:p w14:paraId="4A625CA0"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6</w:t>
            </w:r>
          </w:p>
        </w:tc>
        <w:tc>
          <w:tcPr>
            <w:tcW w:w="2409" w:type="pct"/>
            <w:tcBorders>
              <w:top w:val="nil"/>
              <w:left w:val="nil"/>
              <w:bottom w:val="single" w:sz="8" w:space="0" w:color="404040"/>
              <w:right w:val="single" w:sz="8" w:space="0" w:color="auto"/>
            </w:tcBorders>
            <w:shd w:val="clear" w:color="000000" w:fill="FFFFFF"/>
            <w:vAlign w:val="center"/>
            <w:hideMark/>
          </w:tcPr>
          <w:p w14:paraId="3A883421" w14:textId="77777777"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PDMS cages lost in Nov, Dec and January. 1 ED not deployed in January. Long deployments due to illness of volunteer led to Feb sampler not being sent and March and April kits being returned unused.</w:t>
            </w:r>
          </w:p>
        </w:tc>
      </w:tr>
      <w:tr w:rsidR="005218F5" w:rsidRPr="00017BC5" w14:paraId="7914C372" w14:textId="77777777" w:rsidTr="00503D38">
        <w:trPr>
          <w:trHeight w:val="318"/>
        </w:trPr>
        <w:tc>
          <w:tcPr>
            <w:tcW w:w="599" w:type="pct"/>
            <w:vMerge/>
            <w:tcBorders>
              <w:top w:val="single" w:sz="8" w:space="0" w:color="auto"/>
              <w:left w:val="single" w:sz="8" w:space="0" w:color="auto"/>
              <w:bottom w:val="single" w:sz="8" w:space="0" w:color="000000"/>
              <w:right w:val="single" w:sz="8" w:space="0" w:color="auto"/>
            </w:tcBorders>
            <w:vAlign w:val="center"/>
            <w:hideMark/>
          </w:tcPr>
          <w:p w14:paraId="6093924B"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p>
        </w:tc>
        <w:tc>
          <w:tcPr>
            <w:tcW w:w="731" w:type="pct"/>
            <w:tcBorders>
              <w:top w:val="nil"/>
              <w:left w:val="nil"/>
              <w:bottom w:val="single" w:sz="8" w:space="0" w:color="404040"/>
              <w:right w:val="nil"/>
            </w:tcBorders>
            <w:shd w:val="clear" w:color="000000" w:fill="FFFFFF"/>
            <w:vAlign w:val="center"/>
            <w:hideMark/>
          </w:tcPr>
          <w:p w14:paraId="18603CA9"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Sandy Creek</w:t>
            </w:r>
          </w:p>
        </w:tc>
        <w:tc>
          <w:tcPr>
            <w:tcW w:w="530" w:type="pct"/>
            <w:tcBorders>
              <w:top w:val="nil"/>
              <w:left w:val="nil"/>
              <w:bottom w:val="single" w:sz="8" w:space="0" w:color="404040"/>
              <w:right w:val="nil"/>
            </w:tcBorders>
            <w:shd w:val="clear" w:color="000000" w:fill="FFFFFF"/>
            <w:noWrap/>
            <w:vAlign w:val="center"/>
            <w:hideMark/>
          </w:tcPr>
          <w:p w14:paraId="3F03EB13"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9</w:t>
            </w:r>
          </w:p>
        </w:tc>
        <w:tc>
          <w:tcPr>
            <w:tcW w:w="731" w:type="pct"/>
            <w:tcBorders>
              <w:top w:val="nil"/>
              <w:left w:val="nil"/>
              <w:bottom w:val="single" w:sz="8" w:space="0" w:color="404040"/>
              <w:right w:val="nil"/>
            </w:tcBorders>
            <w:shd w:val="clear" w:color="000000" w:fill="FFFFFF"/>
            <w:noWrap/>
            <w:vAlign w:val="center"/>
            <w:hideMark/>
          </w:tcPr>
          <w:p w14:paraId="145DFCEA"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2</w:t>
            </w:r>
          </w:p>
        </w:tc>
        <w:tc>
          <w:tcPr>
            <w:tcW w:w="2409" w:type="pct"/>
            <w:tcBorders>
              <w:top w:val="nil"/>
              <w:left w:val="nil"/>
              <w:bottom w:val="single" w:sz="8" w:space="0" w:color="404040"/>
              <w:right w:val="single" w:sz="8" w:space="0" w:color="auto"/>
            </w:tcBorders>
            <w:shd w:val="clear" w:color="000000" w:fill="FFFFFF"/>
            <w:vAlign w:val="center"/>
            <w:hideMark/>
          </w:tcPr>
          <w:p w14:paraId="74BC5BA5" w14:textId="77777777"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Only May/June and Sept/Oct samplers returned successfully. All others lost/stolen.</w:t>
            </w:r>
          </w:p>
        </w:tc>
      </w:tr>
      <w:tr w:rsidR="005218F5" w:rsidRPr="00017BC5" w14:paraId="235FCB66" w14:textId="77777777" w:rsidTr="00503D38">
        <w:trPr>
          <w:trHeight w:val="731"/>
        </w:trPr>
        <w:tc>
          <w:tcPr>
            <w:tcW w:w="599" w:type="pct"/>
            <w:tcBorders>
              <w:top w:val="nil"/>
              <w:left w:val="single" w:sz="8" w:space="0" w:color="auto"/>
              <w:bottom w:val="single" w:sz="8" w:space="0" w:color="404040"/>
              <w:right w:val="single" w:sz="8" w:space="0" w:color="auto"/>
            </w:tcBorders>
            <w:shd w:val="clear" w:color="000000" w:fill="FFFFFF"/>
            <w:noWrap/>
            <w:vAlign w:val="center"/>
            <w:hideMark/>
          </w:tcPr>
          <w:p w14:paraId="2C9AEC05"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Fitzroy</w:t>
            </w:r>
          </w:p>
        </w:tc>
        <w:tc>
          <w:tcPr>
            <w:tcW w:w="731" w:type="pct"/>
            <w:tcBorders>
              <w:top w:val="nil"/>
              <w:left w:val="nil"/>
              <w:bottom w:val="single" w:sz="8" w:space="0" w:color="404040"/>
              <w:right w:val="nil"/>
            </w:tcBorders>
            <w:shd w:val="clear" w:color="000000" w:fill="FFFFFF"/>
            <w:vAlign w:val="center"/>
            <w:hideMark/>
          </w:tcPr>
          <w:p w14:paraId="4E5D3C2E"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North Keppel Island</w:t>
            </w:r>
          </w:p>
        </w:tc>
        <w:tc>
          <w:tcPr>
            <w:tcW w:w="530" w:type="pct"/>
            <w:tcBorders>
              <w:top w:val="nil"/>
              <w:left w:val="nil"/>
              <w:bottom w:val="single" w:sz="8" w:space="0" w:color="404040"/>
              <w:right w:val="nil"/>
            </w:tcBorders>
            <w:shd w:val="clear" w:color="000000" w:fill="FFFFFF"/>
            <w:noWrap/>
            <w:vAlign w:val="center"/>
            <w:hideMark/>
          </w:tcPr>
          <w:p w14:paraId="69DA8BAC"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7</w:t>
            </w:r>
          </w:p>
        </w:tc>
        <w:tc>
          <w:tcPr>
            <w:tcW w:w="731" w:type="pct"/>
            <w:tcBorders>
              <w:top w:val="nil"/>
              <w:left w:val="nil"/>
              <w:bottom w:val="single" w:sz="8" w:space="0" w:color="404040"/>
              <w:right w:val="nil"/>
            </w:tcBorders>
            <w:shd w:val="clear" w:color="000000" w:fill="FFFFFF"/>
            <w:noWrap/>
            <w:vAlign w:val="center"/>
            <w:hideMark/>
          </w:tcPr>
          <w:p w14:paraId="002D32F5"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7</w:t>
            </w:r>
          </w:p>
        </w:tc>
        <w:tc>
          <w:tcPr>
            <w:tcW w:w="2409" w:type="pct"/>
            <w:tcBorders>
              <w:top w:val="nil"/>
              <w:left w:val="nil"/>
              <w:bottom w:val="single" w:sz="8" w:space="0" w:color="404040"/>
              <w:right w:val="single" w:sz="8" w:space="0" w:color="404040"/>
            </w:tcBorders>
            <w:shd w:val="clear" w:color="000000" w:fill="FFFFFF"/>
            <w:vAlign w:val="center"/>
            <w:hideMark/>
          </w:tcPr>
          <w:p w14:paraId="6108A2F0" w14:textId="77777777"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Delayed and long deployments led to Sept/Oct and February samplers not being sent. Some kits deployed out of sequence without causing any problems, due to clear deployment info.</w:t>
            </w:r>
          </w:p>
        </w:tc>
      </w:tr>
      <w:tr w:rsidR="005218F5" w:rsidRPr="00017BC5" w14:paraId="4979DCB1" w14:textId="77777777" w:rsidTr="00503D38">
        <w:trPr>
          <w:trHeight w:val="151"/>
        </w:trPr>
        <w:tc>
          <w:tcPr>
            <w:tcW w:w="599" w:type="pct"/>
            <w:tcBorders>
              <w:top w:val="nil"/>
              <w:left w:val="single" w:sz="8" w:space="0" w:color="auto"/>
              <w:bottom w:val="single" w:sz="8" w:space="0" w:color="auto"/>
              <w:right w:val="single" w:sz="8" w:space="0" w:color="auto"/>
            </w:tcBorders>
            <w:shd w:val="clear" w:color="000000" w:fill="FFFFFF"/>
            <w:vAlign w:val="center"/>
            <w:hideMark/>
          </w:tcPr>
          <w:p w14:paraId="2D0AD3BC"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 xml:space="preserve">TOTAL </w:t>
            </w:r>
            <w:r w:rsidRPr="00503D38">
              <w:rPr>
                <w:rFonts w:ascii="Calibri" w:eastAsia="Times New Roman" w:hAnsi="Calibri" w:cs="Calibri"/>
                <w:b/>
                <w:bCs/>
                <w:color w:val="000000"/>
                <w:sz w:val="20"/>
                <w:szCs w:val="32"/>
                <w:lang w:val="en-AU" w:eastAsia="en-AU" w:bidi="ar-SA"/>
              </w:rPr>
              <w:br/>
              <w:t>2017-18</w:t>
            </w:r>
          </w:p>
        </w:tc>
        <w:tc>
          <w:tcPr>
            <w:tcW w:w="731" w:type="pct"/>
            <w:tcBorders>
              <w:top w:val="nil"/>
              <w:left w:val="nil"/>
              <w:bottom w:val="single" w:sz="8" w:space="0" w:color="404040"/>
              <w:right w:val="nil"/>
            </w:tcBorders>
            <w:shd w:val="clear" w:color="000000" w:fill="FFFFFF"/>
            <w:vAlign w:val="center"/>
            <w:hideMark/>
          </w:tcPr>
          <w:p w14:paraId="1369984F"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11 sites</w:t>
            </w:r>
          </w:p>
        </w:tc>
        <w:tc>
          <w:tcPr>
            <w:tcW w:w="530" w:type="pct"/>
            <w:tcBorders>
              <w:top w:val="nil"/>
              <w:left w:val="nil"/>
              <w:bottom w:val="single" w:sz="8" w:space="0" w:color="404040"/>
              <w:right w:val="nil"/>
            </w:tcBorders>
            <w:shd w:val="clear" w:color="000000" w:fill="FFFFFF"/>
            <w:noWrap/>
            <w:vAlign w:val="center"/>
            <w:hideMark/>
          </w:tcPr>
          <w:p w14:paraId="5504CD57"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89 (27)</w:t>
            </w:r>
          </w:p>
        </w:tc>
        <w:tc>
          <w:tcPr>
            <w:tcW w:w="731" w:type="pct"/>
            <w:tcBorders>
              <w:top w:val="nil"/>
              <w:left w:val="nil"/>
              <w:bottom w:val="single" w:sz="8" w:space="0" w:color="404040"/>
              <w:right w:val="nil"/>
            </w:tcBorders>
            <w:shd w:val="clear" w:color="000000" w:fill="FFFFFF"/>
            <w:noWrap/>
            <w:vAlign w:val="center"/>
            <w:hideMark/>
          </w:tcPr>
          <w:p w14:paraId="344656C0"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67 (13)</w:t>
            </w:r>
          </w:p>
        </w:tc>
        <w:tc>
          <w:tcPr>
            <w:tcW w:w="2409" w:type="pct"/>
            <w:tcBorders>
              <w:top w:val="nil"/>
              <w:left w:val="nil"/>
              <w:bottom w:val="single" w:sz="8" w:space="0" w:color="404040"/>
              <w:right w:val="single" w:sz="8" w:space="0" w:color="404040"/>
            </w:tcBorders>
            <w:shd w:val="clear" w:color="000000" w:fill="FFFFFF"/>
            <w:vAlign w:val="center"/>
            <w:hideMark/>
          </w:tcPr>
          <w:p w14:paraId="097ADCEB" w14:textId="77777777"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2 PDMS cages returned but not analysed (Repulse Bay)  not included in total PDMS returned/analysed (in brackets).</w:t>
            </w:r>
          </w:p>
        </w:tc>
      </w:tr>
      <w:tr w:rsidR="005218F5" w:rsidRPr="00017BC5" w14:paraId="6258DF7C" w14:textId="77777777" w:rsidTr="00503D38">
        <w:trPr>
          <w:trHeight w:val="75"/>
        </w:trPr>
        <w:tc>
          <w:tcPr>
            <w:tcW w:w="599" w:type="pct"/>
            <w:tcBorders>
              <w:top w:val="nil"/>
              <w:left w:val="single" w:sz="8" w:space="0" w:color="auto"/>
              <w:bottom w:val="nil"/>
              <w:right w:val="single" w:sz="8" w:space="0" w:color="auto"/>
            </w:tcBorders>
            <w:shd w:val="clear" w:color="000000" w:fill="FFFFFF"/>
            <w:noWrap/>
            <w:vAlign w:val="center"/>
            <w:hideMark/>
          </w:tcPr>
          <w:p w14:paraId="63144A6A"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 </w:t>
            </w:r>
          </w:p>
        </w:tc>
        <w:tc>
          <w:tcPr>
            <w:tcW w:w="731" w:type="pct"/>
            <w:tcBorders>
              <w:top w:val="nil"/>
              <w:left w:val="nil"/>
              <w:bottom w:val="nil"/>
              <w:right w:val="nil"/>
            </w:tcBorders>
            <w:shd w:val="clear" w:color="000000" w:fill="FFFFFF"/>
            <w:vAlign w:val="center"/>
            <w:hideMark/>
          </w:tcPr>
          <w:p w14:paraId="1C77B5BA"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 </w:t>
            </w:r>
          </w:p>
        </w:tc>
        <w:tc>
          <w:tcPr>
            <w:tcW w:w="530" w:type="pct"/>
            <w:tcBorders>
              <w:top w:val="nil"/>
              <w:left w:val="nil"/>
              <w:bottom w:val="nil"/>
              <w:right w:val="nil"/>
            </w:tcBorders>
            <w:shd w:val="clear" w:color="000000" w:fill="FFFFFF"/>
            <w:noWrap/>
            <w:vAlign w:val="center"/>
            <w:hideMark/>
          </w:tcPr>
          <w:p w14:paraId="378365A8"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 </w:t>
            </w:r>
          </w:p>
        </w:tc>
        <w:tc>
          <w:tcPr>
            <w:tcW w:w="731" w:type="pct"/>
            <w:tcBorders>
              <w:top w:val="nil"/>
              <w:left w:val="nil"/>
              <w:bottom w:val="nil"/>
              <w:right w:val="nil"/>
            </w:tcBorders>
            <w:shd w:val="clear" w:color="000000" w:fill="FFFFFF"/>
            <w:noWrap/>
            <w:vAlign w:val="center"/>
            <w:hideMark/>
          </w:tcPr>
          <w:p w14:paraId="46DFA3A4" w14:textId="77777777" w:rsidR="005218F5" w:rsidRPr="00503D38" w:rsidRDefault="005218F5" w:rsidP="002439C8">
            <w:pPr>
              <w:jc w:val="left"/>
              <w:rPr>
                <w:rFonts w:ascii="Calibri" w:eastAsia="Times New Roman" w:hAnsi="Calibri" w:cs="Calibri"/>
                <w:color w:val="000000"/>
                <w:sz w:val="20"/>
                <w:szCs w:val="32"/>
                <w:lang w:val="en-AU" w:eastAsia="en-AU" w:bidi="ar-SA"/>
              </w:rPr>
            </w:pPr>
            <w:r w:rsidRPr="00503D38">
              <w:rPr>
                <w:rFonts w:ascii="Calibri" w:eastAsia="Times New Roman" w:hAnsi="Calibri" w:cs="Calibri"/>
                <w:color w:val="000000"/>
                <w:sz w:val="20"/>
                <w:szCs w:val="32"/>
                <w:lang w:val="en-AU" w:eastAsia="en-AU" w:bidi="ar-SA"/>
              </w:rPr>
              <w:t> </w:t>
            </w:r>
          </w:p>
        </w:tc>
        <w:tc>
          <w:tcPr>
            <w:tcW w:w="2409" w:type="pct"/>
            <w:tcBorders>
              <w:top w:val="nil"/>
              <w:left w:val="nil"/>
              <w:bottom w:val="nil"/>
              <w:right w:val="single" w:sz="8" w:space="0" w:color="404040"/>
            </w:tcBorders>
            <w:shd w:val="clear" w:color="000000" w:fill="FFFFFF"/>
            <w:vAlign w:val="center"/>
            <w:hideMark/>
          </w:tcPr>
          <w:p w14:paraId="0C959A9B" w14:textId="77777777"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 </w:t>
            </w:r>
          </w:p>
        </w:tc>
      </w:tr>
      <w:tr w:rsidR="005218F5" w:rsidRPr="00017BC5" w14:paraId="7F6E4942" w14:textId="77777777" w:rsidTr="00503D38">
        <w:trPr>
          <w:trHeight w:val="528"/>
        </w:trPr>
        <w:tc>
          <w:tcPr>
            <w:tcW w:w="599" w:type="pct"/>
            <w:tcBorders>
              <w:top w:val="single" w:sz="8" w:space="0" w:color="auto"/>
              <w:left w:val="single" w:sz="8" w:space="0" w:color="auto"/>
              <w:bottom w:val="single" w:sz="8" w:space="0" w:color="auto"/>
              <w:right w:val="single" w:sz="8" w:space="0" w:color="auto"/>
            </w:tcBorders>
            <w:shd w:val="clear" w:color="000000" w:fill="F2F2F2"/>
            <w:vAlign w:val="center"/>
            <w:hideMark/>
          </w:tcPr>
          <w:p w14:paraId="06827436"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 xml:space="preserve">TOTAL </w:t>
            </w:r>
            <w:r w:rsidRPr="00503D38">
              <w:rPr>
                <w:rFonts w:ascii="Calibri" w:eastAsia="Times New Roman" w:hAnsi="Calibri" w:cs="Calibri"/>
                <w:b/>
                <w:bCs/>
                <w:color w:val="000000"/>
                <w:sz w:val="20"/>
                <w:szCs w:val="32"/>
                <w:lang w:val="en-AU" w:eastAsia="en-AU" w:bidi="ar-SA"/>
              </w:rPr>
              <w:br/>
              <w:t>2016-17</w:t>
            </w:r>
          </w:p>
        </w:tc>
        <w:tc>
          <w:tcPr>
            <w:tcW w:w="731" w:type="pct"/>
            <w:tcBorders>
              <w:top w:val="single" w:sz="8" w:space="0" w:color="auto"/>
              <w:left w:val="nil"/>
              <w:bottom w:val="single" w:sz="8" w:space="0" w:color="auto"/>
              <w:right w:val="nil"/>
            </w:tcBorders>
            <w:shd w:val="clear" w:color="000000" w:fill="F2F2F2"/>
            <w:vAlign w:val="center"/>
            <w:hideMark/>
          </w:tcPr>
          <w:p w14:paraId="55B0FF20"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11 sites</w:t>
            </w:r>
          </w:p>
        </w:tc>
        <w:tc>
          <w:tcPr>
            <w:tcW w:w="530" w:type="pct"/>
            <w:tcBorders>
              <w:top w:val="single" w:sz="8" w:space="0" w:color="auto"/>
              <w:left w:val="nil"/>
              <w:bottom w:val="single" w:sz="8" w:space="0" w:color="auto"/>
              <w:right w:val="nil"/>
            </w:tcBorders>
            <w:shd w:val="clear" w:color="000000" w:fill="F2F2F2"/>
            <w:noWrap/>
            <w:vAlign w:val="center"/>
            <w:hideMark/>
          </w:tcPr>
          <w:p w14:paraId="023861B8"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84 (24)</w:t>
            </w:r>
          </w:p>
        </w:tc>
        <w:tc>
          <w:tcPr>
            <w:tcW w:w="731" w:type="pct"/>
            <w:tcBorders>
              <w:top w:val="single" w:sz="8" w:space="0" w:color="auto"/>
              <w:left w:val="nil"/>
              <w:bottom w:val="single" w:sz="8" w:space="0" w:color="auto"/>
              <w:right w:val="nil"/>
            </w:tcBorders>
            <w:shd w:val="clear" w:color="000000" w:fill="F2F2F2"/>
            <w:noWrap/>
            <w:vAlign w:val="center"/>
            <w:hideMark/>
          </w:tcPr>
          <w:p w14:paraId="48098352"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63 (14)</w:t>
            </w:r>
          </w:p>
        </w:tc>
        <w:tc>
          <w:tcPr>
            <w:tcW w:w="2409" w:type="pct"/>
            <w:tcBorders>
              <w:top w:val="single" w:sz="8" w:space="0" w:color="auto"/>
              <w:left w:val="nil"/>
              <w:bottom w:val="single" w:sz="8" w:space="0" w:color="auto"/>
              <w:right w:val="single" w:sz="8" w:space="0" w:color="auto"/>
            </w:tcBorders>
            <w:shd w:val="clear" w:color="000000" w:fill="F2F2F2"/>
            <w:vAlign w:val="center"/>
            <w:hideMark/>
          </w:tcPr>
          <w:p w14:paraId="2FFFB277" w14:textId="77777777" w:rsidR="005218F5" w:rsidRPr="00503D38" w:rsidRDefault="005218F5" w:rsidP="002439C8">
            <w:pPr>
              <w:jc w:val="left"/>
              <w:rPr>
                <w:rFonts w:ascii="Calibri" w:eastAsia="Times New Roman" w:hAnsi="Calibri" w:cs="Calibri"/>
                <w:sz w:val="20"/>
                <w:szCs w:val="32"/>
                <w:lang w:val="en-AU" w:eastAsia="en-AU" w:bidi="ar-SA"/>
              </w:rPr>
            </w:pPr>
            <w:r w:rsidRPr="00503D38">
              <w:rPr>
                <w:rFonts w:ascii="Calibri" w:eastAsia="Times New Roman" w:hAnsi="Calibri" w:cs="Calibri"/>
                <w:sz w:val="20"/>
                <w:szCs w:val="32"/>
                <w:lang w:val="en-AU" w:eastAsia="en-AU" w:bidi="ar-SA"/>
              </w:rPr>
              <w:t> </w:t>
            </w:r>
          </w:p>
        </w:tc>
      </w:tr>
      <w:tr w:rsidR="005218F5" w:rsidRPr="00017BC5" w14:paraId="78D8D1C7" w14:textId="77777777" w:rsidTr="00017BC5">
        <w:trPr>
          <w:trHeight w:val="315"/>
        </w:trPr>
        <w:tc>
          <w:tcPr>
            <w:tcW w:w="599" w:type="pct"/>
            <w:tcBorders>
              <w:top w:val="nil"/>
              <w:left w:val="nil"/>
              <w:bottom w:val="nil"/>
              <w:right w:val="nil"/>
            </w:tcBorders>
            <w:shd w:val="clear" w:color="000000" w:fill="FFFFFF"/>
            <w:noWrap/>
            <w:vAlign w:val="bottom"/>
            <w:hideMark/>
          </w:tcPr>
          <w:p w14:paraId="44FD5480" w14:textId="77777777" w:rsidR="005218F5" w:rsidRPr="00503D38" w:rsidRDefault="005218F5" w:rsidP="002439C8">
            <w:pPr>
              <w:jc w:val="left"/>
              <w:rPr>
                <w:rFonts w:ascii="Calibri" w:eastAsia="Times New Roman" w:hAnsi="Calibri" w:cs="Calibri"/>
                <w:color w:val="000000"/>
                <w:sz w:val="20"/>
                <w:lang w:val="en-AU" w:eastAsia="en-AU" w:bidi="ar-SA"/>
              </w:rPr>
            </w:pPr>
            <w:r w:rsidRPr="00503D38">
              <w:rPr>
                <w:rFonts w:ascii="Calibri" w:eastAsia="Times New Roman" w:hAnsi="Calibri" w:cs="Calibri"/>
                <w:color w:val="000000"/>
                <w:sz w:val="20"/>
                <w:lang w:val="en-AU" w:eastAsia="en-AU" w:bidi="ar-SA"/>
              </w:rPr>
              <w:t> </w:t>
            </w:r>
          </w:p>
        </w:tc>
        <w:tc>
          <w:tcPr>
            <w:tcW w:w="731" w:type="pct"/>
            <w:tcBorders>
              <w:top w:val="nil"/>
              <w:left w:val="nil"/>
              <w:bottom w:val="nil"/>
              <w:right w:val="nil"/>
            </w:tcBorders>
            <w:shd w:val="clear" w:color="000000" w:fill="FFFFFF"/>
            <w:vAlign w:val="bottom"/>
            <w:hideMark/>
          </w:tcPr>
          <w:p w14:paraId="459F7F27" w14:textId="77777777" w:rsidR="005218F5" w:rsidRPr="00503D38" w:rsidRDefault="005218F5" w:rsidP="002439C8">
            <w:pPr>
              <w:jc w:val="left"/>
              <w:rPr>
                <w:rFonts w:ascii="Calibri" w:eastAsia="Times New Roman" w:hAnsi="Calibri" w:cs="Calibri"/>
                <w:color w:val="000000"/>
                <w:sz w:val="20"/>
                <w:lang w:val="en-AU" w:eastAsia="en-AU" w:bidi="ar-SA"/>
              </w:rPr>
            </w:pPr>
            <w:r w:rsidRPr="00503D38">
              <w:rPr>
                <w:rFonts w:ascii="Calibri" w:eastAsia="Times New Roman" w:hAnsi="Calibri" w:cs="Calibri"/>
                <w:color w:val="000000"/>
                <w:sz w:val="20"/>
                <w:lang w:val="en-AU" w:eastAsia="en-AU" w:bidi="ar-SA"/>
              </w:rPr>
              <w:t> </w:t>
            </w:r>
          </w:p>
        </w:tc>
        <w:tc>
          <w:tcPr>
            <w:tcW w:w="530" w:type="pct"/>
            <w:tcBorders>
              <w:top w:val="nil"/>
              <w:left w:val="nil"/>
              <w:bottom w:val="nil"/>
              <w:right w:val="nil"/>
            </w:tcBorders>
            <w:shd w:val="clear" w:color="000000" w:fill="FFFFFF"/>
            <w:noWrap/>
            <w:vAlign w:val="bottom"/>
            <w:hideMark/>
          </w:tcPr>
          <w:p w14:paraId="12DDCE0B" w14:textId="77777777" w:rsidR="005218F5" w:rsidRPr="00503D38" w:rsidRDefault="005218F5" w:rsidP="002439C8">
            <w:pPr>
              <w:jc w:val="left"/>
              <w:rPr>
                <w:rFonts w:ascii="Calibri" w:eastAsia="Times New Roman" w:hAnsi="Calibri" w:cs="Calibri"/>
                <w:color w:val="000000"/>
                <w:sz w:val="20"/>
                <w:lang w:val="en-AU" w:eastAsia="en-AU" w:bidi="ar-SA"/>
              </w:rPr>
            </w:pPr>
            <w:r w:rsidRPr="00503D38">
              <w:rPr>
                <w:rFonts w:ascii="Calibri" w:eastAsia="Times New Roman" w:hAnsi="Calibri" w:cs="Calibri"/>
                <w:color w:val="000000"/>
                <w:sz w:val="20"/>
                <w:lang w:val="en-AU" w:eastAsia="en-AU" w:bidi="ar-SA"/>
              </w:rPr>
              <w:t> </w:t>
            </w:r>
          </w:p>
        </w:tc>
        <w:tc>
          <w:tcPr>
            <w:tcW w:w="731" w:type="pct"/>
            <w:tcBorders>
              <w:top w:val="nil"/>
              <w:left w:val="nil"/>
              <w:bottom w:val="nil"/>
              <w:right w:val="nil"/>
            </w:tcBorders>
            <w:shd w:val="clear" w:color="000000" w:fill="FFFFFF"/>
            <w:noWrap/>
            <w:vAlign w:val="bottom"/>
            <w:hideMark/>
          </w:tcPr>
          <w:p w14:paraId="62362B6D" w14:textId="77777777" w:rsidR="005218F5" w:rsidRPr="00503D38" w:rsidRDefault="005218F5" w:rsidP="002439C8">
            <w:pPr>
              <w:jc w:val="left"/>
              <w:rPr>
                <w:rFonts w:ascii="Calibri" w:eastAsia="Times New Roman" w:hAnsi="Calibri" w:cs="Calibri"/>
                <w:color w:val="000000"/>
                <w:sz w:val="20"/>
                <w:lang w:val="en-AU" w:eastAsia="en-AU" w:bidi="ar-SA"/>
              </w:rPr>
            </w:pPr>
            <w:r w:rsidRPr="00503D38">
              <w:rPr>
                <w:rFonts w:ascii="Calibri" w:eastAsia="Times New Roman" w:hAnsi="Calibri" w:cs="Calibri"/>
                <w:color w:val="000000"/>
                <w:sz w:val="20"/>
                <w:lang w:val="en-AU" w:eastAsia="en-AU" w:bidi="ar-SA"/>
              </w:rPr>
              <w:t> </w:t>
            </w:r>
          </w:p>
        </w:tc>
        <w:tc>
          <w:tcPr>
            <w:tcW w:w="2409" w:type="pct"/>
            <w:tcBorders>
              <w:top w:val="nil"/>
              <w:left w:val="nil"/>
              <w:bottom w:val="nil"/>
              <w:right w:val="nil"/>
            </w:tcBorders>
            <w:shd w:val="clear" w:color="000000" w:fill="FFFFFF"/>
            <w:noWrap/>
            <w:vAlign w:val="bottom"/>
            <w:hideMark/>
          </w:tcPr>
          <w:p w14:paraId="532CCD9D" w14:textId="77777777" w:rsidR="005218F5" w:rsidRPr="00503D38" w:rsidRDefault="005218F5" w:rsidP="002439C8">
            <w:pPr>
              <w:jc w:val="left"/>
              <w:rPr>
                <w:rFonts w:ascii="Calibri" w:eastAsia="Times New Roman" w:hAnsi="Calibri" w:cs="Calibri"/>
                <w:sz w:val="20"/>
                <w:lang w:val="en-AU" w:eastAsia="en-AU" w:bidi="ar-SA"/>
              </w:rPr>
            </w:pPr>
            <w:r w:rsidRPr="00503D38">
              <w:rPr>
                <w:rFonts w:ascii="Calibri" w:eastAsia="Times New Roman" w:hAnsi="Calibri" w:cs="Calibri"/>
                <w:sz w:val="20"/>
                <w:lang w:val="en-AU" w:eastAsia="en-AU" w:bidi="ar-SA"/>
              </w:rPr>
              <w:t> </w:t>
            </w:r>
          </w:p>
        </w:tc>
      </w:tr>
      <w:tr w:rsidR="005218F5" w:rsidRPr="00017BC5" w14:paraId="7BE6ED2D" w14:textId="77777777" w:rsidTr="00503D38">
        <w:trPr>
          <w:trHeight w:val="263"/>
        </w:trPr>
        <w:tc>
          <w:tcPr>
            <w:tcW w:w="599" w:type="pct"/>
            <w:tcBorders>
              <w:top w:val="single" w:sz="8" w:space="0" w:color="auto"/>
              <w:left w:val="single" w:sz="8" w:space="0" w:color="auto"/>
              <w:bottom w:val="single" w:sz="8" w:space="0" w:color="auto"/>
              <w:right w:val="single" w:sz="8" w:space="0" w:color="auto"/>
            </w:tcBorders>
            <w:shd w:val="clear" w:color="000000" w:fill="F2F2F2"/>
            <w:vAlign w:val="center"/>
            <w:hideMark/>
          </w:tcPr>
          <w:p w14:paraId="30F4C604"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 xml:space="preserve">TOTAL </w:t>
            </w:r>
            <w:r w:rsidRPr="00503D38">
              <w:rPr>
                <w:rFonts w:ascii="Calibri" w:eastAsia="Times New Roman" w:hAnsi="Calibri" w:cs="Calibri"/>
                <w:b/>
                <w:bCs/>
                <w:color w:val="000000"/>
                <w:sz w:val="20"/>
                <w:szCs w:val="32"/>
                <w:lang w:val="en-AU" w:eastAsia="en-AU" w:bidi="ar-SA"/>
              </w:rPr>
              <w:br/>
              <w:t>2015-16</w:t>
            </w:r>
          </w:p>
        </w:tc>
        <w:tc>
          <w:tcPr>
            <w:tcW w:w="731" w:type="pct"/>
            <w:tcBorders>
              <w:top w:val="single" w:sz="8" w:space="0" w:color="auto"/>
              <w:left w:val="nil"/>
              <w:bottom w:val="single" w:sz="8" w:space="0" w:color="auto"/>
              <w:right w:val="nil"/>
            </w:tcBorders>
            <w:shd w:val="clear" w:color="000000" w:fill="F2F2F2"/>
            <w:vAlign w:val="center"/>
            <w:hideMark/>
          </w:tcPr>
          <w:p w14:paraId="395D51B5"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11 sites</w:t>
            </w:r>
          </w:p>
        </w:tc>
        <w:tc>
          <w:tcPr>
            <w:tcW w:w="530" w:type="pct"/>
            <w:tcBorders>
              <w:top w:val="single" w:sz="8" w:space="0" w:color="auto"/>
              <w:left w:val="nil"/>
              <w:bottom w:val="single" w:sz="8" w:space="0" w:color="auto"/>
              <w:right w:val="nil"/>
            </w:tcBorders>
            <w:shd w:val="clear" w:color="000000" w:fill="F2F2F2"/>
            <w:noWrap/>
            <w:vAlign w:val="center"/>
            <w:hideMark/>
          </w:tcPr>
          <w:p w14:paraId="4C1466D1"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93 (21)</w:t>
            </w:r>
          </w:p>
        </w:tc>
        <w:tc>
          <w:tcPr>
            <w:tcW w:w="731" w:type="pct"/>
            <w:tcBorders>
              <w:top w:val="single" w:sz="8" w:space="0" w:color="auto"/>
              <w:left w:val="nil"/>
              <w:bottom w:val="single" w:sz="8" w:space="0" w:color="auto"/>
              <w:right w:val="nil"/>
            </w:tcBorders>
            <w:shd w:val="clear" w:color="000000" w:fill="F2F2F2"/>
            <w:noWrap/>
            <w:vAlign w:val="center"/>
            <w:hideMark/>
          </w:tcPr>
          <w:p w14:paraId="45B94681" w14:textId="77777777" w:rsidR="005218F5" w:rsidRPr="00503D38" w:rsidRDefault="005218F5" w:rsidP="002439C8">
            <w:pPr>
              <w:jc w:val="left"/>
              <w:rPr>
                <w:rFonts w:ascii="Calibri" w:eastAsia="Times New Roman" w:hAnsi="Calibri" w:cs="Calibri"/>
                <w:b/>
                <w:bCs/>
                <w:color w:val="000000"/>
                <w:sz w:val="20"/>
                <w:szCs w:val="32"/>
                <w:lang w:val="en-AU" w:eastAsia="en-AU" w:bidi="ar-SA"/>
              </w:rPr>
            </w:pPr>
            <w:r w:rsidRPr="00503D38">
              <w:rPr>
                <w:rFonts w:ascii="Calibri" w:eastAsia="Times New Roman" w:hAnsi="Calibri" w:cs="Calibri"/>
                <w:b/>
                <w:bCs/>
                <w:color w:val="000000"/>
                <w:sz w:val="20"/>
                <w:szCs w:val="32"/>
                <w:lang w:val="en-AU" w:eastAsia="en-AU" w:bidi="ar-SA"/>
              </w:rPr>
              <w:t>68 (13)</w:t>
            </w:r>
          </w:p>
        </w:tc>
        <w:tc>
          <w:tcPr>
            <w:tcW w:w="2409" w:type="pct"/>
            <w:tcBorders>
              <w:top w:val="single" w:sz="8" w:space="0" w:color="auto"/>
              <w:left w:val="nil"/>
              <w:bottom w:val="single" w:sz="8" w:space="0" w:color="auto"/>
              <w:right w:val="single" w:sz="8" w:space="0" w:color="auto"/>
            </w:tcBorders>
            <w:shd w:val="clear" w:color="000000" w:fill="F2F2F2"/>
            <w:vAlign w:val="center"/>
            <w:hideMark/>
          </w:tcPr>
          <w:p w14:paraId="6FD28FE3" w14:textId="77777777" w:rsidR="005218F5" w:rsidRPr="00503D38" w:rsidRDefault="005218F5" w:rsidP="002439C8">
            <w:pPr>
              <w:jc w:val="left"/>
              <w:rPr>
                <w:rFonts w:eastAsia="Times New Roman" w:cs="Arial"/>
                <w:sz w:val="20"/>
                <w:szCs w:val="32"/>
                <w:lang w:val="en-AU" w:eastAsia="en-AU" w:bidi="ar-SA"/>
              </w:rPr>
            </w:pPr>
            <w:r w:rsidRPr="00503D38">
              <w:rPr>
                <w:rFonts w:eastAsia="Times New Roman" w:cs="Arial"/>
                <w:sz w:val="20"/>
                <w:szCs w:val="32"/>
                <w:lang w:val="en-AU" w:eastAsia="en-AU" w:bidi="ar-SA"/>
              </w:rPr>
              <w:t> </w:t>
            </w:r>
          </w:p>
        </w:tc>
      </w:tr>
    </w:tbl>
    <w:p w14:paraId="6525BEF9" w14:textId="77777777" w:rsidR="0021135E" w:rsidRPr="003177C7" w:rsidRDefault="0021135E" w:rsidP="002439C8">
      <w:pPr>
        <w:jc w:val="left"/>
        <w:rPr>
          <w:sz w:val="12"/>
        </w:rPr>
      </w:pPr>
    </w:p>
    <w:p w14:paraId="741C3863" w14:textId="77777777" w:rsidR="0021135E" w:rsidRPr="006232C0" w:rsidRDefault="0021135E" w:rsidP="002439C8">
      <w:pPr>
        <w:jc w:val="left"/>
        <w:rPr>
          <w:b/>
          <w:sz w:val="12"/>
        </w:rPr>
      </w:pPr>
    </w:p>
    <w:p w14:paraId="79AC1750" w14:textId="77777777" w:rsidR="0021135E" w:rsidRDefault="0021135E" w:rsidP="002439C8">
      <w:pPr>
        <w:jc w:val="left"/>
        <w:sectPr w:rsidR="0021135E" w:rsidSect="009E5D22">
          <w:type w:val="continuous"/>
          <w:pgSz w:w="11907" w:h="16839" w:code="9"/>
          <w:pgMar w:top="1440" w:right="1440" w:bottom="1440" w:left="1440" w:header="709" w:footer="709" w:gutter="0"/>
          <w:cols w:space="708"/>
          <w:docGrid w:linePitch="360"/>
        </w:sectPr>
      </w:pPr>
    </w:p>
    <w:p w14:paraId="784F6DA8" w14:textId="77777777" w:rsidR="006843E8" w:rsidRPr="00CE1BA0" w:rsidRDefault="006843E8" w:rsidP="006843E8">
      <w:bookmarkStart w:id="736" w:name="_Toc461457792"/>
      <w:bookmarkStart w:id="737" w:name="_Ref480728528"/>
      <w:bookmarkStart w:id="738" w:name="_Ref480739727"/>
      <w:bookmarkStart w:id="739" w:name="_Ref480741812"/>
      <w:bookmarkStart w:id="740" w:name="_Ref480752451"/>
      <w:bookmarkEnd w:id="735"/>
    </w:p>
    <w:p w14:paraId="1A2EB42E" w14:textId="5CA27918" w:rsidR="006843E8" w:rsidRPr="00840E64" w:rsidRDefault="006843E8" w:rsidP="006843E8">
      <w:pPr>
        <w:pStyle w:val="Caption"/>
        <w:spacing w:after="120"/>
        <w:rPr>
          <w:b w:val="0"/>
        </w:rPr>
      </w:pPr>
      <w:bookmarkStart w:id="741" w:name="_Toc527468636"/>
      <w:bookmarkStart w:id="742" w:name="_Toc5285161"/>
      <w:bookmarkStart w:id="743" w:name="_Toc15283233"/>
      <w:r>
        <w:t xml:space="preserve">Table </w:t>
      </w:r>
      <w:r>
        <w:fldChar w:fldCharType="begin"/>
      </w:r>
      <w:r>
        <w:instrText xml:space="preserve"> STYLEREF 7 \s </w:instrText>
      </w:r>
      <w:r>
        <w:fldChar w:fldCharType="separate"/>
      </w:r>
      <w:r>
        <w:rPr>
          <w:noProof/>
        </w:rPr>
        <w:t>F</w:t>
      </w:r>
      <w:r>
        <w:fldChar w:fldCharType="end"/>
      </w:r>
      <w:r>
        <w:noBreakHyphen/>
      </w:r>
      <w:r>
        <w:fldChar w:fldCharType="begin"/>
      </w:r>
      <w:r>
        <w:instrText xml:space="preserve"> SEQ Table_Apx \* ARABIC \s 7 </w:instrText>
      </w:r>
      <w:r>
        <w:fldChar w:fldCharType="separate"/>
      </w:r>
      <w:r>
        <w:rPr>
          <w:noProof/>
        </w:rPr>
        <w:t>2</w:t>
      </w:r>
      <w:r>
        <w:fldChar w:fldCharType="end"/>
      </w:r>
      <w:r>
        <w:rPr>
          <w:b w:val="0"/>
        </w:rPr>
        <w:t>:</w:t>
      </w:r>
      <w:r w:rsidRPr="00840E64">
        <w:rPr>
          <w:b w:val="0"/>
        </w:rPr>
        <w:t xml:space="preserve"> Low Isles, Wet Tropics region – </w:t>
      </w:r>
      <w:r>
        <w:rPr>
          <w:b w:val="0"/>
        </w:rPr>
        <w:t>Time integrated estimated c</w:t>
      </w:r>
      <w:r w:rsidRPr="00840E64">
        <w:rPr>
          <w:b w:val="0"/>
        </w:rPr>
        <w:t>oncentration</w:t>
      </w:r>
      <w:r>
        <w:rPr>
          <w:b w:val="0"/>
        </w:rPr>
        <w:t>s</w:t>
      </w:r>
      <w:r w:rsidRPr="00840E64">
        <w:rPr>
          <w:b w:val="0"/>
        </w:rPr>
        <w:t xml:space="preserve"> in water (</w:t>
      </w:r>
      <w:r w:rsidR="00C30A01" w:rsidRPr="00C30A01">
        <w:rPr>
          <w:b w:val="0"/>
        </w:rPr>
        <w:t> ng L</w:t>
      </w:r>
      <w:r w:rsidR="00C30A01" w:rsidRPr="00C30A01">
        <w:rPr>
          <w:b w:val="0"/>
          <w:vertAlign w:val="superscript"/>
        </w:rPr>
        <w:noBreakHyphen/>
        <w:t>1</w:t>
      </w:r>
      <w:r w:rsidRPr="00840E64">
        <w:rPr>
          <w:b w:val="0"/>
        </w:rPr>
        <w:t>)</w:t>
      </w:r>
      <w:bookmarkEnd w:id="741"/>
      <w:bookmarkEnd w:id="742"/>
      <w:bookmarkEnd w:id="743"/>
    </w:p>
    <w:p w14:paraId="0CC2FCCA" w14:textId="77777777" w:rsidR="006843E8" w:rsidRPr="002A20D5" w:rsidRDefault="006843E8" w:rsidP="006843E8">
      <w:pPr>
        <w:spacing w:line="276" w:lineRule="auto"/>
        <w:rPr>
          <w:lang w:val="en-AU" w:eastAsia="en-AU"/>
        </w:rPr>
      </w:pPr>
      <w:r w:rsidRPr="008E0289">
        <w:rPr>
          <w:noProof/>
          <w:lang w:val="en-AU" w:eastAsia="en-AU" w:bidi="ar-SA"/>
        </w:rPr>
        <w:drawing>
          <wp:inline distT="0" distB="0" distL="0" distR="0" wp14:anchorId="22586996" wp14:editId="34D76B05">
            <wp:extent cx="9778365" cy="4462516"/>
            <wp:effectExtent l="0" t="0" r="0" b="0"/>
            <wp:docPr id="1" name="Picture 1" descr="Individual and mixture results of passive samplers" title="Low Isles pesticide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9778365" cy="4462516"/>
                    </a:xfrm>
                    <a:prstGeom prst="rect">
                      <a:avLst/>
                    </a:prstGeom>
                    <a:noFill/>
                    <a:ln>
                      <a:noFill/>
                    </a:ln>
                  </pic:spPr>
                </pic:pic>
              </a:graphicData>
            </a:graphic>
          </wp:inline>
        </w:drawing>
      </w:r>
    </w:p>
    <w:p w14:paraId="2F688E13" w14:textId="77777777" w:rsidR="006843E8" w:rsidRPr="004351DE" w:rsidRDefault="006843E8" w:rsidP="006843E8">
      <w:pPr>
        <w:spacing w:line="276" w:lineRule="auto"/>
        <w:rPr>
          <w:i/>
          <w:sz w:val="18"/>
          <w:szCs w:val="18"/>
          <w:lang w:val="en-AU" w:eastAsia="en-AU"/>
        </w:rPr>
      </w:pPr>
    </w:p>
    <w:p w14:paraId="591F4DAF" w14:textId="77777777" w:rsidR="006843E8" w:rsidRDefault="006843E8" w:rsidP="006843E8">
      <w:pPr>
        <w:ind w:firstLine="357"/>
        <w:jc w:val="left"/>
        <w:rPr>
          <w:sz w:val="18"/>
          <w:szCs w:val="18"/>
          <w:lang w:val="en-AU" w:eastAsia="en-AU"/>
        </w:rPr>
      </w:pPr>
      <w:r>
        <w:rPr>
          <w:sz w:val="18"/>
          <w:szCs w:val="18"/>
          <w:lang w:val="en-AU" w:eastAsia="en-AU"/>
        </w:rPr>
        <w:br w:type="page"/>
      </w:r>
    </w:p>
    <w:p w14:paraId="20F42A29" w14:textId="57212D41" w:rsidR="006843E8" w:rsidRPr="00840E64" w:rsidRDefault="006843E8" w:rsidP="006843E8">
      <w:pPr>
        <w:pStyle w:val="Caption"/>
        <w:spacing w:after="120"/>
        <w:rPr>
          <w:b w:val="0"/>
        </w:rPr>
      </w:pPr>
      <w:bookmarkStart w:id="744" w:name="_Toc527468637"/>
      <w:bookmarkStart w:id="745" w:name="_Toc5285162"/>
      <w:bookmarkStart w:id="746" w:name="_Toc15283234"/>
      <w:r>
        <w:t xml:space="preserve">Table </w:t>
      </w:r>
      <w:r>
        <w:fldChar w:fldCharType="begin"/>
      </w:r>
      <w:r>
        <w:instrText xml:space="preserve"> STYLEREF 7 \s </w:instrText>
      </w:r>
      <w:r>
        <w:fldChar w:fldCharType="separate"/>
      </w:r>
      <w:r>
        <w:rPr>
          <w:noProof/>
        </w:rPr>
        <w:t>F</w:t>
      </w:r>
      <w:r>
        <w:fldChar w:fldCharType="end"/>
      </w:r>
      <w:r>
        <w:noBreakHyphen/>
      </w:r>
      <w:r>
        <w:fldChar w:fldCharType="begin"/>
      </w:r>
      <w:r>
        <w:instrText xml:space="preserve"> SEQ Table_Apx \* ARABIC \s 7 </w:instrText>
      </w:r>
      <w:r>
        <w:fldChar w:fldCharType="separate"/>
      </w:r>
      <w:r>
        <w:rPr>
          <w:noProof/>
        </w:rPr>
        <w:t>3</w:t>
      </w:r>
      <w:r>
        <w:fldChar w:fldCharType="end"/>
      </w:r>
      <w:r>
        <w:rPr>
          <w:b w:val="0"/>
        </w:rPr>
        <w:t>:</w:t>
      </w:r>
      <w:r w:rsidRPr="00840E64">
        <w:rPr>
          <w:b w:val="0"/>
        </w:rPr>
        <w:t xml:space="preserve"> </w:t>
      </w:r>
      <w:r>
        <w:rPr>
          <w:b w:val="0"/>
        </w:rPr>
        <w:t>High Island</w:t>
      </w:r>
      <w:r w:rsidRPr="00840E64">
        <w:rPr>
          <w:b w:val="0"/>
        </w:rPr>
        <w:t xml:space="preserve">, Wet Tropics region – </w:t>
      </w:r>
      <w:r>
        <w:rPr>
          <w:b w:val="0"/>
        </w:rPr>
        <w:t>Time integrated estimated c</w:t>
      </w:r>
      <w:r w:rsidRPr="00840E64">
        <w:rPr>
          <w:b w:val="0"/>
        </w:rPr>
        <w:t>oncentration</w:t>
      </w:r>
      <w:r>
        <w:rPr>
          <w:b w:val="0"/>
        </w:rPr>
        <w:t>s</w:t>
      </w:r>
      <w:r w:rsidRPr="00840E64">
        <w:rPr>
          <w:b w:val="0"/>
        </w:rPr>
        <w:t xml:space="preserve"> in water (</w:t>
      </w:r>
      <w:r w:rsidR="00C30A01" w:rsidRPr="00C30A01">
        <w:rPr>
          <w:b w:val="0"/>
        </w:rPr>
        <w:t> ng L</w:t>
      </w:r>
      <w:r w:rsidR="00C30A01" w:rsidRPr="00C30A01">
        <w:rPr>
          <w:b w:val="0"/>
          <w:vertAlign w:val="superscript"/>
        </w:rPr>
        <w:noBreakHyphen/>
        <w:t>1</w:t>
      </w:r>
      <w:r w:rsidRPr="00840E64">
        <w:rPr>
          <w:b w:val="0"/>
        </w:rPr>
        <w:t>)</w:t>
      </w:r>
      <w:bookmarkEnd w:id="744"/>
      <w:bookmarkEnd w:id="745"/>
      <w:bookmarkEnd w:id="746"/>
    </w:p>
    <w:p w14:paraId="52023CD6" w14:textId="77777777" w:rsidR="006843E8" w:rsidRDefault="006843E8" w:rsidP="006843E8">
      <w:pPr>
        <w:spacing w:line="276" w:lineRule="auto"/>
        <w:rPr>
          <w:lang w:val="en-AU" w:eastAsia="en-AU"/>
        </w:rPr>
      </w:pPr>
      <w:r w:rsidRPr="008E0289">
        <w:rPr>
          <w:noProof/>
          <w:lang w:val="en-AU" w:eastAsia="en-AU" w:bidi="ar-SA"/>
        </w:rPr>
        <w:drawing>
          <wp:inline distT="0" distB="0" distL="0" distR="0" wp14:anchorId="47317C40" wp14:editId="5078907F">
            <wp:extent cx="9778365" cy="5383228"/>
            <wp:effectExtent l="0" t="0" r="0" b="8255"/>
            <wp:docPr id="12" name="Picture 12" descr="Individual and mixture results of passive samplers" title="Hish Island pesticide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9778365" cy="5383228"/>
                    </a:xfrm>
                    <a:prstGeom prst="rect">
                      <a:avLst/>
                    </a:prstGeom>
                    <a:noFill/>
                    <a:ln>
                      <a:noFill/>
                    </a:ln>
                  </pic:spPr>
                </pic:pic>
              </a:graphicData>
            </a:graphic>
          </wp:inline>
        </w:drawing>
      </w:r>
    </w:p>
    <w:p w14:paraId="3AE4C4B2" w14:textId="77777777" w:rsidR="006843E8" w:rsidRPr="00333736" w:rsidRDefault="006843E8" w:rsidP="006843E8">
      <w:pPr>
        <w:spacing w:line="276" w:lineRule="auto"/>
        <w:ind w:firstLine="357"/>
        <w:jc w:val="left"/>
        <w:rPr>
          <w:sz w:val="18"/>
          <w:szCs w:val="18"/>
          <w:lang w:val="en-AU" w:eastAsia="en-AU"/>
        </w:rPr>
      </w:pPr>
      <w:r>
        <w:rPr>
          <w:sz w:val="18"/>
          <w:szCs w:val="18"/>
          <w:lang w:val="en-AU" w:eastAsia="en-AU"/>
        </w:rPr>
        <w:br w:type="page"/>
      </w:r>
    </w:p>
    <w:p w14:paraId="755AAA2A" w14:textId="7CAED692" w:rsidR="006843E8" w:rsidRPr="00840E64" w:rsidRDefault="006843E8" w:rsidP="006843E8">
      <w:pPr>
        <w:pStyle w:val="Caption"/>
        <w:keepNext/>
        <w:spacing w:after="120" w:line="276" w:lineRule="auto"/>
        <w:rPr>
          <w:b w:val="0"/>
        </w:rPr>
      </w:pPr>
      <w:bookmarkStart w:id="747" w:name="_Toc527468638"/>
      <w:bookmarkStart w:id="748" w:name="_Toc5285163"/>
      <w:bookmarkStart w:id="749" w:name="_Toc15283235"/>
      <w:r>
        <w:t xml:space="preserve">Table </w:t>
      </w:r>
      <w:r>
        <w:fldChar w:fldCharType="begin"/>
      </w:r>
      <w:r>
        <w:instrText xml:space="preserve"> STYLEREF 7 \s </w:instrText>
      </w:r>
      <w:r>
        <w:fldChar w:fldCharType="separate"/>
      </w:r>
      <w:r>
        <w:rPr>
          <w:noProof/>
        </w:rPr>
        <w:t>F</w:t>
      </w:r>
      <w:r>
        <w:fldChar w:fldCharType="end"/>
      </w:r>
      <w:r>
        <w:noBreakHyphen/>
      </w:r>
      <w:r>
        <w:fldChar w:fldCharType="begin"/>
      </w:r>
      <w:r>
        <w:instrText xml:space="preserve"> SEQ Table_Apx \* ARABIC \s 7 </w:instrText>
      </w:r>
      <w:r>
        <w:fldChar w:fldCharType="separate"/>
      </w:r>
      <w:r>
        <w:rPr>
          <w:noProof/>
        </w:rPr>
        <w:t>4</w:t>
      </w:r>
      <w:r>
        <w:fldChar w:fldCharType="end"/>
      </w:r>
      <w:r>
        <w:rPr>
          <w:b w:val="0"/>
        </w:rPr>
        <w:t>:</w:t>
      </w:r>
      <w:r w:rsidRPr="00840E64">
        <w:rPr>
          <w:b w:val="0"/>
        </w:rPr>
        <w:t xml:space="preserve"> Dunk Island, Wet Tropics region – </w:t>
      </w:r>
      <w:r>
        <w:rPr>
          <w:b w:val="0"/>
        </w:rPr>
        <w:t>Time integrated estimated c</w:t>
      </w:r>
      <w:r w:rsidRPr="00840E64">
        <w:rPr>
          <w:b w:val="0"/>
        </w:rPr>
        <w:t>oncentration</w:t>
      </w:r>
      <w:r>
        <w:rPr>
          <w:b w:val="0"/>
        </w:rPr>
        <w:t>s</w:t>
      </w:r>
      <w:r w:rsidRPr="00840E64">
        <w:rPr>
          <w:b w:val="0"/>
        </w:rPr>
        <w:t xml:space="preserve"> in water (</w:t>
      </w:r>
      <w:r w:rsidR="00C30A01" w:rsidRPr="00C30A01">
        <w:rPr>
          <w:b w:val="0"/>
        </w:rPr>
        <w:t> ng L</w:t>
      </w:r>
      <w:r w:rsidR="00C30A01" w:rsidRPr="00C30A01">
        <w:rPr>
          <w:b w:val="0"/>
          <w:vertAlign w:val="superscript"/>
        </w:rPr>
        <w:noBreakHyphen/>
        <w:t>1</w:t>
      </w:r>
      <w:r w:rsidRPr="00840E64">
        <w:rPr>
          <w:b w:val="0"/>
        </w:rPr>
        <w:t>)</w:t>
      </w:r>
      <w:bookmarkEnd w:id="747"/>
      <w:bookmarkEnd w:id="748"/>
      <w:bookmarkEnd w:id="749"/>
    </w:p>
    <w:p w14:paraId="323F14BB" w14:textId="77777777" w:rsidR="006843E8" w:rsidRPr="00A95A14" w:rsidRDefault="006843E8" w:rsidP="006843E8">
      <w:pPr>
        <w:spacing w:line="276" w:lineRule="auto"/>
        <w:rPr>
          <w:lang w:val="en-AU" w:eastAsia="en-AU" w:bidi="ar-SA"/>
        </w:rPr>
      </w:pPr>
      <w:r w:rsidRPr="00A97F89">
        <w:rPr>
          <w:lang w:val="en-AU" w:eastAsia="en-AU" w:bidi="ar-SA"/>
        </w:rPr>
        <w:t xml:space="preserve"> </w:t>
      </w:r>
      <w:r w:rsidRPr="008E0289">
        <w:rPr>
          <w:noProof/>
          <w:lang w:val="en-AU" w:eastAsia="en-AU" w:bidi="ar-SA"/>
        </w:rPr>
        <w:drawing>
          <wp:inline distT="0" distB="0" distL="0" distR="0" wp14:anchorId="3C4C2B88" wp14:editId="512EE09D">
            <wp:extent cx="9778365" cy="5293551"/>
            <wp:effectExtent l="0" t="0" r="0" b="2540"/>
            <wp:docPr id="26" name="Picture 26" descr="Individual and mixture results of passive samplers" title="Dunk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9778365" cy="5293551"/>
                    </a:xfrm>
                    <a:prstGeom prst="rect">
                      <a:avLst/>
                    </a:prstGeom>
                    <a:noFill/>
                    <a:ln>
                      <a:noFill/>
                    </a:ln>
                  </pic:spPr>
                </pic:pic>
              </a:graphicData>
            </a:graphic>
          </wp:inline>
        </w:drawing>
      </w:r>
    </w:p>
    <w:p w14:paraId="390B0CFF" w14:textId="77777777" w:rsidR="006843E8" w:rsidRDefault="006843E8" w:rsidP="006843E8">
      <w:pPr>
        <w:pStyle w:val="Caption"/>
        <w:spacing w:line="276" w:lineRule="auto"/>
      </w:pPr>
    </w:p>
    <w:p w14:paraId="77FE5BEA" w14:textId="77777777" w:rsidR="006843E8" w:rsidRDefault="006843E8" w:rsidP="006843E8">
      <w:pPr>
        <w:pStyle w:val="Caption"/>
        <w:spacing w:line="276" w:lineRule="auto"/>
      </w:pPr>
    </w:p>
    <w:p w14:paraId="74191292" w14:textId="77777777" w:rsidR="006843E8" w:rsidRDefault="006843E8" w:rsidP="006843E8">
      <w:pPr>
        <w:pStyle w:val="Caption"/>
        <w:spacing w:line="276" w:lineRule="auto"/>
      </w:pPr>
      <w:r>
        <w:br w:type="page"/>
      </w:r>
    </w:p>
    <w:p w14:paraId="00EA60E8" w14:textId="1DA707D5" w:rsidR="006843E8" w:rsidRPr="00840E64" w:rsidRDefault="006843E8" w:rsidP="006843E8">
      <w:pPr>
        <w:pStyle w:val="Caption"/>
        <w:spacing w:after="120"/>
        <w:rPr>
          <w:b w:val="0"/>
        </w:rPr>
      </w:pPr>
      <w:bookmarkStart w:id="750" w:name="_Toc527468639"/>
      <w:bookmarkStart w:id="751" w:name="_Toc5285164"/>
      <w:bookmarkStart w:id="752" w:name="_Toc15283236"/>
      <w:r>
        <w:t xml:space="preserve">Table </w:t>
      </w:r>
      <w:r>
        <w:fldChar w:fldCharType="begin"/>
      </w:r>
      <w:r>
        <w:instrText xml:space="preserve"> STYLEREF 7 \s </w:instrText>
      </w:r>
      <w:r>
        <w:fldChar w:fldCharType="separate"/>
      </w:r>
      <w:r>
        <w:rPr>
          <w:noProof/>
        </w:rPr>
        <w:t>F</w:t>
      </w:r>
      <w:r>
        <w:fldChar w:fldCharType="end"/>
      </w:r>
      <w:r>
        <w:noBreakHyphen/>
      </w:r>
      <w:r>
        <w:fldChar w:fldCharType="begin"/>
      </w:r>
      <w:r>
        <w:instrText xml:space="preserve"> SEQ Table_Apx \* ARABIC \s 7 </w:instrText>
      </w:r>
      <w:r>
        <w:fldChar w:fldCharType="separate"/>
      </w:r>
      <w:r>
        <w:rPr>
          <w:noProof/>
        </w:rPr>
        <w:t>5</w:t>
      </w:r>
      <w:r>
        <w:fldChar w:fldCharType="end"/>
      </w:r>
      <w:r>
        <w:rPr>
          <w:b w:val="0"/>
        </w:rPr>
        <w:t>:</w:t>
      </w:r>
      <w:r w:rsidRPr="00840E64">
        <w:rPr>
          <w:b w:val="0"/>
        </w:rPr>
        <w:t xml:space="preserve"> Normanby Island, Wet Tropics region – </w:t>
      </w:r>
      <w:r>
        <w:rPr>
          <w:b w:val="0"/>
        </w:rPr>
        <w:t>Time integrated estimated c</w:t>
      </w:r>
      <w:r w:rsidRPr="00840E64">
        <w:rPr>
          <w:b w:val="0"/>
        </w:rPr>
        <w:t>oncentration</w:t>
      </w:r>
      <w:r>
        <w:rPr>
          <w:b w:val="0"/>
        </w:rPr>
        <w:t>s</w:t>
      </w:r>
      <w:r w:rsidRPr="00840E64">
        <w:rPr>
          <w:b w:val="0"/>
        </w:rPr>
        <w:t xml:space="preserve"> in water (</w:t>
      </w:r>
      <w:r w:rsidR="00C30A01" w:rsidRPr="00C30A01">
        <w:rPr>
          <w:b w:val="0"/>
        </w:rPr>
        <w:t> ng L</w:t>
      </w:r>
      <w:r w:rsidR="00C30A01" w:rsidRPr="00C30A01">
        <w:rPr>
          <w:b w:val="0"/>
          <w:vertAlign w:val="superscript"/>
        </w:rPr>
        <w:noBreakHyphen/>
        <w:t>1</w:t>
      </w:r>
      <w:r w:rsidRPr="00840E64">
        <w:rPr>
          <w:b w:val="0"/>
        </w:rPr>
        <w:t>)</w:t>
      </w:r>
      <w:bookmarkEnd w:id="750"/>
      <w:bookmarkEnd w:id="751"/>
      <w:bookmarkEnd w:id="752"/>
    </w:p>
    <w:p w14:paraId="3A944D1E" w14:textId="77777777" w:rsidR="006843E8" w:rsidRDefault="006843E8" w:rsidP="006843E8">
      <w:pPr>
        <w:pStyle w:val="Caption"/>
        <w:spacing w:line="276" w:lineRule="auto"/>
      </w:pPr>
      <w:r w:rsidRPr="008E0289">
        <w:rPr>
          <w:noProof/>
          <w:lang w:val="en-AU" w:eastAsia="en-AU" w:bidi="ar-SA"/>
        </w:rPr>
        <w:drawing>
          <wp:inline distT="0" distB="0" distL="0" distR="0" wp14:anchorId="0E6BC992" wp14:editId="5820940B">
            <wp:extent cx="9778365" cy="5198389"/>
            <wp:effectExtent l="0" t="0" r="0" b="2540"/>
            <wp:docPr id="15" name="Picture 15" descr="Individual and mixture results of passive samplers" title="Normanby Island pesticide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9778365" cy="5198389"/>
                    </a:xfrm>
                    <a:prstGeom prst="rect">
                      <a:avLst/>
                    </a:prstGeom>
                    <a:noFill/>
                    <a:ln>
                      <a:noFill/>
                    </a:ln>
                  </pic:spPr>
                </pic:pic>
              </a:graphicData>
            </a:graphic>
          </wp:inline>
        </w:drawing>
      </w:r>
    </w:p>
    <w:p w14:paraId="665F5183" w14:textId="77777777" w:rsidR="006843E8" w:rsidRDefault="006843E8" w:rsidP="006843E8">
      <w:pPr>
        <w:spacing w:line="276" w:lineRule="auto"/>
        <w:ind w:firstLine="357"/>
        <w:jc w:val="left"/>
        <w:rPr>
          <w:sz w:val="18"/>
          <w:szCs w:val="18"/>
          <w:lang w:val="en-AU" w:eastAsia="en-AU"/>
        </w:rPr>
      </w:pPr>
      <w:r>
        <w:rPr>
          <w:sz w:val="18"/>
          <w:szCs w:val="18"/>
          <w:lang w:val="en-AU" w:eastAsia="en-AU"/>
        </w:rPr>
        <w:br w:type="page"/>
      </w:r>
    </w:p>
    <w:p w14:paraId="71C6FD2E" w14:textId="0F1EBF06" w:rsidR="006843E8" w:rsidRPr="00840E64" w:rsidRDefault="006843E8" w:rsidP="006843E8">
      <w:pPr>
        <w:pStyle w:val="Caption"/>
        <w:keepNext/>
        <w:spacing w:after="120"/>
        <w:rPr>
          <w:b w:val="0"/>
        </w:rPr>
      </w:pPr>
      <w:bookmarkStart w:id="753" w:name="_Ref480740506"/>
      <w:bookmarkStart w:id="754" w:name="_Toc527468640"/>
      <w:bookmarkStart w:id="755" w:name="_Toc5285165"/>
      <w:bookmarkStart w:id="756" w:name="_Toc15283237"/>
      <w:r>
        <w:t xml:space="preserve">Table </w:t>
      </w:r>
      <w:r>
        <w:fldChar w:fldCharType="begin"/>
      </w:r>
      <w:r>
        <w:instrText xml:space="preserve"> STYLEREF 7 \s </w:instrText>
      </w:r>
      <w:r>
        <w:fldChar w:fldCharType="separate"/>
      </w:r>
      <w:r>
        <w:rPr>
          <w:noProof/>
        </w:rPr>
        <w:t>F</w:t>
      </w:r>
      <w:r>
        <w:fldChar w:fldCharType="end"/>
      </w:r>
      <w:r>
        <w:noBreakHyphen/>
      </w:r>
      <w:r>
        <w:fldChar w:fldCharType="begin"/>
      </w:r>
      <w:r>
        <w:instrText xml:space="preserve"> SEQ Table_Apx \* ARABIC \s 7 </w:instrText>
      </w:r>
      <w:r>
        <w:fldChar w:fldCharType="separate"/>
      </w:r>
      <w:r>
        <w:rPr>
          <w:noProof/>
        </w:rPr>
        <w:t>6</w:t>
      </w:r>
      <w:r>
        <w:fldChar w:fldCharType="end"/>
      </w:r>
      <w:bookmarkEnd w:id="753"/>
      <w:r>
        <w:t>:</w:t>
      </w:r>
      <w:r w:rsidRPr="00840E64">
        <w:rPr>
          <w:b w:val="0"/>
        </w:rPr>
        <w:t xml:space="preserve"> Lucinda, Wet Tropics region – </w:t>
      </w:r>
      <w:r>
        <w:rPr>
          <w:b w:val="0"/>
        </w:rPr>
        <w:t>Time integrated estimated c</w:t>
      </w:r>
      <w:r w:rsidRPr="00840E64">
        <w:rPr>
          <w:b w:val="0"/>
        </w:rPr>
        <w:t>oncentration</w:t>
      </w:r>
      <w:r>
        <w:rPr>
          <w:b w:val="0"/>
        </w:rPr>
        <w:t>s</w:t>
      </w:r>
      <w:r w:rsidRPr="00840E64">
        <w:rPr>
          <w:b w:val="0"/>
        </w:rPr>
        <w:t xml:space="preserve"> in water (</w:t>
      </w:r>
      <w:r w:rsidR="00C30A01" w:rsidRPr="00C30A01">
        <w:rPr>
          <w:b w:val="0"/>
        </w:rPr>
        <w:t> ng L</w:t>
      </w:r>
      <w:r w:rsidR="00C30A01" w:rsidRPr="00C30A01">
        <w:rPr>
          <w:b w:val="0"/>
          <w:vertAlign w:val="superscript"/>
        </w:rPr>
        <w:noBreakHyphen/>
        <w:t>1</w:t>
      </w:r>
      <w:r w:rsidRPr="00840E64">
        <w:rPr>
          <w:b w:val="0"/>
        </w:rPr>
        <w:t>)</w:t>
      </w:r>
      <w:bookmarkEnd w:id="754"/>
      <w:bookmarkEnd w:id="755"/>
      <w:bookmarkEnd w:id="756"/>
    </w:p>
    <w:p w14:paraId="79EBD1CE" w14:textId="77777777" w:rsidR="006843E8" w:rsidRDefault="006843E8" w:rsidP="006843E8">
      <w:pPr>
        <w:pStyle w:val="Caption"/>
        <w:spacing w:line="276" w:lineRule="auto"/>
      </w:pPr>
      <w:r w:rsidRPr="008E0289">
        <w:rPr>
          <w:noProof/>
          <w:lang w:val="en-AU" w:eastAsia="en-AU" w:bidi="ar-SA"/>
        </w:rPr>
        <w:drawing>
          <wp:inline distT="0" distB="0" distL="0" distR="0" wp14:anchorId="74DC5810" wp14:editId="442B577F">
            <wp:extent cx="9778365" cy="5095899"/>
            <wp:effectExtent l="0" t="0" r="0" b="9525"/>
            <wp:docPr id="28" name="Picture 28" descr="Individual and mixture results of passive samplers" title="Lucinda pesticide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9778365" cy="5095899"/>
                    </a:xfrm>
                    <a:prstGeom prst="rect">
                      <a:avLst/>
                    </a:prstGeom>
                    <a:noFill/>
                    <a:ln>
                      <a:noFill/>
                    </a:ln>
                  </pic:spPr>
                </pic:pic>
              </a:graphicData>
            </a:graphic>
          </wp:inline>
        </w:drawing>
      </w:r>
    </w:p>
    <w:p w14:paraId="66DCD507" w14:textId="77777777" w:rsidR="006843E8" w:rsidRDefault="006843E8" w:rsidP="006843E8">
      <w:pPr>
        <w:spacing w:line="276" w:lineRule="auto"/>
        <w:rPr>
          <w:sz w:val="18"/>
          <w:szCs w:val="18"/>
        </w:rPr>
      </w:pPr>
    </w:p>
    <w:p w14:paraId="40E55DDC" w14:textId="77777777" w:rsidR="006843E8" w:rsidRDefault="006843E8" w:rsidP="006843E8">
      <w:pPr>
        <w:spacing w:line="276" w:lineRule="auto"/>
        <w:rPr>
          <w:sz w:val="18"/>
          <w:szCs w:val="18"/>
        </w:rPr>
        <w:sectPr w:rsidR="006843E8" w:rsidSect="006843E8">
          <w:type w:val="continuous"/>
          <w:pgSz w:w="16839" w:h="11907" w:orient="landscape" w:code="9"/>
          <w:pgMar w:top="720" w:right="720" w:bottom="720" w:left="720" w:header="709" w:footer="709" w:gutter="0"/>
          <w:cols w:space="708"/>
          <w:docGrid w:linePitch="360"/>
        </w:sectPr>
      </w:pPr>
    </w:p>
    <w:p w14:paraId="3A4EA57A" w14:textId="490C8A2F" w:rsidR="006843E8" w:rsidRPr="00840E64" w:rsidRDefault="006843E8" w:rsidP="006843E8">
      <w:pPr>
        <w:pStyle w:val="Caption"/>
        <w:spacing w:after="120"/>
        <w:rPr>
          <w:b w:val="0"/>
        </w:rPr>
      </w:pPr>
      <w:bookmarkStart w:id="757" w:name="_Ref480736059"/>
      <w:bookmarkStart w:id="758" w:name="_Toc527468641"/>
      <w:bookmarkStart w:id="759" w:name="_Toc5285166"/>
      <w:bookmarkStart w:id="760" w:name="_Toc15283238"/>
      <w:r>
        <w:t xml:space="preserve">Table </w:t>
      </w:r>
      <w:r>
        <w:fldChar w:fldCharType="begin"/>
      </w:r>
      <w:r>
        <w:instrText xml:space="preserve"> STYLEREF 7 \s </w:instrText>
      </w:r>
      <w:r>
        <w:fldChar w:fldCharType="separate"/>
      </w:r>
      <w:r>
        <w:rPr>
          <w:noProof/>
        </w:rPr>
        <w:t>F</w:t>
      </w:r>
      <w:r>
        <w:fldChar w:fldCharType="end"/>
      </w:r>
      <w:r>
        <w:noBreakHyphen/>
      </w:r>
      <w:r>
        <w:fldChar w:fldCharType="begin"/>
      </w:r>
      <w:r>
        <w:instrText xml:space="preserve"> SEQ Table_Apx \* ARABIC \s 7 </w:instrText>
      </w:r>
      <w:r>
        <w:fldChar w:fldCharType="separate"/>
      </w:r>
      <w:r>
        <w:rPr>
          <w:noProof/>
        </w:rPr>
        <w:t>7</w:t>
      </w:r>
      <w:r>
        <w:fldChar w:fldCharType="end"/>
      </w:r>
      <w:bookmarkEnd w:id="757"/>
      <w:r>
        <w:t xml:space="preserve">: </w:t>
      </w:r>
      <w:r w:rsidRPr="00840E64">
        <w:rPr>
          <w:b w:val="0"/>
        </w:rPr>
        <w:t xml:space="preserve">Barratta Creek, Burdekin Region – </w:t>
      </w:r>
      <w:r>
        <w:rPr>
          <w:b w:val="0"/>
        </w:rPr>
        <w:t>Time integrated estimated c</w:t>
      </w:r>
      <w:r w:rsidRPr="00840E64">
        <w:rPr>
          <w:b w:val="0"/>
        </w:rPr>
        <w:t>oncentration</w:t>
      </w:r>
      <w:r>
        <w:rPr>
          <w:b w:val="0"/>
        </w:rPr>
        <w:t>s</w:t>
      </w:r>
      <w:r w:rsidRPr="00840E64">
        <w:rPr>
          <w:b w:val="0"/>
        </w:rPr>
        <w:t xml:space="preserve"> in water (</w:t>
      </w:r>
      <w:r w:rsidR="00C30A01" w:rsidRPr="00C30A01">
        <w:rPr>
          <w:b w:val="0"/>
        </w:rPr>
        <w:t> ng L</w:t>
      </w:r>
      <w:r w:rsidR="00C30A01" w:rsidRPr="00C30A01">
        <w:rPr>
          <w:b w:val="0"/>
          <w:vertAlign w:val="superscript"/>
        </w:rPr>
        <w:noBreakHyphen/>
        <w:t>1</w:t>
      </w:r>
      <w:r w:rsidRPr="00840E64">
        <w:rPr>
          <w:b w:val="0"/>
        </w:rPr>
        <w:t>)</w:t>
      </w:r>
      <w:bookmarkEnd w:id="758"/>
      <w:bookmarkEnd w:id="759"/>
      <w:bookmarkEnd w:id="760"/>
    </w:p>
    <w:p w14:paraId="762F0A04" w14:textId="77777777" w:rsidR="006843E8" w:rsidRDefault="006843E8" w:rsidP="006843E8">
      <w:pPr>
        <w:spacing w:line="276" w:lineRule="auto"/>
        <w:rPr>
          <w:noProof/>
          <w:lang w:val="en-AU" w:eastAsia="en-AU" w:bidi="ar-SA"/>
        </w:rPr>
      </w:pPr>
      <w:r w:rsidRPr="008E0289">
        <w:rPr>
          <w:noProof/>
          <w:lang w:val="en-AU" w:eastAsia="en-AU" w:bidi="ar-SA"/>
        </w:rPr>
        <w:drawing>
          <wp:inline distT="0" distB="0" distL="0" distR="0" wp14:anchorId="4DC87C60" wp14:editId="1F585587">
            <wp:extent cx="9778365" cy="3984078"/>
            <wp:effectExtent l="0" t="0" r="0" b="0"/>
            <wp:docPr id="29" name="Picture 29" descr="Individual and mixture results of passive samplers" title="Barratta Creek pesticide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9778365" cy="3984078"/>
                    </a:xfrm>
                    <a:prstGeom prst="rect">
                      <a:avLst/>
                    </a:prstGeom>
                    <a:noFill/>
                    <a:ln>
                      <a:noFill/>
                    </a:ln>
                  </pic:spPr>
                </pic:pic>
              </a:graphicData>
            </a:graphic>
          </wp:inline>
        </w:drawing>
      </w:r>
    </w:p>
    <w:p w14:paraId="05A02D59" w14:textId="77777777" w:rsidR="006843E8" w:rsidRDefault="006843E8" w:rsidP="006843E8">
      <w:pPr>
        <w:spacing w:line="276" w:lineRule="auto"/>
        <w:ind w:firstLine="357"/>
        <w:jc w:val="left"/>
        <w:rPr>
          <w:sz w:val="18"/>
          <w:szCs w:val="18"/>
          <w:lang w:val="en-AU" w:eastAsia="en-AU"/>
        </w:rPr>
      </w:pPr>
    </w:p>
    <w:p w14:paraId="6CF86667" w14:textId="77777777" w:rsidR="006843E8" w:rsidRDefault="006843E8" w:rsidP="006843E8">
      <w:pPr>
        <w:ind w:firstLine="357"/>
        <w:jc w:val="left"/>
        <w:rPr>
          <w:bCs/>
          <w:sz w:val="18"/>
          <w:szCs w:val="18"/>
        </w:rPr>
      </w:pPr>
      <w:r>
        <w:rPr>
          <w:b/>
        </w:rPr>
        <w:br w:type="page"/>
      </w:r>
    </w:p>
    <w:p w14:paraId="107D6AAB" w14:textId="33CD9DD8" w:rsidR="006843E8" w:rsidRPr="00840E64" w:rsidRDefault="006843E8" w:rsidP="006843E8">
      <w:pPr>
        <w:pStyle w:val="Caption"/>
        <w:spacing w:after="120"/>
        <w:rPr>
          <w:b w:val="0"/>
        </w:rPr>
      </w:pPr>
      <w:bookmarkStart w:id="761" w:name="_Ref480910600"/>
      <w:bookmarkStart w:id="762" w:name="_Toc527468642"/>
      <w:bookmarkStart w:id="763" w:name="_Toc5285167"/>
      <w:bookmarkStart w:id="764" w:name="_Toc15283239"/>
      <w:r>
        <w:t xml:space="preserve">Table </w:t>
      </w:r>
      <w:r>
        <w:fldChar w:fldCharType="begin"/>
      </w:r>
      <w:r>
        <w:instrText xml:space="preserve"> STYLEREF 7 \s </w:instrText>
      </w:r>
      <w:r>
        <w:fldChar w:fldCharType="separate"/>
      </w:r>
      <w:r>
        <w:rPr>
          <w:noProof/>
        </w:rPr>
        <w:t>F</w:t>
      </w:r>
      <w:r>
        <w:fldChar w:fldCharType="end"/>
      </w:r>
      <w:r>
        <w:noBreakHyphen/>
      </w:r>
      <w:r>
        <w:fldChar w:fldCharType="begin"/>
      </w:r>
      <w:r>
        <w:instrText xml:space="preserve"> SEQ Table_Apx \* ARABIC \s 7 </w:instrText>
      </w:r>
      <w:r>
        <w:fldChar w:fldCharType="separate"/>
      </w:r>
      <w:r>
        <w:rPr>
          <w:noProof/>
        </w:rPr>
        <w:t>8</w:t>
      </w:r>
      <w:r>
        <w:fldChar w:fldCharType="end"/>
      </w:r>
      <w:bookmarkEnd w:id="761"/>
      <w:r>
        <w:rPr>
          <w:b w:val="0"/>
        </w:rPr>
        <w:t>:</w:t>
      </w:r>
      <w:r w:rsidRPr="00840E64">
        <w:rPr>
          <w:b w:val="0"/>
        </w:rPr>
        <w:t xml:space="preserve"> Repulse Bay, Mackay Whitsunday region – </w:t>
      </w:r>
      <w:r>
        <w:rPr>
          <w:b w:val="0"/>
        </w:rPr>
        <w:t>Time integrated estimated c</w:t>
      </w:r>
      <w:r w:rsidRPr="00840E64">
        <w:rPr>
          <w:b w:val="0"/>
        </w:rPr>
        <w:t>oncentration</w:t>
      </w:r>
      <w:r>
        <w:rPr>
          <w:b w:val="0"/>
        </w:rPr>
        <w:t>s</w:t>
      </w:r>
      <w:r w:rsidRPr="00840E64">
        <w:rPr>
          <w:b w:val="0"/>
        </w:rPr>
        <w:t xml:space="preserve"> in water (</w:t>
      </w:r>
      <w:r w:rsidR="00C30A01" w:rsidRPr="00C30A01">
        <w:rPr>
          <w:b w:val="0"/>
        </w:rPr>
        <w:t> ng L</w:t>
      </w:r>
      <w:r w:rsidR="00C30A01" w:rsidRPr="00C30A01">
        <w:rPr>
          <w:b w:val="0"/>
          <w:vertAlign w:val="superscript"/>
        </w:rPr>
        <w:noBreakHyphen/>
        <w:t>1</w:t>
      </w:r>
      <w:r w:rsidRPr="00840E64">
        <w:rPr>
          <w:b w:val="0"/>
        </w:rPr>
        <w:t>)</w:t>
      </w:r>
      <w:bookmarkEnd w:id="762"/>
      <w:bookmarkEnd w:id="763"/>
      <w:bookmarkEnd w:id="764"/>
    </w:p>
    <w:p w14:paraId="3671CF4E" w14:textId="77777777" w:rsidR="006843E8" w:rsidRDefault="006843E8" w:rsidP="006843E8">
      <w:pPr>
        <w:spacing w:line="276" w:lineRule="auto"/>
        <w:jc w:val="left"/>
        <w:rPr>
          <w:sz w:val="16"/>
          <w:szCs w:val="18"/>
          <w:vertAlign w:val="superscript"/>
          <w:lang w:val="en-AU" w:eastAsia="en-AU"/>
        </w:rPr>
      </w:pPr>
      <w:r w:rsidRPr="008E0289">
        <w:rPr>
          <w:noProof/>
          <w:lang w:val="en-AU" w:eastAsia="en-AU" w:bidi="ar-SA"/>
        </w:rPr>
        <w:drawing>
          <wp:inline distT="0" distB="0" distL="0" distR="0" wp14:anchorId="1AD5F00A" wp14:editId="1C667ADD">
            <wp:extent cx="9778365" cy="4508733"/>
            <wp:effectExtent l="0" t="0" r="0" b="6350"/>
            <wp:docPr id="30" name="Picture 30" descr="Individual and mixture results of passive samplers" title="Repulse Bay pesticide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9778365" cy="4508733"/>
                    </a:xfrm>
                    <a:prstGeom prst="rect">
                      <a:avLst/>
                    </a:prstGeom>
                    <a:noFill/>
                    <a:ln>
                      <a:noFill/>
                    </a:ln>
                  </pic:spPr>
                </pic:pic>
              </a:graphicData>
            </a:graphic>
          </wp:inline>
        </w:drawing>
      </w:r>
    </w:p>
    <w:p w14:paraId="472AAB1E" w14:textId="77777777" w:rsidR="006843E8" w:rsidRDefault="006843E8" w:rsidP="006843E8">
      <w:pPr>
        <w:spacing w:line="276" w:lineRule="auto"/>
        <w:rPr>
          <w:sz w:val="18"/>
          <w:szCs w:val="18"/>
          <w:lang w:val="en-AU" w:eastAsia="en-AU"/>
        </w:rPr>
      </w:pPr>
    </w:p>
    <w:p w14:paraId="4AF37830" w14:textId="77777777" w:rsidR="006843E8" w:rsidRDefault="006843E8" w:rsidP="006843E8">
      <w:pPr>
        <w:ind w:firstLine="357"/>
        <w:jc w:val="left"/>
        <w:rPr>
          <w:b/>
          <w:bCs/>
          <w:sz w:val="18"/>
          <w:szCs w:val="18"/>
        </w:rPr>
      </w:pPr>
      <w:r>
        <w:br w:type="page"/>
      </w:r>
    </w:p>
    <w:p w14:paraId="79569E8E" w14:textId="7C02DA68" w:rsidR="006843E8" w:rsidRPr="00840E64" w:rsidRDefault="006843E8" w:rsidP="006843E8">
      <w:pPr>
        <w:pStyle w:val="Caption"/>
        <w:keepNext/>
        <w:spacing w:after="120"/>
        <w:rPr>
          <w:b w:val="0"/>
        </w:rPr>
      </w:pPr>
      <w:bookmarkStart w:id="765" w:name="_Ref480728187"/>
      <w:bookmarkStart w:id="766" w:name="_Toc527468643"/>
      <w:bookmarkStart w:id="767" w:name="_Toc5285168"/>
      <w:bookmarkStart w:id="768" w:name="_Toc15283240"/>
      <w:r>
        <w:t xml:space="preserve">Table </w:t>
      </w:r>
      <w:r>
        <w:fldChar w:fldCharType="begin"/>
      </w:r>
      <w:r>
        <w:instrText xml:space="preserve"> STYLEREF 7 \s </w:instrText>
      </w:r>
      <w:r>
        <w:fldChar w:fldCharType="separate"/>
      </w:r>
      <w:r>
        <w:rPr>
          <w:noProof/>
        </w:rPr>
        <w:t>F</w:t>
      </w:r>
      <w:r>
        <w:fldChar w:fldCharType="end"/>
      </w:r>
      <w:r>
        <w:noBreakHyphen/>
      </w:r>
      <w:r>
        <w:fldChar w:fldCharType="begin"/>
      </w:r>
      <w:r>
        <w:instrText xml:space="preserve"> SEQ Table_Apx \* ARABIC \s 7 </w:instrText>
      </w:r>
      <w:r>
        <w:fldChar w:fldCharType="separate"/>
      </w:r>
      <w:r>
        <w:rPr>
          <w:noProof/>
        </w:rPr>
        <w:t>9</w:t>
      </w:r>
      <w:r>
        <w:fldChar w:fldCharType="end"/>
      </w:r>
      <w:bookmarkEnd w:id="765"/>
      <w:r>
        <w:rPr>
          <w:b w:val="0"/>
        </w:rPr>
        <w:t xml:space="preserve">: </w:t>
      </w:r>
      <w:r w:rsidRPr="00840E64">
        <w:rPr>
          <w:b w:val="0"/>
        </w:rPr>
        <w:t>Round</w:t>
      </w:r>
      <w:r>
        <w:rPr>
          <w:b w:val="0"/>
        </w:rPr>
        <w:t xml:space="preserve"> </w:t>
      </w:r>
      <w:r w:rsidRPr="00840E64">
        <w:rPr>
          <w:b w:val="0"/>
        </w:rPr>
        <w:t>Top</w:t>
      </w:r>
      <w:r>
        <w:rPr>
          <w:b w:val="0"/>
        </w:rPr>
        <w:t xml:space="preserve"> Island</w:t>
      </w:r>
      <w:r w:rsidRPr="00840E64">
        <w:rPr>
          <w:b w:val="0"/>
        </w:rPr>
        <w:t xml:space="preserve">, Mackay Whitsunday region – </w:t>
      </w:r>
      <w:r>
        <w:rPr>
          <w:b w:val="0"/>
        </w:rPr>
        <w:t>Time integrated estimated c</w:t>
      </w:r>
      <w:r w:rsidRPr="00840E64">
        <w:rPr>
          <w:b w:val="0"/>
        </w:rPr>
        <w:t>oncentration</w:t>
      </w:r>
      <w:r>
        <w:rPr>
          <w:b w:val="0"/>
        </w:rPr>
        <w:t>s</w:t>
      </w:r>
      <w:r w:rsidRPr="00840E64">
        <w:rPr>
          <w:b w:val="0"/>
        </w:rPr>
        <w:t xml:space="preserve"> in water (</w:t>
      </w:r>
      <w:r w:rsidR="00C30A01" w:rsidRPr="00C30A01">
        <w:rPr>
          <w:b w:val="0"/>
        </w:rPr>
        <w:t> ng L</w:t>
      </w:r>
      <w:r w:rsidR="00C30A01" w:rsidRPr="00C30A01">
        <w:rPr>
          <w:b w:val="0"/>
          <w:vertAlign w:val="superscript"/>
        </w:rPr>
        <w:noBreakHyphen/>
        <w:t>1</w:t>
      </w:r>
      <w:r w:rsidRPr="00840E64">
        <w:rPr>
          <w:b w:val="0"/>
        </w:rPr>
        <w:t>)</w:t>
      </w:r>
      <w:bookmarkEnd w:id="766"/>
      <w:bookmarkEnd w:id="767"/>
      <w:bookmarkEnd w:id="768"/>
    </w:p>
    <w:p w14:paraId="0B0D949E" w14:textId="77777777" w:rsidR="006843E8" w:rsidRDefault="006843E8" w:rsidP="006843E8">
      <w:pPr>
        <w:spacing w:line="276" w:lineRule="auto"/>
        <w:rPr>
          <w:sz w:val="18"/>
          <w:szCs w:val="18"/>
          <w:lang w:val="en-AU" w:eastAsia="en-AU"/>
        </w:rPr>
      </w:pPr>
      <w:r w:rsidRPr="008E0289">
        <w:rPr>
          <w:noProof/>
          <w:lang w:val="en-AU" w:eastAsia="en-AU" w:bidi="ar-SA"/>
        </w:rPr>
        <w:drawing>
          <wp:inline distT="0" distB="0" distL="0" distR="0" wp14:anchorId="228431D9" wp14:editId="44792933">
            <wp:extent cx="9778365" cy="4699115"/>
            <wp:effectExtent l="0" t="0" r="0" b="6350"/>
            <wp:docPr id="31" name="Picture 31" descr="Individual and mixture results of passive samplers" title="Round Top Island pesticide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9778365" cy="4699115"/>
                    </a:xfrm>
                    <a:prstGeom prst="rect">
                      <a:avLst/>
                    </a:prstGeom>
                    <a:noFill/>
                    <a:ln>
                      <a:noFill/>
                    </a:ln>
                  </pic:spPr>
                </pic:pic>
              </a:graphicData>
            </a:graphic>
          </wp:inline>
        </w:drawing>
      </w:r>
    </w:p>
    <w:p w14:paraId="230B1B96" w14:textId="77777777" w:rsidR="006843E8" w:rsidRPr="00B67279" w:rsidRDefault="006843E8" w:rsidP="006843E8">
      <w:pPr>
        <w:spacing w:line="276" w:lineRule="auto"/>
        <w:jc w:val="left"/>
        <w:rPr>
          <w:sz w:val="16"/>
          <w:szCs w:val="18"/>
          <w:lang w:val="en-AU" w:eastAsia="en-AU"/>
        </w:rPr>
      </w:pPr>
    </w:p>
    <w:p w14:paraId="7C2E0714" w14:textId="77777777" w:rsidR="006843E8" w:rsidRDefault="006843E8" w:rsidP="006843E8">
      <w:pPr>
        <w:ind w:firstLine="357"/>
        <w:jc w:val="left"/>
        <w:rPr>
          <w:b/>
          <w:bCs/>
          <w:sz w:val="18"/>
          <w:szCs w:val="18"/>
        </w:rPr>
      </w:pPr>
      <w:r>
        <w:br w:type="page"/>
      </w:r>
    </w:p>
    <w:p w14:paraId="0CD2964F" w14:textId="4C0262CB" w:rsidR="006843E8" w:rsidRPr="00840E64" w:rsidRDefault="006843E8" w:rsidP="006843E8">
      <w:pPr>
        <w:pStyle w:val="Caption"/>
        <w:spacing w:after="120"/>
        <w:rPr>
          <w:b w:val="0"/>
        </w:rPr>
      </w:pPr>
      <w:bookmarkStart w:id="769" w:name="_Toc527468644"/>
      <w:bookmarkStart w:id="770" w:name="_Toc5285169"/>
      <w:bookmarkStart w:id="771" w:name="_Toc15283241"/>
      <w:r>
        <w:t xml:space="preserve">Table </w:t>
      </w:r>
      <w:r>
        <w:fldChar w:fldCharType="begin"/>
      </w:r>
      <w:r>
        <w:instrText xml:space="preserve"> STYLEREF 7 \s </w:instrText>
      </w:r>
      <w:r>
        <w:fldChar w:fldCharType="separate"/>
      </w:r>
      <w:r>
        <w:rPr>
          <w:noProof/>
        </w:rPr>
        <w:t>F</w:t>
      </w:r>
      <w:r>
        <w:fldChar w:fldCharType="end"/>
      </w:r>
      <w:r>
        <w:noBreakHyphen/>
      </w:r>
      <w:r>
        <w:fldChar w:fldCharType="begin"/>
      </w:r>
      <w:r>
        <w:instrText xml:space="preserve"> SEQ Table_Apx \* ARABIC \s 7 </w:instrText>
      </w:r>
      <w:r>
        <w:fldChar w:fldCharType="separate"/>
      </w:r>
      <w:r>
        <w:rPr>
          <w:noProof/>
        </w:rPr>
        <w:t>10</w:t>
      </w:r>
      <w:r>
        <w:fldChar w:fldCharType="end"/>
      </w:r>
      <w:r>
        <w:rPr>
          <w:b w:val="0"/>
        </w:rPr>
        <w:t>:</w:t>
      </w:r>
      <w:r w:rsidRPr="00840E64">
        <w:rPr>
          <w:b w:val="0"/>
        </w:rPr>
        <w:t xml:space="preserve"> Sarina Inlet, Mackay Whitsunday region – </w:t>
      </w:r>
      <w:r>
        <w:rPr>
          <w:b w:val="0"/>
        </w:rPr>
        <w:t>Time integrated estimated c</w:t>
      </w:r>
      <w:r w:rsidRPr="00840E64">
        <w:rPr>
          <w:b w:val="0"/>
        </w:rPr>
        <w:t>oncentration</w:t>
      </w:r>
      <w:r>
        <w:rPr>
          <w:b w:val="0"/>
        </w:rPr>
        <w:t>s</w:t>
      </w:r>
      <w:r w:rsidRPr="00840E64">
        <w:rPr>
          <w:b w:val="0"/>
        </w:rPr>
        <w:t xml:space="preserve"> in water (</w:t>
      </w:r>
      <w:r w:rsidR="00C30A01" w:rsidRPr="00C30A01">
        <w:rPr>
          <w:b w:val="0"/>
        </w:rPr>
        <w:t> ng L</w:t>
      </w:r>
      <w:r w:rsidR="00C30A01" w:rsidRPr="00C30A01">
        <w:rPr>
          <w:b w:val="0"/>
          <w:vertAlign w:val="superscript"/>
        </w:rPr>
        <w:noBreakHyphen/>
        <w:t>1</w:t>
      </w:r>
      <w:r w:rsidRPr="00840E64">
        <w:rPr>
          <w:b w:val="0"/>
        </w:rPr>
        <w:t>)</w:t>
      </w:r>
      <w:bookmarkEnd w:id="769"/>
      <w:bookmarkEnd w:id="770"/>
      <w:bookmarkEnd w:id="771"/>
    </w:p>
    <w:p w14:paraId="05DD1AE9" w14:textId="77777777" w:rsidR="006843E8" w:rsidRPr="003E4FD4" w:rsidRDefault="006843E8" w:rsidP="006843E8">
      <w:pPr>
        <w:spacing w:line="276" w:lineRule="auto"/>
      </w:pPr>
      <w:r w:rsidRPr="008E0289">
        <w:rPr>
          <w:noProof/>
          <w:lang w:val="en-AU" w:eastAsia="en-AU" w:bidi="ar-SA"/>
        </w:rPr>
        <w:drawing>
          <wp:inline distT="0" distB="0" distL="0" distR="0" wp14:anchorId="772E5B6C" wp14:editId="48762C87">
            <wp:extent cx="9778365" cy="4036418"/>
            <wp:effectExtent l="0" t="0" r="0" b="2540"/>
            <wp:docPr id="7169" name="Picture 7169" descr="Individual and mixture results of passive samplers" title="Sarina Inlet pesticide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9778365" cy="4036418"/>
                    </a:xfrm>
                    <a:prstGeom prst="rect">
                      <a:avLst/>
                    </a:prstGeom>
                    <a:noFill/>
                    <a:ln>
                      <a:noFill/>
                    </a:ln>
                  </pic:spPr>
                </pic:pic>
              </a:graphicData>
            </a:graphic>
          </wp:inline>
        </w:drawing>
      </w:r>
    </w:p>
    <w:p w14:paraId="0E5E17B1" w14:textId="77777777" w:rsidR="006843E8" w:rsidRDefault="006843E8" w:rsidP="006843E8">
      <w:pPr>
        <w:ind w:firstLine="357"/>
        <w:jc w:val="left"/>
        <w:rPr>
          <w:b/>
          <w:bCs/>
          <w:sz w:val="18"/>
          <w:szCs w:val="18"/>
        </w:rPr>
      </w:pPr>
      <w:r>
        <w:br w:type="page"/>
      </w:r>
    </w:p>
    <w:p w14:paraId="4ABF99DF" w14:textId="10E4AFA4" w:rsidR="006843E8" w:rsidRPr="00840E64" w:rsidRDefault="006843E8" w:rsidP="006843E8">
      <w:pPr>
        <w:pStyle w:val="Caption"/>
        <w:spacing w:after="120"/>
        <w:rPr>
          <w:b w:val="0"/>
        </w:rPr>
      </w:pPr>
      <w:bookmarkStart w:id="772" w:name="_Ref480910605"/>
      <w:bookmarkStart w:id="773" w:name="_Toc527468645"/>
      <w:bookmarkStart w:id="774" w:name="_Toc5285170"/>
      <w:bookmarkStart w:id="775" w:name="_Toc15283242"/>
      <w:r>
        <w:t xml:space="preserve">Table </w:t>
      </w:r>
      <w:r>
        <w:fldChar w:fldCharType="begin"/>
      </w:r>
      <w:r>
        <w:instrText xml:space="preserve"> STYLEREF 7 \s </w:instrText>
      </w:r>
      <w:r>
        <w:fldChar w:fldCharType="separate"/>
      </w:r>
      <w:r>
        <w:rPr>
          <w:noProof/>
        </w:rPr>
        <w:t>F</w:t>
      </w:r>
      <w:r>
        <w:fldChar w:fldCharType="end"/>
      </w:r>
      <w:r>
        <w:noBreakHyphen/>
      </w:r>
      <w:r>
        <w:fldChar w:fldCharType="begin"/>
      </w:r>
      <w:r>
        <w:instrText xml:space="preserve"> SEQ Table_Apx \* ARABIC \s 7 </w:instrText>
      </w:r>
      <w:r>
        <w:fldChar w:fldCharType="separate"/>
      </w:r>
      <w:r>
        <w:rPr>
          <w:noProof/>
        </w:rPr>
        <w:t>11</w:t>
      </w:r>
      <w:r>
        <w:fldChar w:fldCharType="end"/>
      </w:r>
      <w:bookmarkEnd w:id="772"/>
      <w:r>
        <w:rPr>
          <w:b w:val="0"/>
        </w:rPr>
        <w:t>:</w:t>
      </w:r>
      <w:r w:rsidRPr="00840E64">
        <w:rPr>
          <w:b w:val="0"/>
        </w:rPr>
        <w:t xml:space="preserve"> Sandy Creek, Mackay Whitsunday region – </w:t>
      </w:r>
      <w:r>
        <w:rPr>
          <w:b w:val="0"/>
        </w:rPr>
        <w:t>Time integrated estimated c</w:t>
      </w:r>
      <w:r w:rsidRPr="00840E64">
        <w:rPr>
          <w:b w:val="0"/>
        </w:rPr>
        <w:t>oncentration</w:t>
      </w:r>
      <w:r>
        <w:rPr>
          <w:b w:val="0"/>
        </w:rPr>
        <w:t>s</w:t>
      </w:r>
      <w:r w:rsidRPr="00840E64">
        <w:rPr>
          <w:b w:val="0"/>
        </w:rPr>
        <w:t xml:space="preserve"> in water (</w:t>
      </w:r>
      <w:r w:rsidR="00C30A01" w:rsidRPr="00C30A01">
        <w:rPr>
          <w:b w:val="0"/>
        </w:rPr>
        <w:t> ng L</w:t>
      </w:r>
      <w:r w:rsidR="00C30A01" w:rsidRPr="00C30A01">
        <w:rPr>
          <w:b w:val="0"/>
          <w:vertAlign w:val="superscript"/>
        </w:rPr>
        <w:noBreakHyphen/>
        <w:t>1</w:t>
      </w:r>
      <w:r w:rsidRPr="00840E64">
        <w:rPr>
          <w:b w:val="0"/>
        </w:rPr>
        <w:t>)</w:t>
      </w:r>
      <w:bookmarkEnd w:id="773"/>
      <w:bookmarkEnd w:id="774"/>
      <w:bookmarkEnd w:id="775"/>
    </w:p>
    <w:p w14:paraId="337EDF2C" w14:textId="77777777" w:rsidR="006843E8" w:rsidRDefault="006843E8" w:rsidP="006843E8">
      <w:pPr>
        <w:spacing w:line="276" w:lineRule="auto"/>
        <w:rPr>
          <w:sz w:val="18"/>
          <w:szCs w:val="18"/>
          <w:lang w:val="en-AU" w:eastAsia="en-AU"/>
        </w:rPr>
      </w:pPr>
      <w:r w:rsidRPr="008E0289">
        <w:rPr>
          <w:noProof/>
          <w:lang w:val="en-AU" w:eastAsia="en-AU" w:bidi="ar-SA"/>
        </w:rPr>
        <w:drawing>
          <wp:inline distT="0" distB="0" distL="0" distR="0" wp14:anchorId="78971F44" wp14:editId="589766F1">
            <wp:extent cx="9778365" cy="4569178"/>
            <wp:effectExtent l="0" t="0" r="0" b="3175"/>
            <wp:docPr id="7172" name="Picture 7172" descr="Individual and mixture results of passive samplers" title="Sandy Creek pesticide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9778365" cy="4569178"/>
                    </a:xfrm>
                    <a:prstGeom prst="rect">
                      <a:avLst/>
                    </a:prstGeom>
                    <a:noFill/>
                    <a:ln>
                      <a:noFill/>
                    </a:ln>
                  </pic:spPr>
                </pic:pic>
              </a:graphicData>
            </a:graphic>
          </wp:inline>
        </w:drawing>
      </w:r>
      <w:r w:rsidRPr="000F32A4">
        <w:t xml:space="preserve"> </w:t>
      </w:r>
      <w:r>
        <w:rPr>
          <w:sz w:val="16"/>
          <w:szCs w:val="18"/>
          <w:lang w:val="en-AU" w:eastAsia="en-AU"/>
        </w:rPr>
        <w:br w:type="page"/>
      </w:r>
    </w:p>
    <w:p w14:paraId="254468B0" w14:textId="7B4A23E8" w:rsidR="006843E8" w:rsidRPr="00840E64" w:rsidRDefault="006843E8" w:rsidP="006843E8">
      <w:pPr>
        <w:pStyle w:val="Caption"/>
        <w:spacing w:after="120"/>
        <w:rPr>
          <w:b w:val="0"/>
        </w:rPr>
      </w:pPr>
      <w:bookmarkStart w:id="776" w:name="_Ref480725602"/>
      <w:bookmarkStart w:id="777" w:name="_Toc527468646"/>
      <w:bookmarkStart w:id="778" w:name="_Toc5285171"/>
      <w:bookmarkStart w:id="779" w:name="_Toc15283243"/>
      <w:r>
        <w:t xml:space="preserve">Table </w:t>
      </w:r>
      <w:r>
        <w:fldChar w:fldCharType="begin"/>
      </w:r>
      <w:r>
        <w:instrText xml:space="preserve"> STYLEREF 7 \s </w:instrText>
      </w:r>
      <w:r>
        <w:fldChar w:fldCharType="separate"/>
      </w:r>
      <w:r>
        <w:rPr>
          <w:noProof/>
        </w:rPr>
        <w:t>F</w:t>
      </w:r>
      <w:r>
        <w:fldChar w:fldCharType="end"/>
      </w:r>
      <w:r>
        <w:noBreakHyphen/>
      </w:r>
      <w:r>
        <w:fldChar w:fldCharType="begin"/>
      </w:r>
      <w:r>
        <w:instrText xml:space="preserve"> SEQ Table_Apx \* ARABIC \s 7 </w:instrText>
      </w:r>
      <w:r>
        <w:fldChar w:fldCharType="separate"/>
      </w:r>
      <w:r>
        <w:rPr>
          <w:noProof/>
        </w:rPr>
        <w:t>12</w:t>
      </w:r>
      <w:r>
        <w:fldChar w:fldCharType="end"/>
      </w:r>
      <w:bookmarkEnd w:id="776"/>
      <w:r>
        <w:rPr>
          <w:b w:val="0"/>
        </w:rPr>
        <w:t>:</w:t>
      </w:r>
      <w:r w:rsidRPr="00840E64">
        <w:rPr>
          <w:b w:val="0"/>
        </w:rPr>
        <w:t xml:space="preserve"> North Keppel Island, Fitzroy Region – </w:t>
      </w:r>
      <w:r>
        <w:rPr>
          <w:b w:val="0"/>
        </w:rPr>
        <w:t>Time integrated estimated c</w:t>
      </w:r>
      <w:r w:rsidRPr="00840E64">
        <w:rPr>
          <w:b w:val="0"/>
        </w:rPr>
        <w:t>oncentration</w:t>
      </w:r>
      <w:r>
        <w:rPr>
          <w:b w:val="0"/>
        </w:rPr>
        <w:t>s</w:t>
      </w:r>
      <w:r w:rsidRPr="00840E64">
        <w:rPr>
          <w:b w:val="0"/>
        </w:rPr>
        <w:t xml:space="preserve"> in water (</w:t>
      </w:r>
      <w:r w:rsidR="00C30A01" w:rsidRPr="00C30A01">
        <w:rPr>
          <w:b w:val="0"/>
        </w:rPr>
        <w:t> ng L</w:t>
      </w:r>
      <w:r w:rsidR="00C30A01" w:rsidRPr="00C30A01">
        <w:rPr>
          <w:b w:val="0"/>
          <w:vertAlign w:val="superscript"/>
        </w:rPr>
        <w:noBreakHyphen/>
        <w:t>1</w:t>
      </w:r>
      <w:r w:rsidRPr="00840E64">
        <w:rPr>
          <w:b w:val="0"/>
        </w:rPr>
        <w:t>)</w:t>
      </w:r>
      <w:bookmarkEnd w:id="777"/>
      <w:bookmarkEnd w:id="778"/>
      <w:bookmarkEnd w:id="779"/>
    </w:p>
    <w:p w14:paraId="4C70E946" w14:textId="77777777" w:rsidR="006843E8" w:rsidRDefault="006843E8" w:rsidP="006843E8">
      <w:pPr>
        <w:spacing w:line="276" w:lineRule="auto"/>
      </w:pPr>
      <w:r w:rsidRPr="008E0289">
        <w:rPr>
          <w:noProof/>
          <w:lang w:val="en-AU" w:eastAsia="en-AU" w:bidi="ar-SA"/>
        </w:rPr>
        <w:drawing>
          <wp:inline distT="0" distB="0" distL="0" distR="0" wp14:anchorId="4355137A" wp14:editId="31D906B0">
            <wp:extent cx="9778365" cy="5441262"/>
            <wp:effectExtent l="0" t="0" r="0" b="7620"/>
            <wp:docPr id="7174" name="Picture 7174" descr="Individual and mixture results of passive samplers" title="North Keppel Island pesticide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9778365" cy="5441262"/>
                    </a:xfrm>
                    <a:prstGeom prst="rect">
                      <a:avLst/>
                    </a:prstGeom>
                    <a:noFill/>
                    <a:ln>
                      <a:noFill/>
                    </a:ln>
                  </pic:spPr>
                </pic:pic>
              </a:graphicData>
            </a:graphic>
          </wp:inline>
        </w:drawing>
      </w:r>
    </w:p>
    <w:p w14:paraId="22B20B42" w14:textId="77777777" w:rsidR="006843E8" w:rsidRDefault="006843E8" w:rsidP="006843E8">
      <w:pPr>
        <w:ind w:firstLine="357"/>
        <w:jc w:val="left"/>
        <w:rPr>
          <w:rFonts w:eastAsiaTheme="majorEastAsia" w:cstheme="majorBidi"/>
          <w:b/>
          <w:bCs/>
          <w:sz w:val="28"/>
          <w:szCs w:val="20"/>
          <w:lang w:val="en-AU" w:bidi="ar-SA"/>
        </w:rPr>
      </w:pPr>
      <w:bookmarkStart w:id="780" w:name="_Toc461457790"/>
      <w:r>
        <w:br w:type="page"/>
      </w:r>
    </w:p>
    <w:p w14:paraId="23669AE0" w14:textId="77777777" w:rsidR="006843E8" w:rsidRPr="00CC4B66" w:rsidRDefault="006843E8" w:rsidP="006843E8">
      <w:pPr>
        <w:pStyle w:val="Heading7"/>
      </w:pPr>
      <w:bookmarkStart w:id="781" w:name="_Ref480726378"/>
      <w:bookmarkStart w:id="782" w:name="_Ref480746628"/>
      <w:bookmarkStart w:id="783" w:name="_Toc10627338"/>
      <w:r w:rsidRPr="00CC4B66">
        <w:t>Terrestrial run-off assessment results</w:t>
      </w:r>
      <w:bookmarkEnd w:id="780"/>
      <w:bookmarkEnd w:id="781"/>
      <w:bookmarkEnd w:id="782"/>
      <w:bookmarkEnd w:id="783"/>
    </w:p>
    <w:p w14:paraId="32504A2F" w14:textId="0AD58544" w:rsidR="006843E8" w:rsidRPr="00840E64" w:rsidRDefault="006843E8" w:rsidP="006843E8">
      <w:pPr>
        <w:pStyle w:val="Caption"/>
        <w:spacing w:after="120"/>
        <w:rPr>
          <w:b w:val="0"/>
        </w:rPr>
      </w:pPr>
      <w:bookmarkStart w:id="784" w:name="_Ref480726395"/>
      <w:bookmarkStart w:id="785" w:name="_Toc527468647"/>
      <w:bookmarkStart w:id="786" w:name="_Toc5285172"/>
      <w:bookmarkStart w:id="787" w:name="_Toc15283244"/>
      <w:r w:rsidRPr="00CC4B66">
        <w:t xml:space="preserve">Table </w:t>
      </w:r>
      <w:r w:rsidRPr="00CC4B66">
        <w:fldChar w:fldCharType="begin"/>
      </w:r>
      <w:r w:rsidRPr="00CC4B66">
        <w:instrText xml:space="preserve"> STYLEREF 7 \s </w:instrText>
      </w:r>
      <w:r w:rsidRPr="00CC4B66">
        <w:fldChar w:fldCharType="separate"/>
      </w:r>
      <w:r>
        <w:rPr>
          <w:noProof/>
        </w:rPr>
        <w:t>G</w:t>
      </w:r>
      <w:r w:rsidRPr="00CC4B66">
        <w:fldChar w:fldCharType="end"/>
      </w:r>
      <w:r w:rsidRPr="00CC4B66">
        <w:noBreakHyphen/>
      </w:r>
      <w:r w:rsidRPr="00CC4B66">
        <w:fldChar w:fldCharType="begin"/>
      </w:r>
      <w:r w:rsidRPr="00CC4B66">
        <w:instrText xml:space="preserve"> SEQ Table_Apx \* ARABIC \s 7 </w:instrText>
      </w:r>
      <w:r w:rsidRPr="00CC4B66">
        <w:fldChar w:fldCharType="separate"/>
      </w:r>
      <w:r>
        <w:rPr>
          <w:noProof/>
        </w:rPr>
        <w:t>1</w:t>
      </w:r>
      <w:r w:rsidRPr="00CC4B66">
        <w:fldChar w:fldCharType="end"/>
      </w:r>
      <w:bookmarkEnd w:id="784"/>
      <w:r w:rsidRPr="00CC4B66">
        <w:rPr>
          <w:b w:val="0"/>
        </w:rPr>
        <w:t xml:space="preserve">: Concentrations in </w:t>
      </w:r>
      <w:r>
        <w:rPr>
          <w:b w:val="0"/>
        </w:rPr>
        <w:t xml:space="preserve">grab </w:t>
      </w:r>
      <w:r w:rsidRPr="00CC4B66">
        <w:rPr>
          <w:b w:val="0"/>
        </w:rPr>
        <w:t>water</w:t>
      </w:r>
      <w:r>
        <w:rPr>
          <w:b w:val="0"/>
        </w:rPr>
        <w:t xml:space="preserve"> samples </w:t>
      </w:r>
      <w:r w:rsidRPr="00CC4B66">
        <w:rPr>
          <w:b w:val="0"/>
        </w:rPr>
        <w:t>(</w:t>
      </w:r>
      <w:r w:rsidR="00C30A01" w:rsidRPr="00C30A01">
        <w:rPr>
          <w:b w:val="0"/>
        </w:rPr>
        <w:t> ng L</w:t>
      </w:r>
      <w:r w:rsidR="00C30A01" w:rsidRPr="00C30A01">
        <w:rPr>
          <w:b w:val="0"/>
          <w:vertAlign w:val="superscript"/>
        </w:rPr>
        <w:noBreakHyphen/>
        <w:t>1</w:t>
      </w:r>
      <w:r w:rsidRPr="00CC4B66">
        <w:rPr>
          <w:b w:val="0"/>
        </w:rPr>
        <w:t xml:space="preserve">) measured at various locations offshore and in river mouths (along transects) during the </w:t>
      </w:r>
      <w:r>
        <w:rPr>
          <w:b w:val="0"/>
        </w:rPr>
        <w:t>2017–18  monitoring year</w:t>
      </w:r>
      <w:bookmarkEnd w:id="785"/>
      <w:bookmarkEnd w:id="786"/>
      <w:bookmarkEnd w:id="787"/>
    </w:p>
    <w:p w14:paraId="4D3AB980" w14:textId="77777777" w:rsidR="006843E8" w:rsidRDefault="006843E8" w:rsidP="006843E8">
      <w:pPr>
        <w:spacing w:line="276" w:lineRule="auto"/>
        <w:jc w:val="left"/>
        <w:rPr>
          <w:sz w:val="18"/>
          <w:szCs w:val="18"/>
        </w:rPr>
      </w:pPr>
      <w:r w:rsidRPr="008E0289">
        <w:rPr>
          <w:noProof/>
          <w:lang w:val="en-AU" w:eastAsia="en-AU" w:bidi="ar-SA"/>
        </w:rPr>
        <w:drawing>
          <wp:inline distT="0" distB="0" distL="0" distR="0" wp14:anchorId="6DE25FD5" wp14:editId="20835CAD">
            <wp:extent cx="9777051" cy="3981450"/>
            <wp:effectExtent l="0" t="0" r="0" b="0"/>
            <wp:docPr id="7176" name="Picture 7176" descr="Individual and mixture results of grab samples" title="Grab sample pesticide concentrations and mixture risk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9783093" cy="3983911"/>
                    </a:xfrm>
                    <a:prstGeom prst="rect">
                      <a:avLst/>
                    </a:prstGeom>
                    <a:noFill/>
                    <a:ln>
                      <a:noFill/>
                    </a:ln>
                  </pic:spPr>
                </pic:pic>
              </a:graphicData>
            </a:graphic>
          </wp:inline>
        </w:drawing>
      </w:r>
    </w:p>
    <w:p w14:paraId="60EB47D4" w14:textId="77777777" w:rsidR="006843E8" w:rsidRDefault="006843E8" w:rsidP="006843E8">
      <w:pPr>
        <w:spacing w:line="276" w:lineRule="auto"/>
        <w:ind w:firstLine="357"/>
        <w:jc w:val="left"/>
        <w:rPr>
          <w:sz w:val="18"/>
          <w:szCs w:val="18"/>
        </w:rPr>
      </w:pPr>
    </w:p>
    <w:p w14:paraId="3D2F722C" w14:textId="77777777" w:rsidR="006843E8" w:rsidRDefault="006843E8" w:rsidP="006843E8">
      <w:pPr>
        <w:spacing w:line="276" w:lineRule="auto"/>
        <w:ind w:firstLine="357"/>
        <w:jc w:val="left"/>
        <w:rPr>
          <w:sz w:val="18"/>
          <w:szCs w:val="18"/>
        </w:rPr>
      </w:pPr>
    </w:p>
    <w:p w14:paraId="603BD9E0" w14:textId="77777777" w:rsidR="006843E8" w:rsidRDefault="006843E8" w:rsidP="006843E8">
      <w:pPr>
        <w:spacing w:line="276" w:lineRule="auto"/>
        <w:ind w:firstLine="357"/>
        <w:jc w:val="left"/>
        <w:rPr>
          <w:sz w:val="18"/>
          <w:szCs w:val="18"/>
        </w:rPr>
      </w:pPr>
    </w:p>
    <w:p w14:paraId="732242AF" w14:textId="77777777" w:rsidR="006843E8" w:rsidRDefault="006843E8" w:rsidP="006843E8">
      <w:pPr>
        <w:spacing w:line="276" w:lineRule="auto"/>
        <w:ind w:firstLine="357"/>
        <w:jc w:val="left"/>
        <w:rPr>
          <w:sz w:val="18"/>
          <w:szCs w:val="18"/>
        </w:rPr>
      </w:pPr>
    </w:p>
    <w:p w14:paraId="04652B63" w14:textId="77777777" w:rsidR="006843E8" w:rsidRDefault="006843E8" w:rsidP="006843E8">
      <w:pPr>
        <w:spacing w:line="276" w:lineRule="auto"/>
        <w:ind w:firstLine="357"/>
        <w:jc w:val="left"/>
        <w:rPr>
          <w:sz w:val="18"/>
          <w:szCs w:val="18"/>
        </w:rPr>
      </w:pPr>
    </w:p>
    <w:p w14:paraId="383E3986" w14:textId="77777777" w:rsidR="006843E8" w:rsidRDefault="006843E8" w:rsidP="006843E8">
      <w:pPr>
        <w:spacing w:line="276" w:lineRule="auto"/>
        <w:ind w:firstLine="357"/>
        <w:jc w:val="left"/>
        <w:rPr>
          <w:sz w:val="18"/>
          <w:szCs w:val="18"/>
        </w:rPr>
      </w:pPr>
    </w:p>
    <w:p w14:paraId="4631AB3C" w14:textId="77777777" w:rsidR="006843E8" w:rsidRDefault="006843E8" w:rsidP="006843E8">
      <w:pPr>
        <w:spacing w:line="276" w:lineRule="auto"/>
        <w:ind w:firstLine="357"/>
        <w:jc w:val="left"/>
        <w:rPr>
          <w:sz w:val="18"/>
          <w:szCs w:val="18"/>
        </w:rPr>
      </w:pPr>
    </w:p>
    <w:p w14:paraId="7A8309AA" w14:textId="77777777" w:rsidR="006843E8" w:rsidRDefault="006843E8" w:rsidP="006843E8">
      <w:pPr>
        <w:spacing w:line="276" w:lineRule="auto"/>
        <w:ind w:firstLine="357"/>
        <w:jc w:val="left"/>
        <w:rPr>
          <w:sz w:val="18"/>
          <w:szCs w:val="18"/>
        </w:rPr>
      </w:pPr>
    </w:p>
    <w:p w14:paraId="1016BC0B" w14:textId="77777777" w:rsidR="006843E8" w:rsidRDefault="006843E8" w:rsidP="006843E8">
      <w:pPr>
        <w:spacing w:line="276" w:lineRule="auto"/>
        <w:ind w:firstLine="357"/>
        <w:jc w:val="left"/>
        <w:rPr>
          <w:sz w:val="18"/>
          <w:szCs w:val="18"/>
        </w:rPr>
      </w:pPr>
    </w:p>
    <w:p w14:paraId="53389A15" w14:textId="77777777" w:rsidR="006843E8" w:rsidRDefault="006843E8" w:rsidP="006843E8">
      <w:pPr>
        <w:spacing w:line="276" w:lineRule="auto"/>
        <w:ind w:firstLine="357"/>
        <w:jc w:val="left"/>
        <w:rPr>
          <w:sz w:val="18"/>
          <w:szCs w:val="18"/>
        </w:rPr>
      </w:pPr>
    </w:p>
    <w:p w14:paraId="3D7BF849" w14:textId="77777777" w:rsidR="006843E8" w:rsidRDefault="006843E8" w:rsidP="006843E8">
      <w:pPr>
        <w:spacing w:line="276" w:lineRule="auto"/>
        <w:ind w:firstLine="357"/>
        <w:jc w:val="left"/>
        <w:rPr>
          <w:sz w:val="18"/>
          <w:szCs w:val="18"/>
        </w:rPr>
      </w:pPr>
    </w:p>
    <w:p w14:paraId="57F0EE7F" w14:textId="77777777" w:rsidR="006843E8" w:rsidRPr="00840E64" w:rsidRDefault="006843E8" w:rsidP="006843E8">
      <w:pPr>
        <w:pStyle w:val="Caption"/>
        <w:spacing w:after="120"/>
        <w:rPr>
          <w:b w:val="0"/>
        </w:rPr>
      </w:pPr>
      <w:r w:rsidRPr="00CC4B66">
        <w:t xml:space="preserve">Table </w:t>
      </w:r>
      <w:r>
        <w:t>G-1 (cont.)</w:t>
      </w:r>
      <w:r w:rsidRPr="00CC4B66">
        <w:rPr>
          <w:b w:val="0"/>
        </w:rPr>
        <w:t xml:space="preserve">: Concentrations in </w:t>
      </w:r>
      <w:r>
        <w:rPr>
          <w:b w:val="0"/>
        </w:rPr>
        <w:t xml:space="preserve">grab </w:t>
      </w:r>
      <w:r w:rsidRPr="00CC4B66">
        <w:rPr>
          <w:b w:val="0"/>
        </w:rPr>
        <w:t>water</w:t>
      </w:r>
      <w:r>
        <w:rPr>
          <w:b w:val="0"/>
        </w:rPr>
        <w:t xml:space="preserve"> samples </w:t>
      </w:r>
      <w:r w:rsidRPr="00CC4B66">
        <w:rPr>
          <w:b w:val="0"/>
        </w:rPr>
        <w:t>(ng L</w:t>
      </w:r>
      <w:r w:rsidRPr="00CC4B66">
        <w:rPr>
          <w:b w:val="0"/>
          <w:vertAlign w:val="superscript"/>
        </w:rPr>
        <w:t>-1</w:t>
      </w:r>
      <w:r w:rsidRPr="00CC4B66">
        <w:rPr>
          <w:b w:val="0"/>
        </w:rPr>
        <w:t xml:space="preserve">) measured at various locations offshore and in river mouths (along transects) during the </w:t>
      </w:r>
      <w:r>
        <w:rPr>
          <w:b w:val="0"/>
        </w:rPr>
        <w:t>2017–18 monitoring year</w:t>
      </w:r>
    </w:p>
    <w:p w14:paraId="50FA6024" w14:textId="77777777" w:rsidR="006843E8" w:rsidRDefault="006843E8" w:rsidP="006843E8">
      <w:pPr>
        <w:spacing w:line="276" w:lineRule="auto"/>
        <w:jc w:val="left"/>
        <w:rPr>
          <w:sz w:val="18"/>
          <w:szCs w:val="18"/>
        </w:rPr>
      </w:pPr>
      <w:r w:rsidRPr="008E0289">
        <w:rPr>
          <w:noProof/>
          <w:lang w:val="en-AU" w:eastAsia="en-AU" w:bidi="ar-SA"/>
        </w:rPr>
        <w:drawing>
          <wp:inline distT="0" distB="0" distL="0" distR="0" wp14:anchorId="6A871AB5" wp14:editId="5C1884FE">
            <wp:extent cx="9778365" cy="5700457"/>
            <wp:effectExtent l="0" t="0" r="0" b="0"/>
            <wp:docPr id="7179" name="Picture 7179" descr="Individual and mixture results of grab samples" title="Grab samples pesticide concentrations and mixture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9778365" cy="5700457"/>
                    </a:xfrm>
                    <a:prstGeom prst="rect">
                      <a:avLst/>
                    </a:prstGeom>
                    <a:noFill/>
                    <a:ln>
                      <a:noFill/>
                    </a:ln>
                  </pic:spPr>
                </pic:pic>
              </a:graphicData>
            </a:graphic>
          </wp:inline>
        </w:drawing>
      </w:r>
    </w:p>
    <w:p w14:paraId="36D8483F" w14:textId="77777777" w:rsidR="006843E8" w:rsidRDefault="006843E8" w:rsidP="006843E8">
      <w:pPr>
        <w:spacing w:line="276" w:lineRule="auto"/>
        <w:jc w:val="left"/>
        <w:rPr>
          <w:sz w:val="18"/>
          <w:szCs w:val="18"/>
        </w:rPr>
        <w:sectPr w:rsidR="006843E8" w:rsidSect="00581507">
          <w:pgSz w:w="16839" w:h="11907" w:orient="landscape" w:code="9"/>
          <w:pgMar w:top="720" w:right="720" w:bottom="720" w:left="720" w:header="709" w:footer="709" w:gutter="0"/>
          <w:cols w:space="708"/>
          <w:docGrid w:linePitch="360"/>
        </w:sectPr>
      </w:pPr>
    </w:p>
    <w:p w14:paraId="67E46AC3" w14:textId="77777777" w:rsidR="004E0E3D" w:rsidRDefault="004E0E3D" w:rsidP="002439C8">
      <w:pPr>
        <w:jc w:val="left"/>
        <w:rPr>
          <w:rFonts w:eastAsiaTheme="majorEastAsia" w:cstheme="majorBidi"/>
          <w:b/>
          <w:bCs/>
          <w:sz w:val="28"/>
          <w:szCs w:val="20"/>
          <w:lang w:val="en-AU" w:bidi="ar-SA"/>
        </w:rPr>
      </w:pPr>
    </w:p>
    <w:p w14:paraId="40E09847" w14:textId="77777777" w:rsidR="0059608E" w:rsidRPr="00F14863" w:rsidRDefault="00EC0782" w:rsidP="002439C8">
      <w:pPr>
        <w:pStyle w:val="Heading7"/>
        <w:spacing w:before="0" w:after="240"/>
        <w:ind w:left="1843" w:hanging="1843"/>
      </w:pPr>
      <w:r w:rsidRPr="00F14863">
        <w:t xml:space="preserve">Historical concentration profiles at </w:t>
      </w:r>
      <w:r w:rsidR="00185EFD" w:rsidRPr="00F14863">
        <w:t>fixed</w:t>
      </w:r>
      <w:r w:rsidRPr="00F14863">
        <w:t xml:space="preserve"> monitoring sites</w:t>
      </w:r>
      <w:bookmarkStart w:id="788" w:name="_Toc335640741"/>
      <w:bookmarkStart w:id="789" w:name="_Toc335643351"/>
      <w:bookmarkEnd w:id="736"/>
      <w:bookmarkEnd w:id="737"/>
      <w:bookmarkEnd w:id="738"/>
      <w:bookmarkEnd w:id="739"/>
      <w:bookmarkEnd w:id="740"/>
      <w:bookmarkEnd w:id="788"/>
      <w:bookmarkEnd w:id="789"/>
    </w:p>
    <w:p w14:paraId="033EA2AE" w14:textId="77777777" w:rsidR="007B75A5" w:rsidRDefault="00B60860" w:rsidP="002439C8">
      <w:pPr>
        <w:keepNext/>
        <w:spacing w:line="276" w:lineRule="auto"/>
        <w:jc w:val="left"/>
      </w:pPr>
      <w:r>
        <w:rPr>
          <w:noProof/>
          <w:lang w:val="en-AU" w:eastAsia="en-AU" w:bidi="ar-SA"/>
        </w:rPr>
        <w:drawing>
          <wp:inline distT="0" distB="0" distL="0" distR="0" wp14:anchorId="1A5189CB" wp14:editId="549C2BE6">
            <wp:extent cx="5400000" cy="7834106"/>
            <wp:effectExtent l="0" t="0" r="0" b="0"/>
            <wp:docPr id="2074" name="Picture 2074" descr="Temporal concentration profiles of individual herbicides at Low Isles in the Wet Tropics region" title="Table 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400000" cy="7834106"/>
                    </a:xfrm>
                    <a:prstGeom prst="rect">
                      <a:avLst/>
                    </a:prstGeom>
                    <a:noFill/>
                  </pic:spPr>
                </pic:pic>
              </a:graphicData>
            </a:graphic>
          </wp:inline>
        </w:drawing>
      </w:r>
      <w:r w:rsidR="005F49D9">
        <w:tab/>
      </w:r>
    </w:p>
    <w:p w14:paraId="14F39A3F" w14:textId="77777777" w:rsidR="0059608E" w:rsidRPr="00836530" w:rsidRDefault="0028187A" w:rsidP="002439C8">
      <w:pPr>
        <w:pStyle w:val="Caption"/>
        <w:keepNext/>
        <w:spacing w:line="276" w:lineRule="auto"/>
        <w:rPr>
          <w:b w:val="0"/>
        </w:rPr>
      </w:pPr>
      <w:bookmarkStart w:id="790" w:name="_Ref480739744"/>
      <w:bookmarkStart w:id="791" w:name="_Ref480741824"/>
      <w:bookmarkStart w:id="792" w:name="_Toc527468612"/>
      <w:bookmarkStart w:id="793" w:name="_Toc15042780"/>
      <w:r>
        <w:t xml:space="preserve">Figure </w:t>
      </w:r>
      <w:r w:rsidR="00C91BF5">
        <w:fldChar w:fldCharType="begin"/>
      </w:r>
      <w:r w:rsidR="008C60F9">
        <w:instrText xml:space="preserve"> STYLEREF 7 \s </w:instrText>
      </w:r>
      <w:r w:rsidR="00C91BF5">
        <w:fldChar w:fldCharType="separate"/>
      </w:r>
      <w:r w:rsidR="00251B4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1</w:t>
      </w:r>
      <w:r w:rsidR="00C91BF5">
        <w:fldChar w:fldCharType="end"/>
      </w:r>
      <w:bookmarkEnd w:id="790"/>
      <w:r w:rsidR="00836530">
        <w:rPr>
          <w:b w:val="0"/>
        </w:rPr>
        <w:t>:</w:t>
      </w:r>
      <w:r w:rsidR="007B75A5" w:rsidRPr="00836530">
        <w:rPr>
          <w:b w:val="0"/>
        </w:rPr>
        <w:t xml:space="preserve"> Temporal concentration profiles of individual herbicides at Low Isles in the Wet Tropics region</w:t>
      </w:r>
      <w:bookmarkEnd w:id="791"/>
      <w:bookmarkEnd w:id="792"/>
      <w:bookmarkEnd w:id="793"/>
    </w:p>
    <w:p w14:paraId="60711CBB" w14:textId="77777777" w:rsidR="0028187A" w:rsidRDefault="0028187A" w:rsidP="002439C8">
      <w:pPr>
        <w:ind w:firstLine="357"/>
        <w:jc w:val="left"/>
        <w:rPr>
          <w:b/>
          <w:bCs/>
          <w:sz w:val="18"/>
          <w:szCs w:val="18"/>
        </w:rPr>
      </w:pPr>
      <w:r>
        <w:br w:type="page"/>
      </w:r>
    </w:p>
    <w:p w14:paraId="6E682B77" w14:textId="77777777" w:rsidR="0059608E" w:rsidRDefault="00B60860" w:rsidP="002439C8">
      <w:pPr>
        <w:pStyle w:val="Caption"/>
        <w:spacing w:line="276" w:lineRule="auto"/>
      </w:pPr>
      <w:r>
        <w:rPr>
          <w:noProof/>
          <w:lang w:val="en-AU" w:eastAsia="en-AU" w:bidi="ar-SA"/>
        </w:rPr>
        <w:drawing>
          <wp:inline distT="0" distB="0" distL="0" distR="0" wp14:anchorId="76630F45" wp14:editId="59FA8DB0">
            <wp:extent cx="5760000" cy="8355125"/>
            <wp:effectExtent l="0" t="0" r="0" b="0"/>
            <wp:docPr id="2075" name="Picture 2075" descr="Temporal concentration profiles of individual herbicides at High Island in the Wet Tropics region" title="Figure 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760000" cy="8355125"/>
                    </a:xfrm>
                    <a:prstGeom prst="rect">
                      <a:avLst/>
                    </a:prstGeom>
                    <a:noFill/>
                  </pic:spPr>
                </pic:pic>
              </a:graphicData>
            </a:graphic>
          </wp:inline>
        </w:drawing>
      </w:r>
    </w:p>
    <w:p w14:paraId="2D5865E6" w14:textId="77777777" w:rsidR="0028187A" w:rsidRPr="00836530" w:rsidRDefault="0028187A" w:rsidP="002439C8">
      <w:pPr>
        <w:pStyle w:val="Caption"/>
        <w:keepNext/>
        <w:spacing w:line="276" w:lineRule="auto"/>
        <w:rPr>
          <w:b w:val="0"/>
        </w:rPr>
      </w:pPr>
      <w:bookmarkStart w:id="794" w:name="_Toc527468613"/>
      <w:bookmarkStart w:id="795" w:name="_Toc15042781"/>
      <w:r>
        <w:t xml:space="preserve">Figure </w:t>
      </w:r>
      <w:r w:rsidR="00C91BF5">
        <w:fldChar w:fldCharType="begin"/>
      </w:r>
      <w:r w:rsidR="008C60F9">
        <w:instrText xml:space="preserve"> STYLEREF 7 \s </w:instrText>
      </w:r>
      <w:r w:rsidR="00C91BF5">
        <w:fldChar w:fldCharType="separate"/>
      </w:r>
      <w:r w:rsidR="00251B4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2</w:t>
      </w:r>
      <w:r w:rsidR="00C91BF5">
        <w:fldChar w:fldCharType="end"/>
      </w:r>
      <w:r>
        <w:rPr>
          <w:b w:val="0"/>
        </w:rPr>
        <w:t>:</w:t>
      </w:r>
      <w:r w:rsidRPr="00836530">
        <w:rPr>
          <w:b w:val="0"/>
        </w:rPr>
        <w:t xml:space="preserve"> Temporal concentration profiles of individual herbicides at </w:t>
      </w:r>
      <w:r>
        <w:rPr>
          <w:b w:val="0"/>
        </w:rPr>
        <w:t>High Island</w:t>
      </w:r>
      <w:r w:rsidRPr="00836530">
        <w:rPr>
          <w:b w:val="0"/>
        </w:rPr>
        <w:t xml:space="preserve"> in the Wet Tropics region</w:t>
      </w:r>
      <w:bookmarkEnd w:id="794"/>
      <w:bookmarkEnd w:id="795"/>
    </w:p>
    <w:p w14:paraId="3349F129" w14:textId="77777777" w:rsidR="0028187A" w:rsidRPr="0028187A" w:rsidRDefault="0028187A" w:rsidP="002439C8">
      <w:pPr>
        <w:jc w:val="left"/>
      </w:pPr>
    </w:p>
    <w:p w14:paraId="36B58C1C" w14:textId="77777777" w:rsidR="00996637" w:rsidRDefault="00B60860" w:rsidP="002439C8">
      <w:pPr>
        <w:keepNext/>
        <w:spacing w:line="276" w:lineRule="auto"/>
        <w:jc w:val="left"/>
      </w:pPr>
      <w:r>
        <w:rPr>
          <w:noProof/>
          <w:lang w:val="en-AU" w:eastAsia="en-AU" w:bidi="ar-SA"/>
        </w:rPr>
        <w:drawing>
          <wp:inline distT="0" distB="0" distL="0" distR="0" wp14:anchorId="2D646CB3" wp14:editId="35F35D5A">
            <wp:extent cx="5760000" cy="8390904"/>
            <wp:effectExtent l="0" t="0" r="0" b="0"/>
            <wp:docPr id="2076" name="Picture 2076" descr="Temporal concentration profiles of individual herbicides at Dunk Island in the Wet Tropics region" title="Figure H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60000" cy="8390904"/>
                    </a:xfrm>
                    <a:prstGeom prst="rect">
                      <a:avLst/>
                    </a:prstGeom>
                    <a:noFill/>
                  </pic:spPr>
                </pic:pic>
              </a:graphicData>
            </a:graphic>
          </wp:inline>
        </w:drawing>
      </w:r>
    </w:p>
    <w:p w14:paraId="6DCCDC52" w14:textId="77777777" w:rsidR="0059608E" w:rsidRPr="00836530" w:rsidRDefault="0028187A" w:rsidP="002439C8">
      <w:pPr>
        <w:pStyle w:val="Caption"/>
        <w:keepNext/>
        <w:spacing w:line="276" w:lineRule="auto"/>
        <w:rPr>
          <w:b w:val="0"/>
        </w:rPr>
      </w:pPr>
      <w:bookmarkStart w:id="796" w:name="_Toc527468614"/>
      <w:bookmarkStart w:id="797" w:name="_Toc15042782"/>
      <w:r>
        <w:t xml:space="preserve">Figure </w:t>
      </w:r>
      <w:r w:rsidR="00C91BF5">
        <w:fldChar w:fldCharType="begin"/>
      </w:r>
      <w:r w:rsidR="008C60F9">
        <w:instrText xml:space="preserve"> STYLEREF 7 \s </w:instrText>
      </w:r>
      <w:r w:rsidR="00C91BF5">
        <w:fldChar w:fldCharType="separate"/>
      </w:r>
      <w:r w:rsidR="00251B4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3</w:t>
      </w:r>
      <w:r w:rsidR="00C91BF5">
        <w:fldChar w:fldCharType="end"/>
      </w:r>
      <w:r w:rsidR="00836530">
        <w:rPr>
          <w:b w:val="0"/>
        </w:rPr>
        <w:t>:</w:t>
      </w:r>
      <w:r w:rsidR="00996637" w:rsidRPr="00836530">
        <w:rPr>
          <w:b w:val="0"/>
        </w:rPr>
        <w:t xml:space="preserve"> Temporal concentration profiles of individual herbicides at Dunk Island in the Wet Tropics region</w:t>
      </w:r>
      <w:bookmarkEnd w:id="796"/>
      <w:bookmarkEnd w:id="797"/>
    </w:p>
    <w:p w14:paraId="672D20EF" w14:textId="77777777" w:rsidR="00996637" w:rsidRDefault="00B60860" w:rsidP="002439C8">
      <w:pPr>
        <w:keepNext/>
        <w:spacing w:line="276" w:lineRule="auto"/>
        <w:jc w:val="left"/>
      </w:pPr>
      <w:r>
        <w:rPr>
          <w:noProof/>
          <w:lang w:val="en-AU" w:eastAsia="en-AU" w:bidi="ar-SA"/>
        </w:rPr>
        <w:drawing>
          <wp:inline distT="0" distB="0" distL="0" distR="0" wp14:anchorId="33C36BB7" wp14:editId="7260D843">
            <wp:extent cx="5705475" cy="8439685"/>
            <wp:effectExtent l="0" t="0" r="0" b="0"/>
            <wp:docPr id="2077" name="Picture 2077" descr="Temporal concentration profiles of individual herbicides at Normanby Island in the Wet Tropics region" title="Figure H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709453" cy="8445569"/>
                    </a:xfrm>
                    <a:prstGeom prst="rect">
                      <a:avLst/>
                    </a:prstGeom>
                    <a:noFill/>
                  </pic:spPr>
                </pic:pic>
              </a:graphicData>
            </a:graphic>
          </wp:inline>
        </w:drawing>
      </w:r>
    </w:p>
    <w:p w14:paraId="4955676F" w14:textId="77777777" w:rsidR="0059608E" w:rsidRDefault="0028187A" w:rsidP="002439C8">
      <w:pPr>
        <w:pStyle w:val="Caption"/>
        <w:keepNext/>
        <w:spacing w:line="276" w:lineRule="auto"/>
        <w:rPr>
          <w:b w:val="0"/>
        </w:rPr>
      </w:pPr>
      <w:bookmarkStart w:id="798" w:name="_Toc527468615"/>
      <w:bookmarkStart w:id="799" w:name="_Toc15042783"/>
      <w:r>
        <w:t xml:space="preserve">Figure </w:t>
      </w:r>
      <w:r w:rsidR="00C91BF5">
        <w:fldChar w:fldCharType="begin"/>
      </w:r>
      <w:r w:rsidR="008C60F9">
        <w:instrText xml:space="preserve"> STYLEREF 7 \s </w:instrText>
      </w:r>
      <w:r w:rsidR="00C91BF5">
        <w:fldChar w:fldCharType="separate"/>
      </w:r>
      <w:r w:rsidR="00251B4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4</w:t>
      </w:r>
      <w:r w:rsidR="00C91BF5">
        <w:fldChar w:fldCharType="end"/>
      </w:r>
      <w:r w:rsidR="00836530">
        <w:rPr>
          <w:b w:val="0"/>
        </w:rPr>
        <w:t>:</w:t>
      </w:r>
      <w:r w:rsidR="00996637" w:rsidRPr="00836530">
        <w:rPr>
          <w:b w:val="0"/>
        </w:rPr>
        <w:t xml:space="preserve"> Temporal concentration profiles of individual herbicides at Normanby Island in the Wet Tropics region</w:t>
      </w:r>
      <w:bookmarkEnd w:id="798"/>
      <w:bookmarkEnd w:id="799"/>
    </w:p>
    <w:p w14:paraId="6C6DFBC4" w14:textId="77777777" w:rsidR="00E217AC" w:rsidRDefault="00B60860" w:rsidP="002439C8">
      <w:pPr>
        <w:jc w:val="left"/>
      </w:pPr>
      <w:r>
        <w:rPr>
          <w:noProof/>
          <w:lang w:val="en-AU" w:eastAsia="en-AU" w:bidi="ar-SA"/>
        </w:rPr>
        <w:drawing>
          <wp:inline distT="0" distB="0" distL="0" distR="0" wp14:anchorId="30C94C45" wp14:editId="29458B1F">
            <wp:extent cx="5760000" cy="8040774"/>
            <wp:effectExtent l="0" t="0" r="0" b="0"/>
            <wp:docPr id="2078" name="Picture 2078" descr="Temporal concentration profiles of individual herbicides at Lucinda in the Wet Tropics region" title="Figure H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760000" cy="8040774"/>
                    </a:xfrm>
                    <a:prstGeom prst="rect">
                      <a:avLst/>
                    </a:prstGeom>
                    <a:noFill/>
                  </pic:spPr>
                </pic:pic>
              </a:graphicData>
            </a:graphic>
          </wp:inline>
        </w:drawing>
      </w:r>
    </w:p>
    <w:p w14:paraId="5260845D" w14:textId="77777777" w:rsidR="00E217AC" w:rsidRPr="00836530" w:rsidRDefault="00E217AC" w:rsidP="002439C8">
      <w:pPr>
        <w:pStyle w:val="Caption"/>
        <w:keepNext/>
        <w:spacing w:line="276" w:lineRule="auto"/>
        <w:rPr>
          <w:b w:val="0"/>
        </w:rPr>
      </w:pPr>
      <w:bookmarkStart w:id="800" w:name="_Ref480739746"/>
      <w:bookmarkStart w:id="801" w:name="_Ref480741827"/>
      <w:bookmarkStart w:id="802" w:name="_Toc527468616"/>
      <w:bookmarkStart w:id="803" w:name="_Toc15042784"/>
      <w:r>
        <w:t xml:space="preserve">Figure </w:t>
      </w:r>
      <w:r>
        <w:fldChar w:fldCharType="begin"/>
      </w:r>
      <w:r>
        <w:instrText xml:space="preserve"> STYLEREF 7 \s </w:instrText>
      </w:r>
      <w:r>
        <w:fldChar w:fldCharType="separate"/>
      </w:r>
      <w:r w:rsidR="00251B46">
        <w:rPr>
          <w:noProof/>
        </w:rPr>
        <w:t>H</w:t>
      </w:r>
      <w:r>
        <w:fldChar w:fldCharType="end"/>
      </w:r>
      <w:r>
        <w:noBreakHyphen/>
      </w:r>
      <w:r>
        <w:fldChar w:fldCharType="begin"/>
      </w:r>
      <w:r>
        <w:instrText xml:space="preserve"> SEQ Figure_Apx \* ARABIC \s 7 </w:instrText>
      </w:r>
      <w:r>
        <w:fldChar w:fldCharType="separate"/>
      </w:r>
      <w:r w:rsidR="00251B46">
        <w:rPr>
          <w:noProof/>
        </w:rPr>
        <w:t>5</w:t>
      </w:r>
      <w:r>
        <w:fldChar w:fldCharType="end"/>
      </w:r>
      <w:bookmarkEnd w:id="800"/>
      <w:r>
        <w:rPr>
          <w:b w:val="0"/>
        </w:rPr>
        <w:t>:</w:t>
      </w:r>
      <w:r w:rsidRPr="00836530">
        <w:rPr>
          <w:b w:val="0"/>
        </w:rPr>
        <w:t xml:space="preserve"> Temporal concentration profiles of individual herbicides at Lucinda in the Wet Tropics region</w:t>
      </w:r>
      <w:bookmarkEnd w:id="801"/>
      <w:bookmarkEnd w:id="802"/>
      <w:bookmarkEnd w:id="803"/>
    </w:p>
    <w:p w14:paraId="5BC2CEDB" w14:textId="77777777" w:rsidR="00E217AC" w:rsidRPr="00E217AC" w:rsidRDefault="00E217AC" w:rsidP="002439C8">
      <w:pPr>
        <w:jc w:val="left"/>
      </w:pPr>
    </w:p>
    <w:p w14:paraId="5B86970D" w14:textId="77777777" w:rsidR="0003095A" w:rsidRDefault="00B60860" w:rsidP="002439C8">
      <w:pPr>
        <w:pStyle w:val="Caption"/>
        <w:keepNext/>
        <w:spacing w:line="276" w:lineRule="auto"/>
      </w:pPr>
      <w:r>
        <w:rPr>
          <w:noProof/>
          <w:lang w:val="en-AU" w:eastAsia="en-AU" w:bidi="ar-SA"/>
        </w:rPr>
        <w:drawing>
          <wp:inline distT="0" distB="0" distL="0" distR="0" wp14:anchorId="7E83A463" wp14:editId="32CDACA0">
            <wp:extent cx="5760000" cy="8221910"/>
            <wp:effectExtent l="0" t="0" r="0" b="0"/>
            <wp:docPr id="2079" name="Picture 2079" descr="Temporal concentration profiles of individual herbicides at Barratta Creek mouth in the Burdekin region" title="Figure H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760000" cy="8221910"/>
                    </a:xfrm>
                    <a:prstGeom prst="rect">
                      <a:avLst/>
                    </a:prstGeom>
                    <a:noFill/>
                  </pic:spPr>
                </pic:pic>
              </a:graphicData>
            </a:graphic>
          </wp:inline>
        </w:drawing>
      </w:r>
    </w:p>
    <w:p w14:paraId="555DB25A" w14:textId="77777777" w:rsidR="0059608E" w:rsidRPr="00836530" w:rsidRDefault="0028187A" w:rsidP="002439C8">
      <w:pPr>
        <w:pStyle w:val="Caption"/>
        <w:keepNext/>
        <w:spacing w:line="276" w:lineRule="auto"/>
        <w:rPr>
          <w:b w:val="0"/>
        </w:rPr>
      </w:pPr>
      <w:bookmarkStart w:id="804" w:name="_Ref480736903"/>
      <w:bookmarkStart w:id="805" w:name="_Toc527468617"/>
      <w:bookmarkStart w:id="806" w:name="_Toc15042785"/>
      <w:r>
        <w:t xml:space="preserve">Figure </w:t>
      </w:r>
      <w:r w:rsidR="00C91BF5">
        <w:fldChar w:fldCharType="begin"/>
      </w:r>
      <w:r w:rsidR="008C60F9">
        <w:instrText xml:space="preserve"> STYLEREF 7 \s </w:instrText>
      </w:r>
      <w:r w:rsidR="00C91BF5">
        <w:fldChar w:fldCharType="separate"/>
      </w:r>
      <w:r w:rsidR="00251B4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6</w:t>
      </w:r>
      <w:r w:rsidR="00C91BF5">
        <w:fldChar w:fldCharType="end"/>
      </w:r>
      <w:bookmarkEnd w:id="804"/>
      <w:r w:rsidR="00836530">
        <w:rPr>
          <w:b w:val="0"/>
        </w:rPr>
        <w:t>:</w:t>
      </w:r>
      <w:r w:rsidR="0003095A" w:rsidRPr="00836530">
        <w:rPr>
          <w:b w:val="0"/>
        </w:rPr>
        <w:t xml:space="preserve"> Temporal concentration profiles of individual herbicides at Barratta Creek mouth in the Burdekin region</w:t>
      </w:r>
      <w:bookmarkEnd w:id="805"/>
      <w:bookmarkEnd w:id="806"/>
    </w:p>
    <w:p w14:paraId="5D1DFD31" w14:textId="77777777" w:rsidR="00B60860" w:rsidRDefault="00B60860" w:rsidP="002439C8">
      <w:pPr>
        <w:keepNext/>
        <w:spacing w:line="276" w:lineRule="auto"/>
        <w:jc w:val="left"/>
      </w:pPr>
      <w:r>
        <w:rPr>
          <w:noProof/>
          <w:lang w:val="en-AU" w:eastAsia="en-AU" w:bidi="ar-SA"/>
        </w:rPr>
        <w:drawing>
          <wp:inline distT="0" distB="0" distL="0" distR="0" wp14:anchorId="76B74D20" wp14:editId="0AECA740">
            <wp:extent cx="5664502" cy="8486775"/>
            <wp:effectExtent l="0" t="0" r="0" b="0"/>
            <wp:docPr id="7200" name="Picture 7200" descr="Temporal concentration profiles of individual herbicides at Repulse Bay in the Mackay Whitsunday region" title="Figure H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666491" cy="8489755"/>
                    </a:xfrm>
                    <a:prstGeom prst="rect">
                      <a:avLst/>
                    </a:prstGeom>
                    <a:noFill/>
                  </pic:spPr>
                </pic:pic>
              </a:graphicData>
            </a:graphic>
          </wp:inline>
        </w:drawing>
      </w:r>
    </w:p>
    <w:p w14:paraId="62871E9C" w14:textId="77777777" w:rsidR="0059608E" w:rsidRPr="00836530" w:rsidRDefault="0028187A" w:rsidP="002439C8">
      <w:pPr>
        <w:pStyle w:val="Caption"/>
        <w:keepNext/>
        <w:spacing w:line="276" w:lineRule="auto"/>
        <w:rPr>
          <w:b w:val="0"/>
        </w:rPr>
      </w:pPr>
      <w:bookmarkStart w:id="807" w:name="_Ref480752479"/>
      <w:bookmarkStart w:id="808" w:name="_Toc527468618"/>
      <w:bookmarkStart w:id="809" w:name="_Toc15042786"/>
      <w:r>
        <w:t xml:space="preserve">Figure </w:t>
      </w:r>
      <w:r w:rsidR="00C91BF5">
        <w:fldChar w:fldCharType="begin"/>
      </w:r>
      <w:r w:rsidR="008C60F9">
        <w:instrText xml:space="preserve"> STYLEREF 7 \s </w:instrText>
      </w:r>
      <w:r w:rsidR="00C91BF5">
        <w:fldChar w:fldCharType="separate"/>
      </w:r>
      <w:r w:rsidR="00251B4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7</w:t>
      </w:r>
      <w:r w:rsidR="00C91BF5">
        <w:fldChar w:fldCharType="end"/>
      </w:r>
      <w:bookmarkEnd w:id="807"/>
      <w:r w:rsidR="00836530">
        <w:rPr>
          <w:b w:val="0"/>
        </w:rPr>
        <w:t>:</w:t>
      </w:r>
      <w:r w:rsidR="0003095A" w:rsidRPr="00836530">
        <w:rPr>
          <w:b w:val="0"/>
        </w:rPr>
        <w:t xml:space="preserve"> Temporal concentration profiles of individual herbicides at Repulse Bay in the Mackay Whitsunday region</w:t>
      </w:r>
      <w:bookmarkEnd w:id="808"/>
      <w:bookmarkEnd w:id="809"/>
    </w:p>
    <w:p w14:paraId="74AE3065" w14:textId="77777777" w:rsidR="00DF2C51" w:rsidRDefault="00B60860" w:rsidP="002439C8">
      <w:pPr>
        <w:keepNext/>
        <w:spacing w:line="276" w:lineRule="auto"/>
        <w:jc w:val="left"/>
      </w:pPr>
      <w:r>
        <w:rPr>
          <w:noProof/>
          <w:lang w:val="en-AU" w:eastAsia="en-AU" w:bidi="ar-SA"/>
        </w:rPr>
        <w:drawing>
          <wp:inline distT="0" distB="0" distL="0" distR="0" wp14:anchorId="0F538451" wp14:editId="2CC64514">
            <wp:extent cx="5571583" cy="8496300"/>
            <wp:effectExtent l="0" t="0" r="0" b="0"/>
            <wp:docPr id="7201" name="Picture 7201" descr="Temporal concentration profiles of individual herbicides at Round Top Island in the Mackay Whitsunday region" title="Figure H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580982" cy="8510633"/>
                    </a:xfrm>
                    <a:prstGeom prst="rect">
                      <a:avLst/>
                    </a:prstGeom>
                    <a:noFill/>
                  </pic:spPr>
                </pic:pic>
              </a:graphicData>
            </a:graphic>
          </wp:inline>
        </w:drawing>
      </w:r>
    </w:p>
    <w:p w14:paraId="598377D8" w14:textId="77777777" w:rsidR="0059608E" w:rsidRPr="00836530" w:rsidRDefault="0028187A" w:rsidP="002439C8">
      <w:pPr>
        <w:pStyle w:val="Caption"/>
        <w:keepNext/>
        <w:spacing w:line="276" w:lineRule="auto"/>
        <w:rPr>
          <w:b w:val="0"/>
        </w:rPr>
      </w:pPr>
      <w:bookmarkStart w:id="810" w:name="_Toc527468619"/>
      <w:bookmarkStart w:id="811" w:name="_Toc15042787"/>
      <w:r>
        <w:t xml:space="preserve">Figure </w:t>
      </w:r>
      <w:r w:rsidR="00C91BF5">
        <w:fldChar w:fldCharType="begin"/>
      </w:r>
      <w:r w:rsidR="008C60F9">
        <w:instrText xml:space="preserve"> STYLEREF 7 \s </w:instrText>
      </w:r>
      <w:r w:rsidR="00C91BF5">
        <w:fldChar w:fldCharType="separate"/>
      </w:r>
      <w:r w:rsidR="00251B4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8</w:t>
      </w:r>
      <w:r w:rsidR="00C91BF5">
        <w:fldChar w:fldCharType="end"/>
      </w:r>
      <w:r w:rsidR="00836530">
        <w:rPr>
          <w:b w:val="0"/>
        </w:rPr>
        <w:t>:</w:t>
      </w:r>
      <w:r w:rsidR="00DF2C51" w:rsidRPr="00836530">
        <w:rPr>
          <w:b w:val="0"/>
        </w:rPr>
        <w:t xml:space="preserve"> Temporal concentration profiles of individual herbicides at Round Top Island in the Mackay Whitsunday region</w:t>
      </w:r>
      <w:bookmarkEnd w:id="810"/>
      <w:bookmarkEnd w:id="811"/>
    </w:p>
    <w:p w14:paraId="23997BB4" w14:textId="77777777" w:rsidR="0026563F" w:rsidRDefault="00B60860" w:rsidP="002439C8">
      <w:pPr>
        <w:keepNext/>
        <w:spacing w:line="276" w:lineRule="auto"/>
        <w:jc w:val="left"/>
      </w:pPr>
      <w:r>
        <w:rPr>
          <w:noProof/>
          <w:lang w:val="en-AU" w:eastAsia="en-AU" w:bidi="ar-SA"/>
        </w:rPr>
        <w:drawing>
          <wp:inline distT="0" distB="0" distL="0" distR="0" wp14:anchorId="52F6AF72" wp14:editId="7DC31151">
            <wp:extent cx="5662778" cy="8448675"/>
            <wp:effectExtent l="0" t="0" r="0" b="0"/>
            <wp:docPr id="7202" name="Picture 7202" descr="Temporal concentration profiles of individual herbicides at Sandy Creek in the Mackay Whitsunday region" title="Figure H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666942" cy="8454888"/>
                    </a:xfrm>
                    <a:prstGeom prst="rect">
                      <a:avLst/>
                    </a:prstGeom>
                    <a:noFill/>
                  </pic:spPr>
                </pic:pic>
              </a:graphicData>
            </a:graphic>
          </wp:inline>
        </w:drawing>
      </w:r>
    </w:p>
    <w:p w14:paraId="522B60E3" w14:textId="77777777" w:rsidR="0059608E" w:rsidRPr="00836530" w:rsidRDefault="0028187A" w:rsidP="002439C8">
      <w:pPr>
        <w:pStyle w:val="Caption"/>
        <w:keepNext/>
        <w:spacing w:line="276" w:lineRule="auto"/>
        <w:rPr>
          <w:b w:val="0"/>
        </w:rPr>
      </w:pPr>
      <w:bookmarkStart w:id="812" w:name="_Toc527468620"/>
      <w:bookmarkStart w:id="813" w:name="_Toc15042788"/>
      <w:r>
        <w:t xml:space="preserve">Figure </w:t>
      </w:r>
      <w:r w:rsidR="00C91BF5">
        <w:fldChar w:fldCharType="begin"/>
      </w:r>
      <w:r w:rsidR="008C60F9">
        <w:instrText xml:space="preserve"> STYLEREF 7 \s </w:instrText>
      </w:r>
      <w:r w:rsidR="00C91BF5">
        <w:fldChar w:fldCharType="separate"/>
      </w:r>
      <w:r w:rsidR="00251B4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9</w:t>
      </w:r>
      <w:r w:rsidR="00C91BF5">
        <w:fldChar w:fldCharType="end"/>
      </w:r>
      <w:r w:rsidR="00836530">
        <w:rPr>
          <w:b w:val="0"/>
        </w:rPr>
        <w:t>:</w:t>
      </w:r>
      <w:r w:rsidR="0026563F" w:rsidRPr="00836530">
        <w:rPr>
          <w:b w:val="0"/>
        </w:rPr>
        <w:t xml:space="preserve"> Temporal concentration profiles of individual herbicides at Sandy Creek in the Mackay Whitsunday region</w:t>
      </w:r>
      <w:bookmarkEnd w:id="812"/>
      <w:bookmarkEnd w:id="813"/>
    </w:p>
    <w:p w14:paraId="6530BCA7" w14:textId="77777777" w:rsidR="0026563F" w:rsidRDefault="00B60860" w:rsidP="002439C8">
      <w:pPr>
        <w:keepNext/>
        <w:spacing w:line="276" w:lineRule="auto"/>
        <w:jc w:val="left"/>
      </w:pPr>
      <w:r>
        <w:rPr>
          <w:noProof/>
          <w:lang w:val="en-AU" w:eastAsia="en-AU" w:bidi="ar-SA"/>
        </w:rPr>
        <w:drawing>
          <wp:inline distT="0" distB="0" distL="0" distR="0" wp14:anchorId="3DF05FA5" wp14:editId="09A0164E">
            <wp:extent cx="5554208" cy="8496300"/>
            <wp:effectExtent l="0" t="0" r="0" b="0"/>
            <wp:docPr id="7203" name="Picture 7203" descr="Temporal concentration profiles of individual herbicides at Sarina Inlet in the Mackay Whitsunday region" title="Figure H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560991" cy="8506675"/>
                    </a:xfrm>
                    <a:prstGeom prst="rect">
                      <a:avLst/>
                    </a:prstGeom>
                    <a:noFill/>
                  </pic:spPr>
                </pic:pic>
              </a:graphicData>
            </a:graphic>
          </wp:inline>
        </w:drawing>
      </w:r>
    </w:p>
    <w:p w14:paraId="19C24ADB" w14:textId="77777777" w:rsidR="0059608E" w:rsidRPr="00836530" w:rsidRDefault="0028187A" w:rsidP="002439C8">
      <w:pPr>
        <w:pStyle w:val="Caption"/>
        <w:keepNext/>
        <w:spacing w:line="276" w:lineRule="auto"/>
        <w:rPr>
          <w:b w:val="0"/>
        </w:rPr>
      </w:pPr>
      <w:bookmarkStart w:id="814" w:name="_Ref480752484"/>
      <w:bookmarkStart w:id="815" w:name="_Toc527468621"/>
      <w:bookmarkStart w:id="816" w:name="_Toc15042789"/>
      <w:r>
        <w:t xml:space="preserve">Figure </w:t>
      </w:r>
      <w:r w:rsidR="00C91BF5">
        <w:fldChar w:fldCharType="begin"/>
      </w:r>
      <w:r w:rsidR="008C60F9">
        <w:instrText xml:space="preserve"> STYLEREF 7 \s </w:instrText>
      </w:r>
      <w:r w:rsidR="00C91BF5">
        <w:fldChar w:fldCharType="separate"/>
      </w:r>
      <w:r w:rsidR="00251B4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10</w:t>
      </w:r>
      <w:r w:rsidR="00C91BF5">
        <w:fldChar w:fldCharType="end"/>
      </w:r>
      <w:bookmarkEnd w:id="814"/>
      <w:r w:rsidR="00836530">
        <w:rPr>
          <w:b w:val="0"/>
        </w:rPr>
        <w:t>:</w:t>
      </w:r>
      <w:r w:rsidR="0026563F" w:rsidRPr="00836530">
        <w:rPr>
          <w:b w:val="0"/>
        </w:rPr>
        <w:t xml:space="preserve"> Temporal concentration profiles of individual herbicides at</w:t>
      </w:r>
      <w:r w:rsidR="0050579D" w:rsidRPr="00836530">
        <w:rPr>
          <w:b w:val="0"/>
        </w:rPr>
        <w:t xml:space="preserve"> </w:t>
      </w:r>
      <w:r w:rsidR="0026563F" w:rsidRPr="00836530">
        <w:rPr>
          <w:b w:val="0"/>
        </w:rPr>
        <w:t>Sarina Inlet in the Mackay Whitsunday region</w:t>
      </w:r>
      <w:bookmarkEnd w:id="815"/>
      <w:bookmarkEnd w:id="816"/>
    </w:p>
    <w:p w14:paraId="4DBE7485" w14:textId="77777777" w:rsidR="0026563F" w:rsidRDefault="00B60860" w:rsidP="002439C8">
      <w:pPr>
        <w:keepNext/>
        <w:spacing w:line="276" w:lineRule="auto"/>
        <w:jc w:val="left"/>
      </w:pPr>
      <w:r>
        <w:rPr>
          <w:noProof/>
          <w:lang w:val="en-AU" w:eastAsia="en-AU" w:bidi="ar-SA"/>
        </w:rPr>
        <w:drawing>
          <wp:inline distT="0" distB="0" distL="0" distR="0" wp14:anchorId="010B702A" wp14:editId="2880FC39">
            <wp:extent cx="5721861" cy="8467725"/>
            <wp:effectExtent l="0" t="0" r="0" b="0"/>
            <wp:docPr id="7204" name="Picture 7204" descr="Temporal concentration profiles of individual herbicides at North Keppel Island in the Fitzroy region" title="Figure H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728795" cy="8477986"/>
                    </a:xfrm>
                    <a:prstGeom prst="rect">
                      <a:avLst/>
                    </a:prstGeom>
                    <a:noFill/>
                  </pic:spPr>
                </pic:pic>
              </a:graphicData>
            </a:graphic>
          </wp:inline>
        </w:drawing>
      </w:r>
    </w:p>
    <w:p w14:paraId="1E88FEAA" w14:textId="77777777" w:rsidR="006130D4" w:rsidRDefault="0028187A" w:rsidP="002439C8">
      <w:pPr>
        <w:pStyle w:val="Caption"/>
        <w:keepNext/>
        <w:spacing w:line="276" w:lineRule="auto"/>
      </w:pPr>
      <w:bookmarkStart w:id="817" w:name="_Ref480728568"/>
      <w:bookmarkStart w:id="818" w:name="_Toc527468622"/>
      <w:bookmarkStart w:id="819" w:name="_Toc15042790"/>
      <w:r>
        <w:t xml:space="preserve">Figure </w:t>
      </w:r>
      <w:r w:rsidR="00C91BF5">
        <w:fldChar w:fldCharType="begin"/>
      </w:r>
      <w:r w:rsidR="008C60F9">
        <w:instrText xml:space="preserve"> STYLEREF 7 \s </w:instrText>
      </w:r>
      <w:r w:rsidR="00C91BF5">
        <w:fldChar w:fldCharType="separate"/>
      </w:r>
      <w:r w:rsidR="00251B46">
        <w:rPr>
          <w:noProof/>
        </w:rPr>
        <w:t>H</w:t>
      </w:r>
      <w:r w:rsidR="00C91BF5">
        <w:fldChar w:fldCharType="end"/>
      </w:r>
      <w:r w:rsidR="008C60F9">
        <w:noBreakHyphen/>
      </w:r>
      <w:r w:rsidR="00C91BF5">
        <w:fldChar w:fldCharType="begin"/>
      </w:r>
      <w:r w:rsidR="008C60F9">
        <w:instrText xml:space="preserve"> SEQ Figure_Apx \* ARABIC \s 7 </w:instrText>
      </w:r>
      <w:r w:rsidR="00C91BF5">
        <w:fldChar w:fldCharType="separate"/>
      </w:r>
      <w:r w:rsidR="00251B46">
        <w:rPr>
          <w:noProof/>
        </w:rPr>
        <w:t>11</w:t>
      </w:r>
      <w:r w:rsidR="00C91BF5">
        <w:fldChar w:fldCharType="end"/>
      </w:r>
      <w:bookmarkEnd w:id="817"/>
      <w:r w:rsidR="00836530">
        <w:rPr>
          <w:b w:val="0"/>
        </w:rPr>
        <w:t>:</w:t>
      </w:r>
      <w:r w:rsidR="0026563F" w:rsidRPr="00836530">
        <w:rPr>
          <w:b w:val="0"/>
        </w:rPr>
        <w:t xml:space="preserve"> Temporal concentration profiles of individual herbicides at North Keppel Island in the Fitzroy region</w:t>
      </w:r>
      <w:bookmarkStart w:id="820" w:name="_Toc335638633"/>
      <w:bookmarkStart w:id="821" w:name="_Toc335641243"/>
      <w:bookmarkStart w:id="822" w:name="_Toc335638634"/>
      <w:bookmarkStart w:id="823" w:name="_Toc335641244"/>
      <w:bookmarkStart w:id="824" w:name="_Toc335638635"/>
      <w:bookmarkStart w:id="825" w:name="_Toc335641245"/>
      <w:bookmarkStart w:id="826" w:name="_Toc335638636"/>
      <w:bookmarkStart w:id="827" w:name="_Toc335641246"/>
      <w:bookmarkStart w:id="828" w:name="_Toc335638637"/>
      <w:bookmarkStart w:id="829" w:name="_Toc335641247"/>
      <w:bookmarkEnd w:id="818"/>
      <w:bookmarkEnd w:id="820"/>
      <w:bookmarkEnd w:id="821"/>
      <w:bookmarkEnd w:id="822"/>
      <w:bookmarkEnd w:id="823"/>
      <w:bookmarkEnd w:id="824"/>
      <w:bookmarkEnd w:id="825"/>
      <w:bookmarkEnd w:id="826"/>
      <w:bookmarkEnd w:id="827"/>
      <w:bookmarkEnd w:id="828"/>
      <w:bookmarkEnd w:id="829"/>
      <w:bookmarkEnd w:id="819"/>
    </w:p>
    <w:sectPr w:rsidR="006130D4" w:rsidSect="009E5D22">
      <w:type w:val="continuous"/>
      <w:pgSz w:w="11907" w:h="16839"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B558A5" w14:textId="77777777" w:rsidR="004E75D5" w:rsidRDefault="004E75D5">
      <w:r>
        <w:separator/>
      </w:r>
    </w:p>
  </w:endnote>
  <w:endnote w:type="continuationSeparator" w:id="0">
    <w:p w14:paraId="2D5B7706" w14:textId="77777777" w:rsidR="004E75D5" w:rsidRDefault="004E75D5">
      <w:r>
        <w:continuationSeparator/>
      </w:r>
    </w:p>
  </w:endnote>
  <w:endnote w:type="continuationNotice" w:id="1">
    <w:p w14:paraId="61A01561" w14:textId="77777777" w:rsidR="004E75D5" w:rsidRDefault="004E75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WWF">
    <w:altName w:val="Times New Roman"/>
    <w:panose1 w:val="00000000000000000000"/>
    <w:charset w:val="00"/>
    <w:family w:val="modern"/>
    <w:notTrueType/>
    <w:pitch w:val="variable"/>
    <w:sig w:usb0="A00002AF" w:usb1="4000205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Dotum">
    <w:altName w:val="돋움"/>
    <w:panose1 w:val="020B0600000101010101"/>
    <w:charset w:val="81"/>
    <w:family w:val="modern"/>
    <w:notTrueType/>
    <w:pitch w:val="fixed"/>
    <w:sig w:usb0="00000001" w:usb1="09060000" w:usb2="00000010" w:usb3="00000000" w:csb0="00080000"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403E87" w14:textId="77777777" w:rsidR="00F41081" w:rsidRDefault="00F410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365835" w14:textId="77777777" w:rsidR="00F41081" w:rsidRDefault="00F4108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23A750" w14:textId="77777777" w:rsidR="00F41081" w:rsidRDefault="00F4108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3975432"/>
      <w:docPartObj>
        <w:docPartGallery w:val="Page Numbers (Bottom of Page)"/>
        <w:docPartUnique/>
      </w:docPartObj>
    </w:sdtPr>
    <w:sdtEndPr>
      <w:rPr>
        <w:noProof/>
      </w:rPr>
    </w:sdtEndPr>
    <w:sdtContent>
      <w:p w14:paraId="08DA9C91" w14:textId="33338B8A" w:rsidR="004E75D5" w:rsidRDefault="004E75D5" w:rsidP="00934FAD">
        <w:pPr>
          <w:pStyle w:val="Footer"/>
          <w:pBdr>
            <w:top w:val="single" w:sz="12" w:space="1" w:color="0070C0"/>
          </w:pBdr>
          <w:jc w:val="center"/>
        </w:pPr>
        <w:r>
          <w:fldChar w:fldCharType="begin"/>
        </w:r>
        <w:r>
          <w:instrText xml:space="preserve"> PAGE   \* MERGEFORMAT </w:instrText>
        </w:r>
        <w:r>
          <w:fldChar w:fldCharType="separate"/>
        </w:r>
        <w:r w:rsidR="00F41081">
          <w:rPr>
            <w:noProof/>
          </w:rPr>
          <w:t>i</w:t>
        </w:r>
        <w:r>
          <w:rPr>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Gill Sans MT" w:hAnsi="Gill Sans MT"/>
        <w:sz w:val="20"/>
      </w:rPr>
      <w:id w:val="2039462111"/>
      <w:docPartObj>
        <w:docPartGallery w:val="Page Numbers (Bottom of Page)"/>
        <w:docPartUnique/>
      </w:docPartObj>
    </w:sdtPr>
    <w:sdtEndPr>
      <w:rPr>
        <w:noProof/>
      </w:rPr>
    </w:sdtEndPr>
    <w:sdtContent>
      <w:p w14:paraId="4D57B742" w14:textId="55F009F3" w:rsidR="004E75D5" w:rsidRPr="007721EA" w:rsidRDefault="004E75D5" w:rsidP="00934FAD">
        <w:pPr>
          <w:pStyle w:val="Footer"/>
          <w:pBdr>
            <w:top w:val="single" w:sz="12" w:space="1" w:color="0070C0"/>
          </w:pBdr>
          <w:jc w:val="center"/>
          <w:rPr>
            <w:rFonts w:ascii="Gill Sans MT" w:hAnsi="Gill Sans MT"/>
            <w:sz w:val="20"/>
          </w:rPr>
        </w:pPr>
        <w:r w:rsidRPr="007721EA">
          <w:rPr>
            <w:rFonts w:ascii="Gill Sans MT" w:hAnsi="Gill Sans MT"/>
            <w:sz w:val="20"/>
          </w:rPr>
          <w:fldChar w:fldCharType="begin"/>
        </w:r>
        <w:r w:rsidRPr="007721EA">
          <w:rPr>
            <w:rFonts w:ascii="Gill Sans MT" w:hAnsi="Gill Sans MT"/>
            <w:sz w:val="20"/>
          </w:rPr>
          <w:instrText xml:space="preserve"> PAGE   \* MERGEFORMAT </w:instrText>
        </w:r>
        <w:r w:rsidRPr="007721EA">
          <w:rPr>
            <w:rFonts w:ascii="Gill Sans MT" w:hAnsi="Gill Sans MT"/>
            <w:sz w:val="20"/>
          </w:rPr>
          <w:fldChar w:fldCharType="separate"/>
        </w:r>
        <w:r w:rsidR="00F41081">
          <w:rPr>
            <w:rFonts w:ascii="Gill Sans MT" w:hAnsi="Gill Sans MT"/>
            <w:noProof/>
            <w:sz w:val="20"/>
          </w:rPr>
          <w:t>21</w:t>
        </w:r>
        <w:r w:rsidRPr="007721EA">
          <w:rPr>
            <w:rFonts w:ascii="Gill Sans MT" w:hAnsi="Gill Sans MT"/>
            <w:noProof/>
            <w:sz w:val="20"/>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Gill Sans MT" w:hAnsi="Gill Sans MT"/>
        <w:sz w:val="20"/>
      </w:rPr>
      <w:id w:val="-1658918392"/>
      <w:docPartObj>
        <w:docPartGallery w:val="Page Numbers (Bottom of Page)"/>
        <w:docPartUnique/>
      </w:docPartObj>
    </w:sdtPr>
    <w:sdtEndPr>
      <w:rPr>
        <w:noProof/>
      </w:rPr>
    </w:sdtEndPr>
    <w:sdtContent>
      <w:p w14:paraId="5617CB60" w14:textId="48833E18" w:rsidR="004E75D5" w:rsidRPr="007721EA" w:rsidRDefault="004E75D5" w:rsidP="00934FAD">
        <w:pPr>
          <w:pStyle w:val="Footer"/>
          <w:pBdr>
            <w:top w:val="single" w:sz="12" w:space="1" w:color="0070C0"/>
          </w:pBdr>
          <w:jc w:val="center"/>
          <w:rPr>
            <w:rFonts w:ascii="Gill Sans MT" w:hAnsi="Gill Sans MT"/>
            <w:sz w:val="20"/>
          </w:rPr>
        </w:pPr>
        <w:r w:rsidRPr="007721EA">
          <w:rPr>
            <w:rFonts w:ascii="Gill Sans MT" w:hAnsi="Gill Sans MT"/>
            <w:sz w:val="20"/>
          </w:rPr>
          <w:fldChar w:fldCharType="begin"/>
        </w:r>
        <w:r w:rsidRPr="007721EA">
          <w:rPr>
            <w:rFonts w:ascii="Gill Sans MT" w:hAnsi="Gill Sans MT"/>
            <w:sz w:val="20"/>
          </w:rPr>
          <w:instrText xml:space="preserve"> PAGE   \* MERGEFORMAT </w:instrText>
        </w:r>
        <w:r w:rsidRPr="007721EA">
          <w:rPr>
            <w:rFonts w:ascii="Gill Sans MT" w:hAnsi="Gill Sans MT"/>
            <w:sz w:val="20"/>
          </w:rPr>
          <w:fldChar w:fldCharType="separate"/>
        </w:r>
        <w:r w:rsidR="00F41081">
          <w:rPr>
            <w:rFonts w:ascii="Gill Sans MT" w:hAnsi="Gill Sans MT"/>
            <w:noProof/>
            <w:sz w:val="20"/>
          </w:rPr>
          <w:t>118</w:t>
        </w:r>
        <w:r w:rsidRPr="007721EA">
          <w:rPr>
            <w:rFonts w:ascii="Gill Sans MT" w:hAnsi="Gill Sans MT"/>
            <w:noProof/>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404DD4" w14:textId="77777777" w:rsidR="004E75D5" w:rsidRDefault="004E75D5">
      <w:r>
        <w:separator/>
      </w:r>
    </w:p>
  </w:footnote>
  <w:footnote w:type="continuationSeparator" w:id="0">
    <w:p w14:paraId="4DC31075" w14:textId="77777777" w:rsidR="004E75D5" w:rsidRDefault="004E75D5">
      <w:r>
        <w:continuationSeparator/>
      </w:r>
    </w:p>
  </w:footnote>
  <w:footnote w:type="continuationNotice" w:id="1">
    <w:p w14:paraId="7A7E966E" w14:textId="77777777" w:rsidR="004E75D5" w:rsidRDefault="004E75D5"/>
  </w:footnote>
  <w:footnote w:id="2">
    <w:p w14:paraId="5CD6254F" w14:textId="77777777" w:rsidR="004E75D5" w:rsidRDefault="004E75D5" w:rsidP="00D72F6A">
      <w:pPr>
        <w:pStyle w:val="FootnoteText"/>
      </w:pPr>
      <w:r w:rsidRPr="00E52377">
        <w:rPr>
          <w:rStyle w:val="FootnoteReference"/>
        </w:rPr>
        <w:footnoteRef/>
      </w:r>
      <w:r w:rsidRPr="00E52377">
        <w:t xml:space="preserve"> The average is calculated from a multiple imputation approach that uses statistical distributions to infill missing days of data.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8A2926" w14:textId="77777777" w:rsidR="00F41081" w:rsidRDefault="00F4108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B076B2" w14:textId="77777777" w:rsidR="00F41081" w:rsidRDefault="00F4108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DD0105" w14:textId="77777777" w:rsidR="00F41081" w:rsidRDefault="00F4108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35E7C5" w14:textId="77777777" w:rsidR="004E75D5" w:rsidRPr="00C43B68" w:rsidRDefault="00F41081" w:rsidP="00737A21">
    <w:pPr>
      <w:pBdr>
        <w:bottom w:val="single" w:sz="12" w:space="1" w:color="0070C0"/>
      </w:pBdr>
      <w:rPr>
        <w:rFonts w:cs="Arial"/>
        <w:sz w:val="18"/>
        <w:lang w:val="en-AU"/>
      </w:rPr>
    </w:pPr>
    <w:sdt>
      <w:sdtPr>
        <w:rPr>
          <w:sz w:val="16"/>
          <w:szCs w:val="16"/>
        </w:rPr>
        <w:id w:val="1097590280"/>
        <w:docPartObj>
          <w:docPartGallery w:val="Watermarks"/>
          <w:docPartUnique/>
        </w:docPartObj>
      </w:sdtPr>
      <w:sdtEndPr/>
      <w:sdtContent/>
    </w:sdt>
    <w:r w:rsidR="004E75D5" w:rsidRPr="00737A21">
      <w:rPr>
        <w:rFonts w:cs="Arial"/>
        <w:sz w:val="18"/>
        <w:lang w:val="en-AU"/>
      </w:rPr>
      <w:t xml:space="preserve"> </w:t>
    </w:r>
    <w:r w:rsidR="004E75D5">
      <w:rPr>
        <w:rFonts w:cs="Arial"/>
        <w:sz w:val="18"/>
        <w:lang w:val="en-AU"/>
      </w:rPr>
      <w:t xml:space="preserve">Marine Monitoring Program: Annual Report for inshore pesticide monitoring 2017–18 </w:t>
    </w:r>
  </w:p>
  <w:p w14:paraId="2E092ADD" w14:textId="77777777" w:rsidR="004E75D5" w:rsidRPr="00123A23" w:rsidRDefault="004E75D5" w:rsidP="00737A21">
    <w:pPr>
      <w:pStyle w:val="Header"/>
      <w:rPr>
        <w:color w:val="BFBFBF" w:themeColor="background1" w:themeShade="BF"/>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77F93"/>
    <w:multiLevelType w:val="hybridMultilevel"/>
    <w:tmpl w:val="FF2A7EC0"/>
    <w:lvl w:ilvl="0" w:tplc="61DCC4A8">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60B79AA"/>
    <w:multiLevelType w:val="hybridMultilevel"/>
    <w:tmpl w:val="05B429CA"/>
    <w:lvl w:ilvl="0" w:tplc="92AA18E2">
      <w:numFmt w:val="bullet"/>
      <w:lvlText w:val="-"/>
      <w:lvlJc w:val="left"/>
      <w:pPr>
        <w:ind w:left="720" w:hanging="360"/>
      </w:pPr>
      <w:rPr>
        <w:rFonts w:ascii="Arial" w:eastAsiaTheme="minorEastAsia"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DDC6763"/>
    <w:multiLevelType w:val="hybridMultilevel"/>
    <w:tmpl w:val="225EEE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DE36447"/>
    <w:multiLevelType w:val="hybridMultilevel"/>
    <w:tmpl w:val="73727D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13C59EF"/>
    <w:multiLevelType w:val="hybridMultilevel"/>
    <w:tmpl w:val="17F2E59E"/>
    <w:lvl w:ilvl="0" w:tplc="0C090001">
      <w:start w:val="1"/>
      <w:numFmt w:val="bullet"/>
      <w:lvlText w:val=""/>
      <w:lvlJc w:val="left"/>
      <w:pPr>
        <w:ind w:left="1287"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5" w15:restartNumberingAfterBreak="0">
    <w:nsid w:val="1DFD3095"/>
    <w:multiLevelType w:val="hybridMultilevel"/>
    <w:tmpl w:val="DC7CFF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7385061"/>
    <w:multiLevelType w:val="hybridMultilevel"/>
    <w:tmpl w:val="DAAC78D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7" w15:restartNumberingAfterBreak="0">
    <w:nsid w:val="274660D8"/>
    <w:multiLevelType w:val="hybridMultilevel"/>
    <w:tmpl w:val="1D9688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885243B"/>
    <w:multiLevelType w:val="multilevel"/>
    <w:tmpl w:val="5C96586E"/>
    <w:styleLink w:val="Style1"/>
    <w:lvl w:ilvl="0">
      <w:start w:val="1"/>
      <w:numFmt w:val="upperLetter"/>
      <w:lvlText w:val="%1."/>
      <w:lvlJc w:val="left"/>
      <w:pPr>
        <w:ind w:left="432" w:hanging="432"/>
      </w:pPr>
      <w:rPr>
        <w:rFonts w:hint="default"/>
        <w:sz w:val="32"/>
      </w:rPr>
    </w:lvl>
    <w:lvl w:ilvl="1">
      <w:start w:val="1"/>
      <w:numFmt w:val="decimal"/>
      <w:lvlText w:val="%1.%2"/>
      <w:lvlJc w:val="left"/>
      <w:pPr>
        <w:ind w:left="7239" w:hanging="576"/>
      </w:pPr>
      <w:rPr>
        <w:rFonts w:hint="default"/>
      </w:rPr>
    </w:lvl>
    <w:lvl w:ilvl="2">
      <w:start w:val="1"/>
      <w:numFmt w:val="decimal"/>
      <w:lvlText w:val="%1.%2.%3"/>
      <w:lvlJc w:val="left"/>
      <w:pPr>
        <w:ind w:left="720" w:hanging="720"/>
      </w:pPr>
      <w:rPr>
        <w:rFonts w:hint="default"/>
        <w:sz w:val="24"/>
        <w:szCs w:val="24"/>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2BAC2D01"/>
    <w:multiLevelType w:val="hybridMultilevel"/>
    <w:tmpl w:val="66AEB806"/>
    <w:lvl w:ilvl="0" w:tplc="07DCFC2C">
      <w:start w:val="1"/>
      <w:numFmt w:val="bullet"/>
      <w:pStyle w:val="WWFBullets"/>
      <w:lvlText w:val=""/>
      <w:lvlJc w:val="left"/>
      <w:pPr>
        <w:tabs>
          <w:tab w:val="num" w:pos="227"/>
        </w:tabs>
        <w:ind w:left="227" w:hanging="22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ECD2B9F"/>
    <w:multiLevelType w:val="hybridMultilevel"/>
    <w:tmpl w:val="5E30BF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F614ED1"/>
    <w:multiLevelType w:val="hybridMultilevel"/>
    <w:tmpl w:val="003EBF4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2" w15:restartNumberingAfterBreak="0">
    <w:nsid w:val="35A94D1B"/>
    <w:multiLevelType w:val="hybridMultilevel"/>
    <w:tmpl w:val="70E699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7B43262"/>
    <w:multiLevelType w:val="hybridMultilevel"/>
    <w:tmpl w:val="472853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C031049"/>
    <w:multiLevelType w:val="hybridMultilevel"/>
    <w:tmpl w:val="0C9866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2DC3C1D"/>
    <w:multiLevelType w:val="multilevel"/>
    <w:tmpl w:val="5ED0DE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upperLetter"/>
      <w:lvlText w:val="Appendix %7 "/>
      <w:lvlJc w:val="left"/>
      <w:pPr>
        <w:ind w:left="3763" w:hanging="360"/>
      </w:pPr>
      <w:rPr>
        <w:rFonts w:hint="default"/>
        <w:i w:val="0"/>
        <w:iCs w:val="0"/>
        <w:caps w:val="0"/>
        <w:smallCaps w:val="0"/>
        <w:strike w:val="0"/>
        <w:dstrike w:val="0"/>
        <w:vanish w:val="0"/>
        <w:color w:val="000000"/>
        <w:spacing w:val="0"/>
        <w:kern w:val="0"/>
        <w:position w:val="0"/>
        <w:u w:val="none"/>
        <w:effect w:val="none"/>
        <w:vertAlign w:val="baseline"/>
        <w:em w:val="none"/>
      </w:rPr>
    </w:lvl>
    <w:lvl w:ilvl="7">
      <w:start w:val="1"/>
      <w:numFmt w:val="decimal"/>
      <w:lvlRestart w:val="0"/>
      <w:pStyle w:val="Heading8"/>
      <w:lvlText w:val="%7-%8"/>
      <w:lvlJc w:val="left"/>
      <w:pPr>
        <w:ind w:left="851" w:hanging="425"/>
      </w:pPr>
      <w:rPr>
        <w:rFonts w:hint="default"/>
      </w:rPr>
    </w:lvl>
    <w:lvl w:ilvl="8">
      <w:start w:val="1"/>
      <w:numFmt w:val="lowerRoman"/>
      <w:lvlText w:val="%9."/>
      <w:lvlJc w:val="left"/>
      <w:pPr>
        <w:ind w:left="3240" w:hanging="360"/>
      </w:pPr>
      <w:rPr>
        <w:rFonts w:hint="default"/>
      </w:rPr>
    </w:lvl>
  </w:abstractNum>
  <w:abstractNum w:abstractNumId="16" w15:restartNumberingAfterBreak="0">
    <w:nsid w:val="49730B19"/>
    <w:multiLevelType w:val="hybridMultilevel"/>
    <w:tmpl w:val="F566E6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D0921C9"/>
    <w:multiLevelType w:val="hybridMultilevel"/>
    <w:tmpl w:val="CD4A2F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11B47F2"/>
    <w:multiLevelType w:val="multilevel"/>
    <w:tmpl w:val="ABEAA2C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upperLetter"/>
      <w:pStyle w:val="Heading7"/>
      <w:lvlText w:val="Appendix %7 "/>
      <w:lvlJc w:val="left"/>
      <w:pPr>
        <w:ind w:left="107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53F10B89"/>
    <w:multiLevelType w:val="hybridMultilevel"/>
    <w:tmpl w:val="FF2A7EC0"/>
    <w:lvl w:ilvl="0" w:tplc="61DCC4A8">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59991BCC"/>
    <w:multiLevelType w:val="hybridMultilevel"/>
    <w:tmpl w:val="24648A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5AD3134F"/>
    <w:multiLevelType w:val="hybridMultilevel"/>
    <w:tmpl w:val="F508EE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5F325886"/>
    <w:multiLevelType w:val="hybridMultilevel"/>
    <w:tmpl w:val="CF9C3A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651B0748"/>
    <w:multiLevelType w:val="hybridMultilevel"/>
    <w:tmpl w:val="027CC9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848645F"/>
    <w:multiLevelType w:val="hybridMultilevel"/>
    <w:tmpl w:val="9BACC6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6A21301D"/>
    <w:multiLevelType w:val="multilevel"/>
    <w:tmpl w:val="110AE89E"/>
    <w:lvl w:ilvl="0">
      <w:start w:val="1"/>
      <w:numFmt w:val="decimal"/>
      <w:pStyle w:val="Heading1"/>
      <w:lvlText w:val="%1."/>
      <w:lvlJc w:val="left"/>
      <w:pPr>
        <w:ind w:left="716" w:hanging="432"/>
      </w:pPr>
      <w:rPr>
        <w:rFonts w:hint="default"/>
        <w:sz w:val="32"/>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3698" w:hanging="720"/>
      </w:pPr>
      <w:rPr>
        <w:rFonts w:hint="default"/>
        <w:sz w:val="24"/>
        <w:szCs w:val="24"/>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6" w15:restartNumberingAfterBreak="0">
    <w:nsid w:val="6A440C57"/>
    <w:multiLevelType w:val="hybridMultilevel"/>
    <w:tmpl w:val="36826D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709E22CC"/>
    <w:multiLevelType w:val="hybridMultilevel"/>
    <w:tmpl w:val="4FC82E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787B6687"/>
    <w:multiLevelType w:val="hybridMultilevel"/>
    <w:tmpl w:val="3CBC53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8C03F1E"/>
    <w:multiLevelType w:val="hybridMultilevel"/>
    <w:tmpl w:val="42DA116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9311701"/>
    <w:multiLevelType w:val="hybridMultilevel"/>
    <w:tmpl w:val="5E6A67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DCE1A90"/>
    <w:multiLevelType w:val="hybridMultilevel"/>
    <w:tmpl w:val="613CD0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5"/>
  </w:num>
  <w:num w:numId="2">
    <w:abstractNumId w:val="11"/>
  </w:num>
  <w:num w:numId="3">
    <w:abstractNumId w:val="4"/>
  </w:num>
  <w:num w:numId="4">
    <w:abstractNumId w:val="3"/>
  </w:num>
  <w:num w:numId="5">
    <w:abstractNumId w:val="30"/>
  </w:num>
  <w:num w:numId="6">
    <w:abstractNumId w:val="23"/>
  </w:num>
  <w:num w:numId="7">
    <w:abstractNumId w:val="8"/>
  </w:num>
  <w:num w:numId="8">
    <w:abstractNumId w:val="18"/>
  </w:num>
  <w:num w:numId="9">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2"/>
    </w:lvlOverride>
    <w:lvlOverride w:ilvl="7">
      <w:startOverride w:val="1"/>
    </w:lvlOverride>
    <w:lvlOverride w:ilvl="8">
      <w:startOverride w:val="1"/>
    </w:lvlOverride>
  </w:num>
  <w:num w:numId="10">
    <w:abstractNumId w:val="15"/>
  </w:num>
  <w:num w:numId="11">
    <w:abstractNumId w:val="9"/>
  </w:num>
  <w:num w:numId="12">
    <w:abstractNumId w:val="12"/>
  </w:num>
  <w:num w:numId="13">
    <w:abstractNumId w:val="29"/>
  </w:num>
  <w:num w:numId="14">
    <w:abstractNumId w:val="24"/>
  </w:num>
  <w:num w:numId="15">
    <w:abstractNumId w:val="13"/>
  </w:num>
  <w:num w:numId="16">
    <w:abstractNumId w:val="1"/>
  </w:num>
  <w:num w:numId="17">
    <w:abstractNumId w:val="7"/>
  </w:num>
  <w:num w:numId="18">
    <w:abstractNumId w:val="14"/>
  </w:num>
  <w:num w:numId="19">
    <w:abstractNumId w:val="26"/>
  </w:num>
  <w:num w:numId="20">
    <w:abstractNumId w:val="10"/>
  </w:num>
  <w:num w:numId="21">
    <w:abstractNumId w:val="16"/>
  </w:num>
  <w:num w:numId="22">
    <w:abstractNumId w:val="27"/>
  </w:num>
  <w:num w:numId="23">
    <w:abstractNumId w:val="5"/>
  </w:num>
  <w:num w:numId="24">
    <w:abstractNumId w:val="28"/>
  </w:num>
  <w:num w:numId="25">
    <w:abstractNumId w:val="31"/>
  </w:num>
  <w:num w:numId="26">
    <w:abstractNumId w:val="20"/>
  </w:num>
  <w:num w:numId="27">
    <w:abstractNumId w:val="22"/>
  </w:num>
  <w:num w:numId="28">
    <w:abstractNumId w:val="21"/>
  </w:num>
  <w:num w:numId="29">
    <w:abstractNumId w:val="29"/>
  </w:num>
  <w:num w:numId="30">
    <w:abstractNumId w:val="0"/>
  </w:num>
  <w:num w:numId="31">
    <w:abstractNumId w:val="19"/>
  </w:num>
  <w:num w:numId="32">
    <w:abstractNumId w:val="2"/>
  </w:num>
  <w:num w:numId="33">
    <w:abstractNumId w:val="6"/>
  </w:num>
  <w:num w:numId="34">
    <w:abstractNumId w:val="1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hdrShapeDefaults>
    <o:shapedefaults v:ext="edit" spidmax="3072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Intl J Pharmaceutics&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tpvpwz0ufxa2me5tv6v2prn2ez5p9atsvtr&quot;&gt;Sharon&amp;apos;s Endnote Library&lt;record-ids&gt;&lt;item&gt;1&lt;/item&gt;&lt;item&gt;2&lt;/item&gt;&lt;item&gt;3&lt;/item&gt;&lt;item&gt;4&lt;/item&gt;&lt;item&gt;5&lt;/item&gt;&lt;item&gt;8&lt;/item&gt;&lt;item&gt;9&lt;/item&gt;&lt;item&gt;11&lt;/item&gt;&lt;item&gt;12&lt;/item&gt;&lt;item&gt;13&lt;/item&gt;&lt;item&gt;14&lt;/item&gt;&lt;item&gt;16&lt;/item&gt;&lt;item&gt;17&lt;/item&gt;&lt;item&gt;18&lt;/item&gt;&lt;item&gt;20&lt;/item&gt;&lt;item&gt;23&lt;/item&gt;&lt;item&gt;24&lt;/item&gt;&lt;item&gt;25&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7&lt;/item&gt;&lt;item&gt;49&lt;/item&gt;&lt;item&gt;50&lt;/item&gt;&lt;item&gt;51&lt;/item&gt;&lt;item&gt;52&lt;/item&gt;&lt;item&gt;53&lt;/item&gt;&lt;item&gt;54&lt;/item&gt;&lt;item&gt;55&lt;/item&gt;&lt;item&gt;56&lt;/item&gt;&lt;item&gt;57&lt;/item&gt;&lt;item&gt;58&lt;/item&gt;&lt;item&gt;60&lt;/item&gt;&lt;item&gt;61&lt;/item&gt;&lt;item&gt;63&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4&lt;/item&gt;&lt;item&gt;85&lt;/item&gt;&lt;item&gt;86&lt;/item&gt;&lt;item&gt;94&lt;/item&gt;&lt;item&gt;97&lt;/item&gt;&lt;item&gt;98&lt;/item&gt;&lt;item&gt;99&lt;/item&gt;&lt;item&gt;106&lt;/item&gt;&lt;item&gt;107&lt;/item&gt;&lt;item&gt;109&lt;/item&gt;&lt;item&gt;110&lt;/item&gt;&lt;item&gt;111&lt;/item&gt;&lt;item&gt;112&lt;/item&gt;&lt;item&gt;114&lt;/item&gt;&lt;/record-ids&gt;&lt;/item&gt;&lt;/Libraries&gt;"/>
  </w:docVars>
  <w:rsids>
    <w:rsidRoot w:val="0059608E"/>
    <w:rsid w:val="000001D7"/>
    <w:rsid w:val="000009BB"/>
    <w:rsid w:val="0000285F"/>
    <w:rsid w:val="000030D9"/>
    <w:rsid w:val="0000323F"/>
    <w:rsid w:val="00003CF2"/>
    <w:rsid w:val="00004DD1"/>
    <w:rsid w:val="00006785"/>
    <w:rsid w:val="00006F48"/>
    <w:rsid w:val="000070BE"/>
    <w:rsid w:val="000076D7"/>
    <w:rsid w:val="00010636"/>
    <w:rsid w:val="00010DAB"/>
    <w:rsid w:val="0001103E"/>
    <w:rsid w:val="00013663"/>
    <w:rsid w:val="000138A8"/>
    <w:rsid w:val="00015094"/>
    <w:rsid w:val="00015606"/>
    <w:rsid w:val="000157EF"/>
    <w:rsid w:val="00015E51"/>
    <w:rsid w:val="00016315"/>
    <w:rsid w:val="00017A34"/>
    <w:rsid w:val="00017BC5"/>
    <w:rsid w:val="00020E94"/>
    <w:rsid w:val="00021622"/>
    <w:rsid w:val="000225FF"/>
    <w:rsid w:val="00022F51"/>
    <w:rsid w:val="00024097"/>
    <w:rsid w:val="0002500C"/>
    <w:rsid w:val="00025545"/>
    <w:rsid w:val="00025878"/>
    <w:rsid w:val="00026099"/>
    <w:rsid w:val="00027377"/>
    <w:rsid w:val="0003095A"/>
    <w:rsid w:val="00030BBA"/>
    <w:rsid w:val="00030E49"/>
    <w:rsid w:val="00030FD5"/>
    <w:rsid w:val="00032159"/>
    <w:rsid w:val="00032228"/>
    <w:rsid w:val="00032D5F"/>
    <w:rsid w:val="00032FED"/>
    <w:rsid w:val="00033D0E"/>
    <w:rsid w:val="000340C7"/>
    <w:rsid w:val="000344A3"/>
    <w:rsid w:val="000350EE"/>
    <w:rsid w:val="00035468"/>
    <w:rsid w:val="00035854"/>
    <w:rsid w:val="000363B8"/>
    <w:rsid w:val="000369F7"/>
    <w:rsid w:val="00036ADF"/>
    <w:rsid w:val="00037E71"/>
    <w:rsid w:val="000404EC"/>
    <w:rsid w:val="00040C7B"/>
    <w:rsid w:val="000414FA"/>
    <w:rsid w:val="00041532"/>
    <w:rsid w:val="00041D10"/>
    <w:rsid w:val="00042332"/>
    <w:rsid w:val="00043133"/>
    <w:rsid w:val="000432EB"/>
    <w:rsid w:val="000435B2"/>
    <w:rsid w:val="000438E6"/>
    <w:rsid w:val="00044334"/>
    <w:rsid w:val="00044576"/>
    <w:rsid w:val="00044815"/>
    <w:rsid w:val="000448A3"/>
    <w:rsid w:val="0004598E"/>
    <w:rsid w:val="00045A01"/>
    <w:rsid w:val="0004636E"/>
    <w:rsid w:val="00047260"/>
    <w:rsid w:val="0004744A"/>
    <w:rsid w:val="000514C2"/>
    <w:rsid w:val="000519CF"/>
    <w:rsid w:val="00052DAE"/>
    <w:rsid w:val="00054CFC"/>
    <w:rsid w:val="00055496"/>
    <w:rsid w:val="00055522"/>
    <w:rsid w:val="00055F99"/>
    <w:rsid w:val="000566DB"/>
    <w:rsid w:val="00056B4F"/>
    <w:rsid w:val="00056CED"/>
    <w:rsid w:val="00056CEF"/>
    <w:rsid w:val="00056DEC"/>
    <w:rsid w:val="00057A40"/>
    <w:rsid w:val="0006041C"/>
    <w:rsid w:val="00061ED3"/>
    <w:rsid w:val="00063699"/>
    <w:rsid w:val="00063D6E"/>
    <w:rsid w:val="00064328"/>
    <w:rsid w:val="00064512"/>
    <w:rsid w:val="000648FB"/>
    <w:rsid w:val="00064EFF"/>
    <w:rsid w:val="000657A0"/>
    <w:rsid w:val="0006647B"/>
    <w:rsid w:val="00066DCA"/>
    <w:rsid w:val="00066E45"/>
    <w:rsid w:val="000670EA"/>
    <w:rsid w:val="0006758A"/>
    <w:rsid w:val="000700CF"/>
    <w:rsid w:val="00070AD6"/>
    <w:rsid w:val="00070AE2"/>
    <w:rsid w:val="00070C62"/>
    <w:rsid w:val="00071755"/>
    <w:rsid w:val="00072562"/>
    <w:rsid w:val="00072B9B"/>
    <w:rsid w:val="00072CDF"/>
    <w:rsid w:val="000739B0"/>
    <w:rsid w:val="00073C4E"/>
    <w:rsid w:val="0007450A"/>
    <w:rsid w:val="00074765"/>
    <w:rsid w:val="00074785"/>
    <w:rsid w:val="00074CA1"/>
    <w:rsid w:val="00075AFD"/>
    <w:rsid w:val="00075C08"/>
    <w:rsid w:val="00076160"/>
    <w:rsid w:val="00076960"/>
    <w:rsid w:val="00077143"/>
    <w:rsid w:val="00077EDA"/>
    <w:rsid w:val="00077F7F"/>
    <w:rsid w:val="00080088"/>
    <w:rsid w:val="000808A3"/>
    <w:rsid w:val="00080CCC"/>
    <w:rsid w:val="000825F1"/>
    <w:rsid w:val="00090CD8"/>
    <w:rsid w:val="00090DC1"/>
    <w:rsid w:val="00091130"/>
    <w:rsid w:val="00091338"/>
    <w:rsid w:val="00091AC3"/>
    <w:rsid w:val="0009253B"/>
    <w:rsid w:val="000926F0"/>
    <w:rsid w:val="00092762"/>
    <w:rsid w:val="00093417"/>
    <w:rsid w:val="000945F0"/>
    <w:rsid w:val="00094A7B"/>
    <w:rsid w:val="000953F3"/>
    <w:rsid w:val="000958C8"/>
    <w:rsid w:val="0009681A"/>
    <w:rsid w:val="000968C6"/>
    <w:rsid w:val="000969B2"/>
    <w:rsid w:val="0009707E"/>
    <w:rsid w:val="0009776F"/>
    <w:rsid w:val="00097E35"/>
    <w:rsid w:val="00097EAA"/>
    <w:rsid w:val="000A1670"/>
    <w:rsid w:val="000A1698"/>
    <w:rsid w:val="000A20ED"/>
    <w:rsid w:val="000A467A"/>
    <w:rsid w:val="000A47E8"/>
    <w:rsid w:val="000A4BE1"/>
    <w:rsid w:val="000A4E92"/>
    <w:rsid w:val="000A514F"/>
    <w:rsid w:val="000A66D4"/>
    <w:rsid w:val="000A6A2C"/>
    <w:rsid w:val="000A6CE1"/>
    <w:rsid w:val="000A72CB"/>
    <w:rsid w:val="000B0314"/>
    <w:rsid w:val="000B0647"/>
    <w:rsid w:val="000B10BF"/>
    <w:rsid w:val="000B168F"/>
    <w:rsid w:val="000B182C"/>
    <w:rsid w:val="000B2579"/>
    <w:rsid w:val="000B5D9D"/>
    <w:rsid w:val="000B664E"/>
    <w:rsid w:val="000B6D8A"/>
    <w:rsid w:val="000C0939"/>
    <w:rsid w:val="000C1191"/>
    <w:rsid w:val="000C15E8"/>
    <w:rsid w:val="000C16F6"/>
    <w:rsid w:val="000C20BF"/>
    <w:rsid w:val="000C31AA"/>
    <w:rsid w:val="000C4227"/>
    <w:rsid w:val="000C5D2A"/>
    <w:rsid w:val="000C67BE"/>
    <w:rsid w:val="000C78ED"/>
    <w:rsid w:val="000C7CE6"/>
    <w:rsid w:val="000C7F97"/>
    <w:rsid w:val="000D009B"/>
    <w:rsid w:val="000D05E0"/>
    <w:rsid w:val="000D1979"/>
    <w:rsid w:val="000D1A8A"/>
    <w:rsid w:val="000D22D5"/>
    <w:rsid w:val="000D2704"/>
    <w:rsid w:val="000D28E4"/>
    <w:rsid w:val="000D347F"/>
    <w:rsid w:val="000D3702"/>
    <w:rsid w:val="000D3ED3"/>
    <w:rsid w:val="000D4335"/>
    <w:rsid w:val="000D44EC"/>
    <w:rsid w:val="000D4511"/>
    <w:rsid w:val="000D4DA6"/>
    <w:rsid w:val="000D547D"/>
    <w:rsid w:val="000D55EA"/>
    <w:rsid w:val="000D6E4C"/>
    <w:rsid w:val="000D7052"/>
    <w:rsid w:val="000D7725"/>
    <w:rsid w:val="000D7C1C"/>
    <w:rsid w:val="000E02CA"/>
    <w:rsid w:val="000E0721"/>
    <w:rsid w:val="000E07CE"/>
    <w:rsid w:val="000E0E36"/>
    <w:rsid w:val="000E0F32"/>
    <w:rsid w:val="000E1268"/>
    <w:rsid w:val="000E1393"/>
    <w:rsid w:val="000E1A7C"/>
    <w:rsid w:val="000E1DE5"/>
    <w:rsid w:val="000E2C24"/>
    <w:rsid w:val="000E3C66"/>
    <w:rsid w:val="000E4059"/>
    <w:rsid w:val="000E47C5"/>
    <w:rsid w:val="000E58AD"/>
    <w:rsid w:val="000E7216"/>
    <w:rsid w:val="000E7759"/>
    <w:rsid w:val="000F04BC"/>
    <w:rsid w:val="000F05BA"/>
    <w:rsid w:val="000F089E"/>
    <w:rsid w:val="000F1331"/>
    <w:rsid w:val="000F2204"/>
    <w:rsid w:val="000F32A4"/>
    <w:rsid w:val="000F32C5"/>
    <w:rsid w:val="000F3940"/>
    <w:rsid w:val="000F4320"/>
    <w:rsid w:val="000F44FA"/>
    <w:rsid w:val="000F4A9A"/>
    <w:rsid w:val="000F6097"/>
    <w:rsid w:val="000F6953"/>
    <w:rsid w:val="000F6FCD"/>
    <w:rsid w:val="000F766B"/>
    <w:rsid w:val="000F7A33"/>
    <w:rsid w:val="00100F72"/>
    <w:rsid w:val="00100FD2"/>
    <w:rsid w:val="00101090"/>
    <w:rsid w:val="001018CD"/>
    <w:rsid w:val="00101FCA"/>
    <w:rsid w:val="001035A7"/>
    <w:rsid w:val="0010546F"/>
    <w:rsid w:val="0010626F"/>
    <w:rsid w:val="00106413"/>
    <w:rsid w:val="00106CE5"/>
    <w:rsid w:val="00110FB7"/>
    <w:rsid w:val="00111044"/>
    <w:rsid w:val="001113B2"/>
    <w:rsid w:val="001118D1"/>
    <w:rsid w:val="0011231F"/>
    <w:rsid w:val="00114630"/>
    <w:rsid w:val="00114646"/>
    <w:rsid w:val="00114A66"/>
    <w:rsid w:val="00114D34"/>
    <w:rsid w:val="00115AAD"/>
    <w:rsid w:val="00115B87"/>
    <w:rsid w:val="00116C26"/>
    <w:rsid w:val="00116D87"/>
    <w:rsid w:val="00116E95"/>
    <w:rsid w:val="001176C7"/>
    <w:rsid w:val="00117A94"/>
    <w:rsid w:val="00120BA5"/>
    <w:rsid w:val="00123D5A"/>
    <w:rsid w:val="001243CD"/>
    <w:rsid w:val="00125829"/>
    <w:rsid w:val="00125B7A"/>
    <w:rsid w:val="00125BED"/>
    <w:rsid w:val="001261CD"/>
    <w:rsid w:val="001264BA"/>
    <w:rsid w:val="001267F6"/>
    <w:rsid w:val="00126EC3"/>
    <w:rsid w:val="00127365"/>
    <w:rsid w:val="001301AC"/>
    <w:rsid w:val="00130543"/>
    <w:rsid w:val="00130CD6"/>
    <w:rsid w:val="00130DE2"/>
    <w:rsid w:val="00131E2B"/>
    <w:rsid w:val="0013215C"/>
    <w:rsid w:val="001322BE"/>
    <w:rsid w:val="00132810"/>
    <w:rsid w:val="00132921"/>
    <w:rsid w:val="00132B3C"/>
    <w:rsid w:val="00132D30"/>
    <w:rsid w:val="0013316C"/>
    <w:rsid w:val="00133815"/>
    <w:rsid w:val="001342C3"/>
    <w:rsid w:val="001347D2"/>
    <w:rsid w:val="00134D0C"/>
    <w:rsid w:val="00134E99"/>
    <w:rsid w:val="00134FB2"/>
    <w:rsid w:val="00135CB4"/>
    <w:rsid w:val="00136232"/>
    <w:rsid w:val="00136467"/>
    <w:rsid w:val="001408CC"/>
    <w:rsid w:val="00142FDE"/>
    <w:rsid w:val="0014321B"/>
    <w:rsid w:val="00143517"/>
    <w:rsid w:val="001442EA"/>
    <w:rsid w:val="001445C6"/>
    <w:rsid w:val="00144A2C"/>
    <w:rsid w:val="00144C45"/>
    <w:rsid w:val="0014602C"/>
    <w:rsid w:val="00146CF5"/>
    <w:rsid w:val="00146E35"/>
    <w:rsid w:val="00147096"/>
    <w:rsid w:val="001472CF"/>
    <w:rsid w:val="001474A3"/>
    <w:rsid w:val="00147778"/>
    <w:rsid w:val="0015020C"/>
    <w:rsid w:val="0015046C"/>
    <w:rsid w:val="0015169D"/>
    <w:rsid w:val="0015188B"/>
    <w:rsid w:val="00152D7C"/>
    <w:rsid w:val="0015398B"/>
    <w:rsid w:val="00154051"/>
    <w:rsid w:val="001540D1"/>
    <w:rsid w:val="00154E42"/>
    <w:rsid w:val="001563BA"/>
    <w:rsid w:val="00156728"/>
    <w:rsid w:val="001572EB"/>
    <w:rsid w:val="001577E9"/>
    <w:rsid w:val="00160436"/>
    <w:rsid w:val="00160B48"/>
    <w:rsid w:val="001612F5"/>
    <w:rsid w:val="00162DE9"/>
    <w:rsid w:val="001632DF"/>
    <w:rsid w:val="0016364B"/>
    <w:rsid w:val="00163671"/>
    <w:rsid w:val="001639DB"/>
    <w:rsid w:val="00163F1A"/>
    <w:rsid w:val="00164BAA"/>
    <w:rsid w:val="00165152"/>
    <w:rsid w:val="00165679"/>
    <w:rsid w:val="00165BFA"/>
    <w:rsid w:val="00165FBB"/>
    <w:rsid w:val="00167B9A"/>
    <w:rsid w:val="00170EC4"/>
    <w:rsid w:val="00171219"/>
    <w:rsid w:val="00173519"/>
    <w:rsid w:val="00173558"/>
    <w:rsid w:val="001736F2"/>
    <w:rsid w:val="00173793"/>
    <w:rsid w:val="00175419"/>
    <w:rsid w:val="001771B6"/>
    <w:rsid w:val="00177D81"/>
    <w:rsid w:val="0018039A"/>
    <w:rsid w:val="0018059A"/>
    <w:rsid w:val="0018079F"/>
    <w:rsid w:val="001807F9"/>
    <w:rsid w:val="00180E26"/>
    <w:rsid w:val="00181EDF"/>
    <w:rsid w:val="001830E2"/>
    <w:rsid w:val="00183D48"/>
    <w:rsid w:val="00184BA8"/>
    <w:rsid w:val="00184D34"/>
    <w:rsid w:val="00185B92"/>
    <w:rsid w:val="00185EFD"/>
    <w:rsid w:val="00186F38"/>
    <w:rsid w:val="00187647"/>
    <w:rsid w:val="001904C4"/>
    <w:rsid w:val="00191499"/>
    <w:rsid w:val="0019200D"/>
    <w:rsid w:val="0019242F"/>
    <w:rsid w:val="001926A3"/>
    <w:rsid w:val="00192C7C"/>
    <w:rsid w:val="00192D26"/>
    <w:rsid w:val="00193E68"/>
    <w:rsid w:val="0019575F"/>
    <w:rsid w:val="001960E8"/>
    <w:rsid w:val="00197074"/>
    <w:rsid w:val="00197A1A"/>
    <w:rsid w:val="001A06D9"/>
    <w:rsid w:val="001A09A5"/>
    <w:rsid w:val="001A0C9A"/>
    <w:rsid w:val="001A16CC"/>
    <w:rsid w:val="001A175A"/>
    <w:rsid w:val="001A1D95"/>
    <w:rsid w:val="001A21B2"/>
    <w:rsid w:val="001A22D4"/>
    <w:rsid w:val="001A2D80"/>
    <w:rsid w:val="001A2E6B"/>
    <w:rsid w:val="001A3A18"/>
    <w:rsid w:val="001A3AC5"/>
    <w:rsid w:val="001A3AFC"/>
    <w:rsid w:val="001A3D02"/>
    <w:rsid w:val="001A402B"/>
    <w:rsid w:val="001A441D"/>
    <w:rsid w:val="001A46FB"/>
    <w:rsid w:val="001A4801"/>
    <w:rsid w:val="001A490D"/>
    <w:rsid w:val="001A4975"/>
    <w:rsid w:val="001A4F56"/>
    <w:rsid w:val="001A7420"/>
    <w:rsid w:val="001A761A"/>
    <w:rsid w:val="001B0430"/>
    <w:rsid w:val="001B08F7"/>
    <w:rsid w:val="001B104C"/>
    <w:rsid w:val="001B15B4"/>
    <w:rsid w:val="001B1630"/>
    <w:rsid w:val="001B2823"/>
    <w:rsid w:val="001B2B4A"/>
    <w:rsid w:val="001B479B"/>
    <w:rsid w:val="001B4AE1"/>
    <w:rsid w:val="001B5463"/>
    <w:rsid w:val="001B634A"/>
    <w:rsid w:val="001B7372"/>
    <w:rsid w:val="001B73E5"/>
    <w:rsid w:val="001B7DB0"/>
    <w:rsid w:val="001C115A"/>
    <w:rsid w:val="001C19FA"/>
    <w:rsid w:val="001C1B87"/>
    <w:rsid w:val="001C2EBB"/>
    <w:rsid w:val="001C36A8"/>
    <w:rsid w:val="001C37D6"/>
    <w:rsid w:val="001C4264"/>
    <w:rsid w:val="001C45D0"/>
    <w:rsid w:val="001C521F"/>
    <w:rsid w:val="001C5A8A"/>
    <w:rsid w:val="001C60B7"/>
    <w:rsid w:val="001C7388"/>
    <w:rsid w:val="001C7496"/>
    <w:rsid w:val="001C768E"/>
    <w:rsid w:val="001C7A9D"/>
    <w:rsid w:val="001D18B7"/>
    <w:rsid w:val="001D1B49"/>
    <w:rsid w:val="001D1EBC"/>
    <w:rsid w:val="001D227D"/>
    <w:rsid w:val="001D2B79"/>
    <w:rsid w:val="001D2C8C"/>
    <w:rsid w:val="001D4EED"/>
    <w:rsid w:val="001D5523"/>
    <w:rsid w:val="001D59DA"/>
    <w:rsid w:val="001D61D4"/>
    <w:rsid w:val="001D64D8"/>
    <w:rsid w:val="001D71F3"/>
    <w:rsid w:val="001D762A"/>
    <w:rsid w:val="001D78F2"/>
    <w:rsid w:val="001E0710"/>
    <w:rsid w:val="001E0D47"/>
    <w:rsid w:val="001E12C9"/>
    <w:rsid w:val="001E1CDD"/>
    <w:rsid w:val="001E2115"/>
    <w:rsid w:val="001E2FB9"/>
    <w:rsid w:val="001E4310"/>
    <w:rsid w:val="001E4775"/>
    <w:rsid w:val="001E4F85"/>
    <w:rsid w:val="001E5909"/>
    <w:rsid w:val="001E64BD"/>
    <w:rsid w:val="001F047A"/>
    <w:rsid w:val="001F131E"/>
    <w:rsid w:val="001F2265"/>
    <w:rsid w:val="001F2E2E"/>
    <w:rsid w:val="001F35F0"/>
    <w:rsid w:val="001F3C67"/>
    <w:rsid w:val="001F484A"/>
    <w:rsid w:val="001F4FEF"/>
    <w:rsid w:val="001F6E6F"/>
    <w:rsid w:val="001F6F89"/>
    <w:rsid w:val="001F7093"/>
    <w:rsid w:val="001F7866"/>
    <w:rsid w:val="001F7A89"/>
    <w:rsid w:val="002003B7"/>
    <w:rsid w:val="00200C83"/>
    <w:rsid w:val="00201795"/>
    <w:rsid w:val="002021D3"/>
    <w:rsid w:val="00202225"/>
    <w:rsid w:val="0020226C"/>
    <w:rsid w:val="002024B3"/>
    <w:rsid w:val="00202ACD"/>
    <w:rsid w:val="002035F1"/>
    <w:rsid w:val="00203958"/>
    <w:rsid w:val="002048A0"/>
    <w:rsid w:val="00205F77"/>
    <w:rsid w:val="002062F1"/>
    <w:rsid w:val="0020663E"/>
    <w:rsid w:val="00206785"/>
    <w:rsid w:val="002068B4"/>
    <w:rsid w:val="00206DAC"/>
    <w:rsid w:val="002074FE"/>
    <w:rsid w:val="002075A3"/>
    <w:rsid w:val="00207C06"/>
    <w:rsid w:val="0021010D"/>
    <w:rsid w:val="00210186"/>
    <w:rsid w:val="00210543"/>
    <w:rsid w:val="00210B7C"/>
    <w:rsid w:val="00210DB6"/>
    <w:rsid w:val="0021135E"/>
    <w:rsid w:val="002118E1"/>
    <w:rsid w:val="00211973"/>
    <w:rsid w:val="00211ECA"/>
    <w:rsid w:val="002131DD"/>
    <w:rsid w:val="002136D1"/>
    <w:rsid w:val="0021390C"/>
    <w:rsid w:val="0021439F"/>
    <w:rsid w:val="00214465"/>
    <w:rsid w:val="002147A4"/>
    <w:rsid w:val="002150CF"/>
    <w:rsid w:val="002156FE"/>
    <w:rsid w:val="0021595B"/>
    <w:rsid w:val="00216278"/>
    <w:rsid w:val="002162CF"/>
    <w:rsid w:val="002164D0"/>
    <w:rsid w:val="002165DF"/>
    <w:rsid w:val="00216883"/>
    <w:rsid w:val="0021703F"/>
    <w:rsid w:val="0021774D"/>
    <w:rsid w:val="002177E4"/>
    <w:rsid w:val="00217893"/>
    <w:rsid w:val="00220329"/>
    <w:rsid w:val="00220439"/>
    <w:rsid w:val="0022112D"/>
    <w:rsid w:val="00221EB5"/>
    <w:rsid w:val="00222272"/>
    <w:rsid w:val="0022328F"/>
    <w:rsid w:val="00223A9E"/>
    <w:rsid w:val="00223AA6"/>
    <w:rsid w:val="00224549"/>
    <w:rsid w:val="00224A32"/>
    <w:rsid w:val="002250A7"/>
    <w:rsid w:val="002255B7"/>
    <w:rsid w:val="002257D2"/>
    <w:rsid w:val="00225BD1"/>
    <w:rsid w:val="00226536"/>
    <w:rsid w:val="00226BA6"/>
    <w:rsid w:val="002275A8"/>
    <w:rsid w:val="00227C91"/>
    <w:rsid w:val="0023161A"/>
    <w:rsid w:val="00233071"/>
    <w:rsid w:val="00233378"/>
    <w:rsid w:val="002333B4"/>
    <w:rsid w:val="002333F3"/>
    <w:rsid w:val="00233FC5"/>
    <w:rsid w:val="0023481E"/>
    <w:rsid w:val="00234860"/>
    <w:rsid w:val="00234ADB"/>
    <w:rsid w:val="00236C1C"/>
    <w:rsid w:val="00236C7B"/>
    <w:rsid w:val="00236F45"/>
    <w:rsid w:val="00237429"/>
    <w:rsid w:val="00237998"/>
    <w:rsid w:val="0024078C"/>
    <w:rsid w:val="002409CC"/>
    <w:rsid w:val="00240E91"/>
    <w:rsid w:val="002414F3"/>
    <w:rsid w:val="0024150B"/>
    <w:rsid w:val="0024179B"/>
    <w:rsid w:val="0024181E"/>
    <w:rsid w:val="00242A5B"/>
    <w:rsid w:val="002439C8"/>
    <w:rsid w:val="00243F7F"/>
    <w:rsid w:val="00244E88"/>
    <w:rsid w:val="00244ECD"/>
    <w:rsid w:val="00244EEF"/>
    <w:rsid w:val="00245504"/>
    <w:rsid w:val="0024564E"/>
    <w:rsid w:val="00245DC4"/>
    <w:rsid w:val="00250475"/>
    <w:rsid w:val="00251160"/>
    <w:rsid w:val="00251429"/>
    <w:rsid w:val="00251A20"/>
    <w:rsid w:val="00251B46"/>
    <w:rsid w:val="00252035"/>
    <w:rsid w:val="0025254D"/>
    <w:rsid w:val="0025293F"/>
    <w:rsid w:val="00252C9D"/>
    <w:rsid w:val="002533FA"/>
    <w:rsid w:val="0025341A"/>
    <w:rsid w:val="0025435A"/>
    <w:rsid w:val="002545B5"/>
    <w:rsid w:val="002556CE"/>
    <w:rsid w:val="00255B18"/>
    <w:rsid w:val="00255D58"/>
    <w:rsid w:val="00256759"/>
    <w:rsid w:val="00257A4D"/>
    <w:rsid w:val="002603AA"/>
    <w:rsid w:val="002603E3"/>
    <w:rsid w:val="002609B4"/>
    <w:rsid w:val="00260C29"/>
    <w:rsid w:val="00261716"/>
    <w:rsid w:val="0026178F"/>
    <w:rsid w:val="00262CE9"/>
    <w:rsid w:val="00262F51"/>
    <w:rsid w:val="0026338B"/>
    <w:rsid w:val="00263BC9"/>
    <w:rsid w:val="00265469"/>
    <w:rsid w:val="0026563F"/>
    <w:rsid w:val="00270EC2"/>
    <w:rsid w:val="002712C3"/>
    <w:rsid w:val="00271985"/>
    <w:rsid w:val="00272020"/>
    <w:rsid w:val="002720BF"/>
    <w:rsid w:val="002726C3"/>
    <w:rsid w:val="002729B8"/>
    <w:rsid w:val="00272C48"/>
    <w:rsid w:val="00273230"/>
    <w:rsid w:val="00274178"/>
    <w:rsid w:val="002748AA"/>
    <w:rsid w:val="002758FB"/>
    <w:rsid w:val="00275AE0"/>
    <w:rsid w:val="00275FDB"/>
    <w:rsid w:val="002779D3"/>
    <w:rsid w:val="00280D59"/>
    <w:rsid w:val="00281792"/>
    <w:rsid w:val="0028187A"/>
    <w:rsid w:val="00281AD2"/>
    <w:rsid w:val="00281B45"/>
    <w:rsid w:val="002820BA"/>
    <w:rsid w:val="00282F1C"/>
    <w:rsid w:val="002831E3"/>
    <w:rsid w:val="002836EA"/>
    <w:rsid w:val="00283CEE"/>
    <w:rsid w:val="0028438F"/>
    <w:rsid w:val="002845AD"/>
    <w:rsid w:val="00284796"/>
    <w:rsid w:val="00285559"/>
    <w:rsid w:val="00285D36"/>
    <w:rsid w:val="002904F4"/>
    <w:rsid w:val="0029088E"/>
    <w:rsid w:val="002912CE"/>
    <w:rsid w:val="00291329"/>
    <w:rsid w:val="00291C50"/>
    <w:rsid w:val="00292DB9"/>
    <w:rsid w:val="00293251"/>
    <w:rsid w:val="00293857"/>
    <w:rsid w:val="00293D1F"/>
    <w:rsid w:val="0029434B"/>
    <w:rsid w:val="00294EE0"/>
    <w:rsid w:val="002957D6"/>
    <w:rsid w:val="00295CAE"/>
    <w:rsid w:val="00295F33"/>
    <w:rsid w:val="0029681A"/>
    <w:rsid w:val="002A01CA"/>
    <w:rsid w:val="002A0D7D"/>
    <w:rsid w:val="002A0E21"/>
    <w:rsid w:val="002A1175"/>
    <w:rsid w:val="002A1471"/>
    <w:rsid w:val="002A1D74"/>
    <w:rsid w:val="002A20D5"/>
    <w:rsid w:val="002A2620"/>
    <w:rsid w:val="002A2DE2"/>
    <w:rsid w:val="002A397A"/>
    <w:rsid w:val="002A4611"/>
    <w:rsid w:val="002A4623"/>
    <w:rsid w:val="002A47F8"/>
    <w:rsid w:val="002A4CF4"/>
    <w:rsid w:val="002A54BA"/>
    <w:rsid w:val="002A5B58"/>
    <w:rsid w:val="002A6493"/>
    <w:rsid w:val="002A683A"/>
    <w:rsid w:val="002A70ED"/>
    <w:rsid w:val="002A7759"/>
    <w:rsid w:val="002A77E1"/>
    <w:rsid w:val="002A7F01"/>
    <w:rsid w:val="002B1876"/>
    <w:rsid w:val="002B1A9C"/>
    <w:rsid w:val="002B1C8E"/>
    <w:rsid w:val="002B221B"/>
    <w:rsid w:val="002B2A72"/>
    <w:rsid w:val="002B2CF9"/>
    <w:rsid w:val="002B44A6"/>
    <w:rsid w:val="002B4F67"/>
    <w:rsid w:val="002B6FCF"/>
    <w:rsid w:val="002B723D"/>
    <w:rsid w:val="002B725D"/>
    <w:rsid w:val="002B763D"/>
    <w:rsid w:val="002B7CA5"/>
    <w:rsid w:val="002C002D"/>
    <w:rsid w:val="002C09A3"/>
    <w:rsid w:val="002C0A66"/>
    <w:rsid w:val="002C0EC9"/>
    <w:rsid w:val="002C0F70"/>
    <w:rsid w:val="002C1006"/>
    <w:rsid w:val="002C1053"/>
    <w:rsid w:val="002C20CE"/>
    <w:rsid w:val="002C229F"/>
    <w:rsid w:val="002C2E3C"/>
    <w:rsid w:val="002C36F8"/>
    <w:rsid w:val="002C5C1C"/>
    <w:rsid w:val="002C5CDC"/>
    <w:rsid w:val="002C5CE0"/>
    <w:rsid w:val="002C6000"/>
    <w:rsid w:val="002C7174"/>
    <w:rsid w:val="002D0872"/>
    <w:rsid w:val="002D09B7"/>
    <w:rsid w:val="002D1A1F"/>
    <w:rsid w:val="002D3196"/>
    <w:rsid w:val="002D34E4"/>
    <w:rsid w:val="002D3694"/>
    <w:rsid w:val="002D3975"/>
    <w:rsid w:val="002D3ACB"/>
    <w:rsid w:val="002D401F"/>
    <w:rsid w:val="002D48AF"/>
    <w:rsid w:val="002D4BF7"/>
    <w:rsid w:val="002D5BB7"/>
    <w:rsid w:val="002D66EB"/>
    <w:rsid w:val="002D66EC"/>
    <w:rsid w:val="002D68C6"/>
    <w:rsid w:val="002D68FE"/>
    <w:rsid w:val="002D69E3"/>
    <w:rsid w:val="002D6B9C"/>
    <w:rsid w:val="002D7706"/>
    <w:rsid w:val="002D7D11"/>
    <w:rsid w:val="002E024F"/>
    <w:rsid w:val="002E0388"/>
    <w:rsid w:val="002E0DBE"/>
    <w:rsid w:val="002E0E52"/>
    <w:rsid w:val="002E1193"/>
    <w:rsid w:val="002E1386"/>
    <w:rsid w:val="002E1846"/>
    <w:rsid w:val="002E1996"/>
    <w:rsid w:val="002E31D7"/>
    <w:rsid w:val="002E3726"/>
    <w:rsid w:val="002E37FE"/>
    <w:rsid w:val="002E46A0"/>
    <w:rsid w:val="002E4C6B"/>
    <w:rsid w:val="002E50D5"/>
    <w:rsid w:val="002E6676"/>
    <w:rsid w:val="002F063F"/>
    <w:rsid w:val="002F091D"/>
    <w:rsid w:val="002F09B2"/>
    <w:rsid w:val="002F1196"/>
    <w:rsid w:val="002F139D"/>
    <w:rsid w:val="002F221E"/>
    <w:rsid w:val="002F2B0F"/>
    <w:rsid w:val="002F33A3"/>
    <w:rsid w:val="002F42CD"/>
    <w:rsid w:val="002F5237"/>
    <w:rsid w:val="002F523D"/>
    <w:rsid w:val="002F5376"/>
    <w:rsid w:val="002F5AD2"/>
    <w:rsid w:val="002F6A03"/>
    <w:rsid w:val="002F6E3D"/>
    <w:rsid w:val="002F6E6C"/>
    <w:rsid w:val="00300638"/>
    <w:rsid w:val="00301AF0"/>
    <w:rsid w:val="00301D28"/>
    <w:rsid w:val="003023DF"/>
    <w:rsid w:val="003024DC"/>
    <w:rsid w:val="00302628"/>
    <w:rsid w:val="00303AE4"/>
    <w:rsid w:val="00304720"/>
    <w:rsid w:val="0030520A"/>
    <w:rsid w:val="00305667"/>
    <w:rsid w:val="00305A71"/>
    <w:rsid w:val="00305AC4"/>
    <w:rsid w:val="00305E94"/>
    <w:rsid w:val="003060A9"/>
    <w:rsid w:val="003078FD"/>
    <w:rsid w:val="00310F2D"/>
    <w:rsid w:val="003115C8"/>
    <w:rsid w:val="0031260A"/>
    <w:rsid w:val="0031303D"/>
    <w:rsid w:val="0031334A"/>
    <w:rsid w:val="00313970"/>
    <w:rsid w:val="0031409D"/>
    <w:rsid w:val="00314346"/>
    <w:rsid w:val="00314F72"/>
    <w:rsid w:val="0031514D"/>
    <w:rsid w:val="00315C22"/>
    <w:rsid w:val="00315DA4"/>
    <w:rsid w:val="0031630D"/>
    <w:rsid w:val="003169FC"/>
    <w:rsid w:val="003177C7"/>
    <w:rsid w:val="00317F75"/>
    <w:rsid w:val="00320452"/>
    <w:rsid w:val="003211C1"/>
    <w:rsid w:val="00321B59"/>
    <w:rsid w:val="003222BD"/>
    <w:rsid w:val="00322C1E"/>
    <w:rsid w:val="00322E2A"/>
    <w:rsid w:val="003232AC"/>
    <w:rsid w:val="00323BC2"/>
    <w:rsid w:val="00325C57"/>
    <w:rsid w:val="0032603F"/>
    <w:rsid w:val="0032625E"/>
    <w:rsid w:val="00327C9F"/>
    <w:rsid w:val="00327E6D"/>
    <w:rsid w:val="00327ECD"/>
    <w:rsid w:val="0033013C"/>
    <w:rsid w:val="00330537"/>
    <w:rsid w:val="00330611"/>
    <w:rsid w:val="00330793"/>
    <w:rsid w:val="00331023"/>
    <w:rsid w:val="003313ED"/>
    <w:rsid w:val="003317F5"/>
    <w:rsid w:val="00332BFF"/>
    <w:rsid w:val="00332DFC"/>
    <w:rsid w:val="00333017"/>
    <w:rsid w:val="00333388"/>
    <w:rsid w:val="00333736"/>
    <w:rsid w:val="0033416A"/>
    <w:rsid w:val="003342C7"/>
    <w:rsid w:val="003354BF"/>
    <w:rsid w:val="0033603B"/>
    <w:rsid w:val="003363A0"/>
    <w:rsid w:val="00336D86"/>
    <w:rsid w:val="00337450"/>
    <w:rsid w:val="00340463"/>
    <w:rsid w:val="00340679"/>
    <w:rsid w:val="0034120D"/>
    <w:rsid w:val="00341670"/>
    <w:rsid w:val="00341B1D"/>
    <w:rsid w:val="00341C40"/>
    <w:rsid w:val="00342135"/>
    <w:rsid w:val="00343B18"/>
    <w:rsid w:val="00344488"/>
    <w:rsid w:val="00344CCA"/>
    <w:rsid w:val="00345079"/>
    <w:rsid w:val="00345E5F"/>
    <w:rsid w:val="003463FB"/>
    <w:rsid w:val="003474BF"/>
    <w:rsid w:val="003509A6"/>
    <w:rsid w:val="00350FE6"/>
    <w:rsid w:val="003521CF"/>
    <w:rsid w:val="00352CEF"/>
    <w:rsid w:val="00353F00"/>
    <w:rsid w:val="0035466C"/>
    <w:rsid w:val="00354760"/>
    <w:rsid w:val="00355259"/>
    <w:rsid w:val="003555E2"/>
    <w:rsid w:val="00355DC9"/>
    <w:rsid w:val="00355EB7"/>
    <w:rsid w:val="00356020"/>
    <w:rsid w:val="00356C7D"/>
    <w:rsid w:val="00356D4B"/>
    <w:rsid w:val="0035725D"/>
    <w:rsid w:val="00357C25"/>
    <w:rsid w:val="00357E3F"/>
    <w:rsid w:val="0036022C"/>
    <w:rsid w:val="00360637"/>
    <w:rsid w:val="00360E4F"/>
    <w:rsid w:val="003626F0"/>
    <w:rsid w:val="00363336"/>
    <w:rsid w:val="003664EA"/>
    <w:rsid w:val="00366908"/>
    <w:rsid w:val="00367E8A"/>
    <w:rsid w:val="00371ED5"/>
    <w:rsid w:val="003723D6"/>
    <w:rsid w:val="003726A6"/>
    <w:rsid w:val="00372811"/>
    <w:rsid w:val="0037315E"/>
    <w:rsid w:val="00373D4B"/>
    <w:rsid w:val="00373E7A"/>
    <w:rsid w:val="00374251"/>
    <w:rsid w:val="0037490D"/>
    <w:rsid w:val="00374998"/>
    <w:rsid w:val="00374E43"/>
    <w:rsid w:val="0037553D"/>
    <w:rsid w:val="00375841"/>
    <w:rsid w:val="00375855"/>
    <w:rsid w:val="00376A46"/>
    <w:rsid w:val="0037754B"/>
    <w:rsid w:val="0038094F"/>
    <w:rsid w:val="00380C15"/>
    <w:rsid w:val="003818D1"/>
    <w:rsid w:val="0038193C"/>
    <w:rsid w:val="003820A5"/>
    <w:rsid w:val="0038278E"/>
    <w:rsid w:val="0038289C"/>
    <w:rsid w:val="00384255"/>
    <w:rsid w:val="00384558"/>
    <w:rsid w:val="00384BD6"/>
    <w:rsid w:val="00385315"/>
    <w:rsid w:val="00385DF3"/>
    <w:rsid w:val="00386B94"/>
    <w:rsid w:val="00386D0B"/>
    <w:rsid w:val="003870FE"/>
    <w:rsid w:val="003871FB"/>
    <w:rsid w:val="00387CDA"/>
    <w:rsid w:val="0039030A"/>
    <w:rsid w:val="003904EA"/>
    <w:rsid w:val="0039132D"/>
    <w:rsid w:val="00391DA2"/>
    <w:rsid w:val="003929D7"/>
    <w:rsid w:val="00393453"/>
    <w:rsid w:val="003952EB"/>
    <w:rsid w:val="003957B7"/>
    <w:rsid w:val="003965F0"/>
    <w:rsid w:val="003A0CB5"/>
    <w:rsid w:val="003A1210"/>
    <w:rsid w:val="003A1DCE"/>
    <w:rsid w:val="003A1DE2"/>
    <w:rsid w:val="003A22DC"/>
    <w:rsid w:val="003A233C"/>
    <w:rsid w:val="003A2650"/>
    <w:rsid w:val="003A30FD"/>
    <w:rsid w:val="003A34C2"/>
    <w:rsid w:val="003A34E7"/>
    <w:rsid w:val="003A3DAD"/>
    <w:rsid w:val="003A5429"/>
    <w:rsid w:val="003A5D10"/>
    <w:rsid w:val="003A5E6E"/>
    <w:rsid w:val="003A6575"/>
    <w:rsid w:val="003A67FC"/>
    <w:rsid w:val="003A6B8E"/>
    <w:rsid w:val="003A752C"/>
    <w:rsid w:val="003A76CE"/>
    <w:rsid w:val="003B1094"/>
    <w:rsid w:val="003B10CD"/>
    <w:rsid w:val="003B12BF"/>
    <w:rsid w:val="003B1589"/>
    <w:rsid w:val="003B1A08"/>
    <w:rsid w:val="003B1A6A"/>
    <w:rsid w:val="003B1A6E"/>
    <w:rsid w:val="003B1BD8"/>
    <w:rsid w:val="003B2772"/>
    <w:rsid w:val="003B2B23"/>
    <w:rsid w:val="003B2C80"/>
    <w:rsid w:val="003B32F7"/>
    <w:rsid w:val="003B3CA6"/>
    <w:rsid w:val="003B42CF"/>
    <w:rsid w:val="003B57FC"/>
    <w:rsid w:val="003B6560"/>
    <w:rsid w:val="003B6E93"/>
    <w:rsid w:val="003B7611"/>
    <w:rsid w:val="003C044A"/>
    <w:rsid w:val="003C0A69"/>
    <w:rsid w:val="003C12B5"/>
    <w:rsid w:val="003C1E7E"/>
    <w:rsid w:val="003C20CC"/>
    <w:rsid w:val="003C4CA0"/>
    <w:rsid w:val="003C5CCD"/>
    <w:rsid w:val="003C6A96"/>
    <w:rsid w:val="003C7747"/>
    <w:rsid w:val="003C7C40"/>
    <w:rsid w:val="003D005F"/>
    <w:rsid w:val="003D031D"/>
    <w:rsid w:val="003D2111"/>
    <w:rsid w:val="003D2D7F"/>
    <w:rsid w:val="003D39FE"/>
    <w:rsid w:val="003D3B76"/>
    <w:rsid w:val="003D46D0"/>
    <w:rsid w:val="003D55B6"/>
    <w:rsid w:val="003D69CA"/>
    <w:rsid w:val="003D7DFB"/>
    <w:rsid w:val="003E00CF"/>
    <w:rsid w:val="003E0353"/>
    <w:rsid w:val="003E0E2F"/>
    <w:rsid w:val="003E123F"/>
    <w:rsid w:val="003E1E60"/>
    <w:rsid w:val="003E1F60"/>
    <w:rsid w:val="003E2E8C"/>
    <w:rsid w:val="003E3898"/>
    <w:rsid w:val="003E3EF9"/>
    <w:rsid w:val="003E46D4"/>
    <w:rsid w:val="003E498D"/>
    <w:rsid w:val="003E4E7D"/>
    <w:rsid w:val="003E56A6"/>
    <w:rsid w:val="003E5FF1"/>
    <w:rsid w:val="003E6474"/>
    <w:rsid w:val="003E6B57"/>
    <w:rsid w:val="003E719A"/>
    <w:rsid w:val="003E748B"/>
    <w:rsid w:val="003F1773"/>
    <w:rsid w:val="003F1BF2"/>
    <w:rsid w:val="003F220D"/>
    <w:rsid w:val="003F2CEF"/>
    <w:rsid w:val="003F3F70"/>
    <w:rsid w:val="003F60EA"/>
    <w:rsid w:val="003F7121"/>
    <w:rsid w:val="003F7418"/>
    <w:rsid w:val="004003F7"/>
    <w:rsid w:val="004011C4"/>
    <w:rsid w:val="0040186D"/>
    <w:rsid w:val="00401AD7"/>
    <w:rsid w:val="00401C57"/>
    <w:rsid w:val="004028F8"/>
    <w:rsid w:val="00402D91"/>
    <w:rsid w:val="004033E4"/>
    <w:rsid w:val="00406531"/>
    <w:rsid w:val="00406CB8"/>
    <w:rsid w:val="00407F27"/>
    <w:rsid w:val="004103DF"/>
    <w:rsid w:val="00410833"/>
    <w:rsid w:val="00410B0C"/>
    <w:rsid w:val="00410F84"/>
    <w:rsid w:val="00411026"/>
    <w:rsid w:val="0041122B"/>
    <w:rsid w:val="00411795"/>
    <w:rsid w:val="004119AE"/>
    <w:rsid w:val="00411C21"/>
    <w:rsid w:val="004134C9"/>
    <w:rsid w:val="00413655"/>
    <w:rsid w:val="00413BEA"/>
    <w:rsid w:val="0041428E"/>
    <w:rsid w:val="004143A5"/>
    <w:rsid w:val="00414551"/>
    <w:rsid w:val="004148D2"/>
    <w:rsid w:val="004149C8"/>
    <w:rsid w:val="004153FC"/>
    <w:rsid w:val="00415744"/>
    <w:rsid w:val="00415EB6"/>
    <w:rsid w:val="00416651"/>
    <w:rsid w:val="00417119"/>
    <w:rsid w:val="004171F5"/>
    <w:rsid w:val="004172A1"/>
    <w:rsid w:val="004174AC"/>
    <w:rsid w:val="004205C2"/>
    <w:rsid w:val="00420835"/>
    <w:rsid w:val="004213A7"/>
    <w:rsid w:val="004216B6"/>
    <w:rsid w:val="00422BFF"/>
    <w:rsid w:val="00423F3A"/>
    <w:rsid w:val="00424B10"/>
    <w:rsid w:val="00424CB5"/>
    <w:rsid w:val="00425370"/>
    <w:rsid w:val="00427244"/>
    <w:rsid w:val="004308CE"/>
    <w:rsid w:val="004329C6"/>
    <w:rsid w:val="00434A56"/>
    <w:rsid w:val="00435050"/>
    <w:rsid w:val="00436636"/>
    <w:rsid w:val="00436E90"/>
    <w:rsid w:val="0043717A"/>
    <w:rsid w:val="004379B3"/>
    <w:rsid w:val="00437B69"/>
    <w:rsid w:val="00437E42"/>
    <w:rsid w:val="00437F9C"/>
    <w:rsid w:val="004404AE"/>
    <w:rsid w:val="00441B7F"/>
    <w:rsid w:val="00442335"/>
    <w:rsid w:val="0044237A"/>
    <w:rsid w:val="00442604"/>
    <w:rsid w:val="0044317A"/>
    <w:rsid w:val="00443602"/>
    <w:rsid w:val="004438CF"/>
    <w:rsid w:val="004439E4"/>
    <w:rsid w:val="00444862"/>
    <w:rsid w:val="00444BDE"/>
    <w:rsid w:val="004451A8"/>
    <w:rsid w:val="004469BB"/>
    <w:rsid w:val="004476C4"/>
    <w:rsid w:val="0045011E"/>
    <w:rsid w:val="004504BF"/>
    <w:rsid w:val="0045190C"/>
    <w:rsid w:val="004523BF"/>
    <w:rsid w:val="0045287B"/>
    <w:rsid w:val="004529D0"/>
    <w:rsid w:val="00453A9F"/>
    <w:rsid w:val="00454197"/>
    <w:rsid w:val="00454E0E"/>
    <w:rsid w:val="00454ECC"/>
    <w:rsid w:val="00454FD3"/>
    <w:rsid w:val="0045659A"/>
    <w:rsid w:val="00456AA1"/>
    <w:rsid w:val="00457A71"/>
    <w:rsid w:val="00457EF8"/>
    <w:rsid w:val="00457FEB"/>
    <w:rsid w:val="00460157"/>
    <w:rsid w:val="004601F8"/>
    <w:rsid w:val="00460442"/>
    <w:rsid w:val="00461163"/>
    <w:rsid w:val="00461C15"/>
    <w:rsid w:val="00461DB0"/>
    <w:rsid w:val="00463630"/>
    <w:rsid w:val="004638BA"/>
    <w:rsid w:val="00463C34"/>
    <w:rsid w:val="00463CB7"/>
    <w:rsid w:val="00464B07"/>
    <w:rsid w:val="00465414"/>
    <w:rsid w:val="00465B04"/>
    <w:rsid w:val="004662E0"/>
    <w:rsid w:val="00466B3F"/>
    <w:rsid w:val="00466E31"/>
    <w:rsid w:val="00466EAE"/>
    <w:rsid w:val="0046712B"/>
    <w:rsid w:val="004675D6"/>
    <w:rsid w:val="00470291"/>
    <w:rsid w:val="00470B50"/>
    <w:rsid w:val="00471751"/>
    <w:rsid w:val="004725CE"/>
    <w:rsid w:val="00472A6B"/>
    <w:rsid w:val="00472C16"/>
    <w:rsid w:val="004740E9"/>
    <w:rsid w:val="00474F2B"/>
    <w:rsid w:val="00476437"/>
    <w:rsid w:val="004777A3"/>
    <w:rsid w:val="00481781"/>
    <w:rsid w:val="00481C1A"/>
    <w:rsid w:val="00482572"/>
    <w:rsid w:val="00482AFF"/>
    <w:rsid w:val="00482C9F"/>
    <w:rsid w:val="00483F28"/>
    <w:rsid w:val="00483FF1"/>
    <w:rsid w:val="004845C7"/>
    <w:rsid w:val="00484C84"/>
    <w:rsid w:val="00484F33"/>
    <w:rsid w:val="00486398"/>
    <w:rsid w:val="00487B05"/>
    <w:rsid w:val="00490189"/>
    <w:rsid w:val="00490905"/>
    <w:rsid w:val="00490A8B"/>
    <w:rsid w:val="00490F5E"/>
    <w:rsid w:val="0049122D"/>
    <w:rsid w:val="0049156F"/>
    <w:rsid w:val="00491582"/>
    <w:rsid w:val="004922F4"/>
    <w:rsid w:val="00492D65"/>
    <w:rsid w:val="00492EF4"/>
    <w:rsid w:val="004936D9"/>
    <w:rsid w:val="00493CB8"/>
    <w:rsid w:val="00494403"/>
    <w:rsid w:val="00494440"/>
    <w:rsid w:val="00494EEE"/>
    <w:rsid w:val="004954AF"/>
    <w:rsid w:val="004956C2"/>
    <w:rsid w:val="004966B3"/>
    <w:rsid w:val="00497DFA"/>
    <w:rsid w:val="004A0239"/>
    <w:rsid w:val="004A09BC"/>
    <w:rsid w:val="004A1037"/>
    <w:rsid w:val="004A2059"/>
    <w:rsid w:val="004A2633"/>
    <w:rsid w:val="004A2E7A"/>
    <w:rsid w:val="004A356A"/>
    <w:rsid w:val="004A4184"/>
    <w:rsid w:val="004A447B"/>
    <w:rsid w:val="004A4644"/>
    <w:rsid w:val="004A4B59"/>
    <w:rsid w:val="004A5EE7"/>
    <w:rsid w:val="004A66EE"/>
    <w:rsid w:val="004A796E"/>
    <w:rsid w:val="004A7973"/>
    <w:rsid w:val="004B0BE8"/>
    <w:rsid w:val="004B0D66"/>
    <w:rsid w:val="004B0ED3"/>
    <w:rsid w:val="004B0EFF"/>
    <w:rsid w:val="004B18C7"/>
    <w:rsid w:val="004B1926"/>
    <w:rsid w:val="004B1E49"/>
    <w:rsid w:val="004B2181"/>
    <w:rsid w:val="004B265F"/>
    <w:rsid w:val="004B3180"/>
    <w:rsid w:val="004B3227"/>
    <w:rsid w:val="004B3C14"/>
    <w:rsid w:val="004B665E"/>
    <w:rsid w:val="004B69DA"/>
    <w:rsid w:val="004B6BC7"/>
    <w:rsid w:val="004B7008"/>
    <w:rsid w:val="004B7243"/>
    <w:rsid w:val="004B752A"/>
    <w:rsid w:val="004C0824"/>
    <w:rsid w:val="004C0982"/>
    <w:rsid w:val="004C0D15"/>
    <w:rsid w:val="004C0E0B"/>
    <w:rsid w:val="004C1CCA"/>
    <w:rsid w:val="004C1E18"/>
    <w:rsid w:val="004C262D"/>
    <w:rsid w:val="004C3935"/>
    <w:rsid w:val="004C3951"/>
    <w:rsid w:val="004C3A43"/>
    <w:rsid w:val="004C3B96"/>
    <w:rsid w:val="004C4284"/>
    <w:rsid w:val="004C5727"/>
    <w:rsid w:val="004C6015"/>
    <w:rsid w:val="004C6631"/>
    <w:rsid w:val="004C6C7A"/>
    <w:rsid w:val="004C7831"/>
    <w:rsid w:val="004D019A"/>
    <w:rsid w:val="004D01EA"/>
    <w:rsid w:val="004D0CC0"/>
    <w:rsid w:val="004D1439"/>
    <w:rsid w:val="004D1DBA"/>
    <w:rsid w:val="004D2460"/>
    <w:rsid w:val="004D2476"/>
    <w:rsid w:val="004D371E"/>
    <w:rsid w:val="004D3ADC"/>
    <w:rsid w:val="004D4254"/>
    <w:rsid w:val="004D4B0A"/>
    <w:rsid w:val="004D5226"/>
    <w:rsid w:val="004D5313"/>
    <w:rsid w:val="004D744B"/>
    <w:rsid w:val="004D7733"/>
    <w:rsid w:val="004D7F3B"/>
    <w:rsid w:val="004E0A31"/>
    <w:rsid w:val="004E0D47"/>
    <w:rsid w:val="004E0E3D"/>
    <w:rsid w:val="004E0EF8"/>
    <w:rsid w:val="004E116F"/>
    <w:rsid w:val="004E130D"/>
    <w:rsid w:val="004E1449"/>
    <w:rsid w:val="004E215D"/>
    <w:rsid w:val="004E28CA"/>
    <w:rsid w:val="004E4D54"/>
    <w:rsid w:val="004E50A9"/>
    <w:rsid w:val="004E644A"/>
    <w:rsid w:val="004E7139"/>
    <w:rsid w:val="004E75D5"/>
    <w:rsid w:val="004F0AC1"/>
    <w:rsid w:val="004F0DAC"/>
    <w:rsid w:val="004F0E48"/>
    <w:rsid w:val="004F17B9"/>
    <w:rsid w:val="004F1F5B"/>
    <w:rsid w:val="004F2399"/>
    <w:rsid w:val="004F2E40"/>
    <w:rsid w:val="004F49B5"/>
    <w:rsid w:val="004F6451"/>
    <w:rsid w:val="004F6F15"/>
    <w:rsid w:val="004F6FE1"/>
    <w:rsid w:val="005001A1"/>
    <w:rsid w:val="005006A3"/>
    <w:rsid w:val="005006B0"/>
    <w:rsid w:val="005008FD"/>
    <w:rsid w:val="00500E83"/>
    <w:rsid w:val="005014EF"/>
    <w:rsid w:val="00502D22"/>
    <w:rsid w:val="005034BB"/>
    <w:rsid w:val="00503D38"/>
    <w:rsid w:val="00503D58"/>
    <w:rsid w:val="00503EEF"/>
    <w:rsid w:val="0050579D"/>
    <w:rsid w:val="00505B13"/>
    <w:rsid w:val="005069E6"/>
    <w:rsid w:val="00506C14"/>
    <w:rsid w:val="00506FED"/>
    <w:rsid w:val="0050764C"/>
    <w:rsid w:val="0051034A"/>
    <w:rsid w:val="00511946"/>
    <w:rsid w:val="00511CB1"/>
    <w:rsid w:val="005120DB"/>
    <w:rsid w:val="005122BC"/>
    <w:rsid w:val="00512551"/>
    <w:rsid w:val="00513528"/>
    <w:rsid w:val="00513B9D"/>
    <w:rsid w:val="00513F27"/>
    <w:rsid w:val="00514581"/>
    <w:rsid w:val="00514C8B"/>
    <w:rsid w:val="00515CEF"/>
    <w:rsid w:val="005167FF"/>
    <w:rsid w:val="00516E8D"/>
    <w:rsid w:val="00516EA8"/>
    <w:rsid w:val="005172A6"/>
    <w:rsid w:val="005177E0"/>
    <w:rsid w:val="00520266"/>
    <w:rsid w:val="00520278"/>
    <w:rsid w:val="005218F5"/>
    <w:rsid w:val="00521DDF"/>
    <w:rsid w:val="00521F75"/>
    <w:rsid w:val="0052270D"/>
    <w:rsid w:val="0052323E"/>
    <w:rsid w:val="005238DB"/>
    <w:rsid w:val="00523FC3"/>
    <w:rsid w:val="0052590C"/>
    <w:rsid w:val="00525D38"/>
    <w:rsid w:val="005260DB"/>
    <w:rsid w:val="00526AED"/>
    <w:rsid w:val="00532287"/>
    <w:rsid w:val="0053288D"/>
    <w:rsid w:val="00532B5F"/>
    <w:rsid w:val="00532DFD"/>
    <w:rsid w:val="00532FEB"/>
    <w:rsid w:val="0053426E"/>
    <w:rsid w:val="005344D7"/>
    <w:rsid w:val="00535A0D"/>
    <w:rsid w:val="00535BFB"/>
    <w:rsid w:val="00535FB5"/>
    <w:rsid w:val="00536699"/>
    <w:rsid w:val="00536D4C"/>
    <w:rsid w:val="005370A9"/>
    <w:rsid w:val="00537818"/>
    <w:rsid w:val="00540587"/>
    <w:rsid w:val="00540722"/>
    <w:rsid w:val="0054078B"/>
    <w:rsid w:val="00541117"/>
    <w:rsid w:val="005421FE"/>
    <w:rsid w:val="00543130"/>
    <w:rsid w:val="00543253"/>
    <w:rsid w:val="005433FB"/>
    <w:rsid w:val="00543B6D"/>
    <w:rsid w:val="00543E7B"/>
    <w:rsid w:val="005442CE"/>
    <w:rsid w:val="005442DA"/>
    <w:rsid w:val="0054602F"/>
    <w:rsid w:val="005462D6"/>
    <w:rsid w:val="0054696C"/>
    <w:rsid w:val="00546D6F"/>
    <w:rsid w:val="00547201"/>
    <w:rsid w:val="00547675"/>
    <w:rsid w:val="005512F8"/>
    <w:rsid w:val="0055191F"/>
    <w:rsid w:val="00552D82"/>
    <w:rsid w:val="00553D7D"/>
    <w:rsid w:val="00554072"/>
    <w:rsid w:val="0055462C"/>
    <w:rsid w:val="00555C2C"/>
    <w:rsid w:val="0056075A"/>
    <w:rsid w:val="00560AFD"/>
    <w:rsid w:val="005612D5"/>
    <w:rsid w:val="0056147F"/>
    <w:rsid w:val="005617F5"/>
    <w:rsid w:val="00561804"/>
    <w:rsid w:val="005625D6"/>
    <w:rsid w:val="0056354A"/>
    <w:rsid w:val="005642C9"/>
    <w:rsid w:val="005644DD"/>
    <w:rsid w:val="00564988"/>
    <w:rsid w:val="005650A1"/>
    <w:rsid w:val="00565EAA"/>
    <w:rsid w:val="00567407"/>
    <w:rsid w:val="005703BB"/>
    <w:rsid w:val="005705CD"/>
    <w:rsid w:val="00571A50"/>
    <w:rsid w:val="00571BBC"/>
    <w:rsid w:val="00572B92"/>
    <w:rsid w:val="0057352D"/>
    <w:rsid w:val="00573F76"/>
    <w:rsid w:val="005755FC"/>
    <w:rsid w:val="005757B0"/>
    <w:rsid w:val="00576046"/>
    <w:rsid w:val="0057732D"/>
    <w:rsid w:val="00580B88"/>
    <w:rsid w:val="00581507"/>
    <w:rsid w:val="00581A8A"/>
    <w:rsid w:val="00581B7C"/>
    <w:rsid w:val="00582466"/>
    <w:rsid w:val="00582A2A"/>
    <w:rsid w:val="005837E4"/>
    <w:rsid w:val="00583C77"/>
    <w:rsid w:val="00583EC4"/>
    <w:rsid w:val="0058467F"/>
    <w:rsid w:val="005847EC"/>
    <w:rsid w:val="00585850"/>
    <w:rsid w:val="00585BBF"/>
    <w:rsid w:val="0058724E"/>
    <w:rsid w:val="0058761E"/>
    <w:rsid w:val="0059020F"/>
    <w:rsid w:val="005908EB"/>
    <w:rsid w:val="00590F0F"/>
    <w:rsid w:val="00591353"/>
    <w:rsid w:val="00593816"/>
    <w:rsid w:val="00593B56"/>
    <w:rsid w:val="00593E44"/>
    <w:rsid w:val="005941AD"/>
    <w:rsid w:val="005950F3"/>
    <w:rsid w:val="00595104"/>
    <w:rsid w:val="0059608E"/>
    <w:rsid w:val="0059656A"/>
    <w:rsid w:val="00596B5D"/>
    <w:rsid w:val="00596F80"/>
    <w:rsid w:val="005971CB"/>
    <w:rsid w:val="00597F4F"/>
    <w:rsid w:val="005A098C"/>
    <w:rsid w:val="005A0B5D"/>
    <w:rsid w:val="005A16FA"/>
    <w:rsid w:val="005A19C8"/>
    <w:rsid w:val="005A1A83"/>
    <w:rsid w:val="005A1DD8"/>
    <w:rsid w:val="005A207C"/>
    <w:rsid w:val="005A262E"/>
    <w:rsid w:val="005A3656"/>
    <w:rsid w:val="005A3B2E"/>
    <w:rsid w:val="005A4BD4"/>
    <w:rsid w:val="005A4D60"/>
    <w:rsid w:val="005A5735"/>
    <w:rsid w:val="005A60F8"/>
    <w:rsid w:val="005A6245"/>
    <w:rsid w:val="005A63E0"/>
    <w:rsid w:val="005A75FD"/>
    <w:rsid w:val="005A7699"/>
    <w:rsid w:val="005A7B29"/>
    <w:rsid w:val="005A7CD5"/>
    <w:rsid w:val="005B004A"/>
    <w:rsid w:val="005B06AA"/>
    <w:rsid w:val="005B0C06"/>
    <w:rsid w:val="005B21D0"/>
    <w:rsid w:val="005B2CB6"/>
    <w:rsid w:val="005B38C1"/>
    <w:rsid w:val="005B3F4B"/>
    <w:rsid w:val="005B4174"/>
    <w:rsid w:val="005B4A3E"/>
    <w:rsid w:val="005B5472"/>
    <w:rsid w:val="005B7BFB"/>
    <w:rsid w:val="005B7EE8"/>
    <w:rsid w:val="005C067F"/>
    <w:rsid w:val="005C069F"/>
    <w:rsid w:val="005C15B0"/>
    <w:rsid w:val="005C21AE"/>
    <w:rsid w:val="005C2487"/>
    <w:rsid w:val="005C25EE"/>
    <w:rsid w:val="005C275C"/>
    <w:rsid w:val="005C31FE"/>
    <w:rsid w:val="005C35F0"/>
    <w:rsid w:val="005C3B47"/>
    <w:rsid w:val="005C4758"/>
    <w:rsid w:val="005C5E0C"/>
    <w:rsid w:val="005C5E88"/>
    <w:rsid w:val="005C660C"/>
    <w:rsid w:val="005C6A26"/>
    <w:rsid w:val="005C7F04"/>
    <w:rsid w:val="005D127F"/>
    <w:rsid w:val="005D1D61"/>
    <w:rsid w:val="005D1E1E"/>
    <w:rsid w:val="005D4575"/>
    <w:rsid w:val="005D4778"/>
    <w:rsid w:val="005D5313"/>
    <w:rsid w:val="005D5E09"/>
    <w:rsid w:val="005D5EEF"/>
    <w:rsid w:val="005D5FCE"/>
    <w:rsid w:val="005D6B60"/>
    <w:rsid w:val="005D7D1A"/>
    <w:rsid w:val="005E0A80"/>
    <w:rsid w:val="005E205E"/>
    <w:rsid w:val="005E2835"/>
    <w:rsid w:val="005E28AA"/>
    <w:rsid w:val="005E2B71"/>
    <w:rsid w:val="005E2EA7"/>
    <w:rsid w:val="005E2FB4"/>
    <w:rsid w:val="005E3060"/>
    <w:rsid w:val="005E3713"/>
    <w:rsid w:val="005E379C"/>
    <w:rsid w:val="005E3E51"/>
    <w:rsid w:val="005E4B31"/>
    <w:rsid w:val="005E54C8"/>
    <w:rsid w:val="005E7F56"/>
    <w:rsid w:val="005F0692"/>
    <w:rsid w:val="005F1879"/>
    <w:rsid w:val="005F21B0"/>
    <w:rsid w:val="005F2530"/>
    <w:rsid w:val="005F2DB4"/>
    <w:rsid w:val="005F31CE"/>
    <w:rsid w:val="005F3CE1"/>
    <w:rsid w:val="005F3F44"/>
    <w:rsid w:val="005F4132"/>
    <w:rsid w:val="005F4177"/>
    <w:rsid w:val="005F49D9"/>
    <w:rsid w:val="005F5212"/>
    <w:rsid w:val="005F5F39"/>
    <w:rsid w:val="005F6BDA"/>
    <w:rsid w:val="005F7144"/>
    <w:rsid w:val="00600103"/>
    <w:rsid w:val="0060015A"/>
    <w:rsid w:val="00600752"/>
    <w:rsid w:val="00600D43"/>
    <w:rsid w:val="0060287F"/>
    <w:rsid w:val="00602BC4"/>
    <w:rsid w:val="00603430"/>
    <w:rsid w:val="00604184"/>
    <w:rsid w:val="0060513C"/>
    <w:rsid w:val="006077F4"/>
    <w:rsid w:val="006103C8"/>
    <w:rsid w:val="0061051D"/>
    <w:rsid w:val="00610900"/>
    <w:rsid w:val="00610A58"/>
    <w:rsid w:val="00610B57"/>
    <w:rsid w:val="00610CA4"/>
    <w:rsid w:val="00611004"/>
    <w:rsid w:val="0061135A"/>
    <w:rsid w:val="00612775"/>
    <w:rsid w:val="006130D4"/>
    <w:rsid w:val="00613367"/>
    <w:rsid w:val="006133FA"/>
    <w:rsid w:val="00613561"/>
    <w:rsid w:val="00613FB8"/>
    <w:rsid w:val="0061405D"/>
    <w:rsid w:val="006145AF"/>
    <w:rsid w:val="006175B4"/>
    <w:rsid w:val="006178B2"/>
    <w:rsid w:val="00617F09"/>
    <w:rsid w:val="00620447"/>
    <w:rsid w:val="00620A8B"/>
    <w:rsid w:val="00620B28"/>
    <w:rsid w:val="00620C1F"/>
    <w:rsid w:val="00620D27"/>
    <w:rsid w:val="006213FA"/>
    <w:rsid w:val="00621EDB"/>
    <w:rsid w:val="00622D25"/>
    <w:rsid w:val="006232C0"/>
    <w:rsid w:val="00626797"/>
    <w:rsid w:val="00626E58"/>
    <w:rsid w:val="00627281"/>
    <w:rsid w:val="0062735B"/>
    <w:rsid w:val="00630F3D"/>
    <w:rsid w:val="00631344"/>
    <w:rsid w:val="00631B85"/>
    <w:rsid w:val="00632501"/>
    <w:rsid w:val="00633295"/>
    <w:rsid w:val="00633E2A"/>
    <w:rsid w:val="0063485B"/>
    <w:rsid w:val="00635A34"/>
    <w:rsid w:val="00635D5E"/>
    <w:rsid w:val="00636878"/>
    <w:rsid w:val="00637770"/>
    <w:rsid w:val="00637FCA"/>
    <w:rsid w:val="00641DE5"/>
    <w:rsid w:val="0064232B"/>
    <w:rsid w:val="00642653"/>
    <w:rsid w:val="00642A99"/>
    <w:rsid w:val="00643F78"/>
    <w:rsid w:val="006444AD"/>
    <w:rsid w:val="00645280"/>
    <w:rsid w:val="00647A72"/>
    <w:rsid w:val="00647B27"/>
    <w:rsid w:val="00647D60"/>
    <w:rsid w:val="006504D6"/>
    <w:rsid w:val="006506FD"/>
    <w:rsid w:val="00650C96"/>
    <w:rsid w:val="00650CD3"/>
    <w:rsid w:val="00650E35"/>
    <w:rsid w:val="00651AE7"/>
    <w:rsid w:val="00652639"/>
    <w:rsid w:val="00652E18"/>
    <w:rsid w:val="0065388D"/>
    <w:rsid w:val="00653DF2"/>
    <w:rsid w:val="00653E66"/>
    <w:rsid w:val="0065558B"/>
    <w:rsid w:val="006559F9"/>
    <w:rsid w:val="00655D5D"/>
    <w:rsid w:val="006561CC"/>
    <w:rsid w:val="006562FD"/>
    <w:rsid w:val="00656B1B"/>
    <w:rsid w:val="0065744E"/>
    <w:rsid w:val="00660E0C"/>
    <w:rsid w:val="00662276"/>
    <w:rsid w:val="00662785"/>
    <w:rsid w:val="00662E37"/>
    <w:rsid w:val="0066393F"/>
    <w:rsid w:val="00665403"/>
    <w:rsid w:val="00665500"/>
    <w:rsid w:val="0066689E"/>
    <w:rsid w:val="00670FAC"/>
    <w:rsid w:val="006713ED"/>
    <w:rsid w:val="0067299B"/>
    <w:rsid w:val="006729C7"/>
    <w:rsid w:val="00673F6E"/>
    <w:rsid w:val="006760E3"/>
    <w:rsid w:val="00676D26"/>
    <w:rsid w:val="00676E37"/>
    <w:rsid w:val="00677219"/>
    <w:rsid w:val="0067751A"/>
    <w:rsid w:val="00677694"/>
    <w:rsid w:val="00677C31"/>
    <w:rsid w:val="006807F1"/>
    <w:rsid w:val="0068091B"/>
    <w:rsid w:val="00682797"/>
    <w:rsid w:val="00684262"/>
    <w:rsid w:val="006843E8"/>
    <w:rsid w:val="00684ACA"/>
    <w:rsid w:val="00685ED6"/>
    <w:rsid w:val="006861E6"/>
    <w:rsid w:val="00686A3F"/>
    <w:rsid w:val="00687413"/>
    <w:rsid w:val="00687C82"/>
    <w:rsid w:val="006900CE"/>
    <w:rsid w:val="0069064A"/>
    <w:rsid w:val="00690961"/>
    <w:rsid w:val="00691401"/>
    <w:rsid w:val="0069140B"/>
    <w:rsid w:val="00691AA8"/>
    <w:rsid w:val="00691CC8"/>
    <w:rsid w:val="00692726"/>
    <w:rsid w:val="00693CD0"/>
    <w:rsid w:val="00693D3D"/>
    <w:rsid w:val="00694FD9"/>
    <w:rsid w:val="00695EC7"/>
    <w:rsid w:val="006A0607"/>
    <w:rsid w:val="006A0C3F"/>
    <w:rsid w:val="006A23A2"/>
    <w:rsid w:val="006A2500"/>
    <w:rsid w:val="006A27D8"/>
    <w:rsid w:val="006A36C6"/>
    <w:rsid w:val="006A3795"/>
    <w:rsid w:val="006A415F"/>
    <w:rsid w:val="006A44D3"/>
    <w:rsid w:val="006A4532"/>
    <w:rsid w:val="006A5ED0"/>
    <w:rsid w:val="006A6F28"/>
    <w:rsid w:val="006B0214"/>
    <w:rsid w:val="006B023E"/>
    <w:rsid w:val="006B036A"/>
    <w:rsid w:val="006B168C"/>
    <w:rsid w:val="006B17D9"/>
    <w:rsid w:val="006B18F6"/>
    <w:rsid w:val="006B1E20"/>
    <w:rsid w:val="006B209B"/>
    <w:rsid w:val="006B2E55"/>
    <w:rsid w:val="006B38EF"/>
    <w:rsid w:val="006B3F03"/>
    <w:rsid w:val="006B4A8A"/>
    <w:rsid w:val="006B572C"/>
    <w:rsid w:val="006B5BEC"/>
    <w:rsid w:val="006B6099"/>
    <w:rsid w:val="006B65D1"/>
    <w:rsid w:val="006B667F"/>
    <w:rsid w:val="006B795E"/>
    <w:rsid w:val="006C0AD0"/>
    <w:rsid w:val="006C0AEC"/>
    <w:rsid w:val="006C1A41"/>
    <w:rsid w:val="006C28D5"/>
    <w:rsid w:val="006C2A7B"/>
    <w:rsid w:val="006C2C7F"/>
    <w:rsid w:val="006C436E"/>
    <w:rsid w:val="006C5B8F"/>
    <w:rsid w:val="006C60D9"/>
    <w:rsid w:val="006C70CC"/>
    <w:rsid w:val="006C730C"/>
    <w:rsid w:val="006C75F7"/>
    <w:rsid w:val="006D05F4"/>
    <w:rsid w:val="006D0BBD"/>
    <w:rsid w:val="006D1033"/>
    <w:rsid w:val="006D17B3"/>
    <w:rsid w:val="006D1F5A"/>
    <w:rsid w:val="006D1FEA"/>
    <w:rsid w:val="006D282D"/>
    <w:rsid w:val="006D2F0C"/>
    <w:rsid w:val="006D2F10"/>
    <w:rsid w:val="006D31B7"/>
    <w:rsid w:val="006D38C3"/>
    <w:rsid w:val="006D5CD5"/>
    <w:rsid w:val="006D6377"/>
    <w:rsid w:val="006D69AE"/>
    <w:rsid w:val="006D72DC"/>
    <w:rsid w:val="006E2598"/>
    <w:rsid w:val="006E2EFA"/>
    <w:rsid w:val="006E3991"/>
    <w:rsid w:val="006E3A14"/>
    <w:rsid w:val="006E46D0"/>
    <w:rsid w:val="006E492A"/>
    <w:rsid w:val="006E593C"/>
    <w:rsid w:val="006E619D"/>
    <w:rsid w:val="006E6910"/>
    <w:rsid w:val="006E69F4"/>
    <w:rsid w:val="006E6F1D"/>
    <w:rsid w:val="006E77B4"/>
    <w:rsid w:val="006E7E81"/>
    <w:rsid w:val="006F081B"/>
    <w:rsid w:val="006F0855"/>
    <w:rsid w:val="006F1F1C"/>
    <w:rsid w:val="006F4288"/>
    <w:rsid w:val="006F45FB"/>
    <w:rsid w:val="006F4B9F"/>
    <w:rsid w:val="006F5087"/>
    <w:rsid w:val="006F5148"/>
    <w:rsid w:val="006F524F"/>
    <w:rsid w:val="006F64EF"/>
    <w:rsid w:val="006F6AB0"/>
    <w:rsid w:val="006F73F0"/>
    <w:rsid w:val="006F785C"/>
    <w:rsid w:val="007002AF"/>
    <w:rsid w:val="0070057F"/>
    <w:rsid w:val="0070061C"/>
    <w:rsid w:val="00701706"/>
    <w:rsid w:val="00701860"/>
    <w:rsid w:val="0070246D"/>
    <w:rsid w:val="0070256E"/>
    <w:rsid w:val="00702ADA"/>
    <w:rsid w:val="00702B5D"/>
    <w:rsid w:val="00703101"/>
    <w:rsid w:val="007037A4"/>
    <w:rsid w:val="00703F3E"/>
    <w:rsid w:val="0070432C"/>
    <w:rsid w:val="00704844"/>
    <w:rsid w:val="00704C93"/>
    <w:rsid w:val="007056CD"/>
    <w:rsid w:val="007058AB"/>
    <w:rsid w:val="0070629A"/>
    <w:rsid w:val="007068F4"/>
    <w:rsid w:val="00706A03"/>
    <w:rsid w:val="0070744B"/>
    <w:rsid w:val="007076BD"/>
    <w:rsid w:val="007077DE"/>
    <w:rsid w:val="00707C16"/>
    <w:rsid w:val="00710E3D"/>
    <w:rsid w:val="007116AB"/>
    <w:rsid w:val="00711EF2"/>
    <w:rsid w:val="00712595"/>
    <w:rsid w:val="007129D8"/>
    <w:rsid w:val="0071395B"/>
    <w:rsid w:val="00714FA4"/>
    <w:rsid w:val="0071596A"/>
    <w:rsid w:val="00715FA9"/>
    <w:rsid w:val="00716921"/>
    <w:rsid w:val="00716EBD"/>
    <w:rsid w:val="007178B0"/>
    <w:rsid w:val="007202F8"/>
    <w:rsid w:val="0072046B"/>
    <w:rsid w:val="00720890"/>
    <w:rsid w:val="00721284"/>
    <w:rsid w:val="00721CBA"/>
    <w:rsid w:val="00724A82"/>
    <w:rsid w:val="0072558F"/>
    <w:rsid w:val="007255D5"/>
    <w:rsid w:val="00726539"/>
    <w:rsid w:val="007269AF"/>
    <w:rsid w:val="00726A39"/>
    <w:rsid w:val="0072705D"/>
    <w:rsid w:val="007277EE"/>
    <w:rsid w:val="00727E0E"/>
    <w:rsid w:val="00730261"/>
    <w:rsid w:val="0073069D"/>
    <w:rsid w:val="00730D4C"/>
    <w:rsid w:val="00732158"/>
    <w:rsid w:val="0073220F"/>
    <w:rsid w:val="007325C0"/>
    <w:rsid w:val="007329D7"/>
    <w:rsid w:val="00732C1B"/>
    <w:rsid w:val="00732C36"/>
    <w:rsid w:val="007334C3"/>
    <w:rsid w:val="00733EB3"/>
    <w:rsid w:val="00734134"/>
    <w:rsid w:val="007345D8"/>
    <w:rsid w:val="00734941"/>
    <w:rsid w:val="00734C2D"/>
    <w:rsid w:val="007352E0"/>
    <w:rsid w:val="00735C55"/>
    <w:rsid w:val="00735DC2"/>
    <w:rsid w:val="00736FCA"/>
    <w:rsid w:val="007372CC"/>
    <w:rsid w:val="00737592"/>
    <w:rsid w:val="00737A21"/>
    <w:rsid w:val="00737BDD"/>
    <w:rsid w:val="00737CE2"/>
    <w:rsid w:val="007402BB"/>
    <w:rsid w:val="0074053E"/>
    <w:rsid w:val="00741943"/>
    <w:rsid w:val="007428EC"/>
    <w:rsid w:val="00742EA8"/>
    <w:rsid w:val="00747544"/>
    <w:rsid w:val="00747824"/>
    <w:rsid w:val="00747B7A"/>
    <w:rsid w:val="00750276"/>
    <w:rsid w:val="007505DF"/>
    <w:rsid w:val="00750BB9"/>
    <w:rsid w:val="00751277"/>
    <w:rsid w:val="007515AF"/>
    <w:rsid w:val="00751DF2"/>
    <w:rsid w:val="00752D6E"/>
    <w:rsid w:val="00753900"/>
    <w:rsid w:val="00754B8C"/>
    <w:rsid w:val="00755005"/>
    <w:rsid w:val="00755AEF"/>
    <w:rsid w:val="00755B98"/>
    <w:rsid w:val="00756346"/>
    <w:rsid w:val="00757847"/>
    <w:rsid w:val="00760089"/>
    <w:rsid w:val="0076060C"/>
    <w:rsid w:val="00760C51"/>
    <w:rsid w:val="00760DAE"/>
    <w:rsid w:val="0076110F"/>
    <w:rsid w:val="00762A69"/>
    <w:rsid w:val="00762E11"/>
    <w:rsid w:val="00762FC3"/>
    <w:rsid w:val="00763A30"/>
    <w:rsid w:val="007640C7"/>
    <w:rsid w:val="0076435F"/>
    <w:rsid w:val="00764CC9"/>
    <w:rsid w:val="007651DE"/>
    <w:rsid w:val="00766025"/>
    <w:rsid w:val="00766888"/>
    <w:rsid w:val="00766BAF"/>
    <w:rsid w:val="00767691"/>
    <w:rsid w:val="007678F2"/>
    <w:rsid w:val="00767CCA"/>
    <w:rsid w:val="0077066D"/>
    <w:rsid w:val="00771CCE"/>
    <w:rsid w:val="007721EA"/>
    <w:rsid w:val="0077242D"/>
    <w:rsid w:val="007727C7"/>
    <w:rsid w:val="00773AC1"/>
    <w:rsid w:val="00774145"/>
    <w:rsid w:val="0077511F"/>
    <w:rsid w:val="007758EB"/>
    <w:rsid w:val="00775A45"/>
    <w:rsid w:val="00775FC2"/>
    <w:rsid w:val="00776FA7"/>
    <w:rsid w:val="00777494"/>
    <w:rsid w:val="007775D3"/>
    <w:rsid w:val="00777B42"/>
    <w:rsid w:val="0078068F"/>
    <w:rsid w:val="00780764"/>
    <w:rsid w:val="007808F0"/>
    <w:rsid w:val="00780FEA"/>
    <w:rsid w:val="007813C2"/>
    <w:rsid w:val="0078173C"/>
    <w:rsid w:val="00781D8A"/>
    <w:rsid w:val="0078207D"/>
    <w:rsid w:val="0078228C"/>
    <w:rsid w:val="007827E8"/>
    <w:rsid w:val="00782C2A"/>
    <w:rsid w:val="0078355E"/>
    <w:rsid w:val="007838C2"/>
    <w:rsid w:val="00783C11"/>
    <w:rsid w:val="00784103"/>
    <w:rsid w:val="00785D01"/>
    <w:rsid w:val="007864F8"/>
    <w:rsid w:val="00786F03"/>
    <w:rsid w:val="007874F1"/>
    <w:rsid w:val="007877E8"/>
    <w:rsid w:val="00787D31"/>
    <w:rsid w:val="00790373"/>
    <w:rsid w:val="00790446"/>
    <w:rsid w:val="00793CB7"/>
    <w:rsid w:val="007944E9"/>
    <w:rsid w:val="00794873"/>
    <w:rsid w:val="00794B32"/>
    <w:rsid w:val="00796A5E"/>
    <w:rsid w:val="00796EDC"/>
    <w:rsid w:val="007A030A"/>
    <w:rsid w:val="007A11F9"/>
    <w:rsid w:val="007A17C3"/>
    <w:rsid w:val="007A3277"/>
    <w:rsid w:val="007A35CC"/>
    <w:rsid w:val="007A35F5"/>
    <w:rsid w:val="007A36C8"/>
    <w:rsid w:val="007A4171"/>
    <w:rsid w:val="007A507E"/>
    <w:rsid w:val="007A53AA"/>
    <w:rsid w:val="007A5D1A"/>
    <w:rsid w:val="007A63A5"/>
    <w:rsid w:val="007A647B"/>
    <w:rsid w:val="007A75AC"/>
    <w:rsid w:val="007B0F2F"/>
    <w:rsid w:val="007B1352"/>
    <w:rsid w:val="007B1D20"/>
    <w:rsid w:val="007B2A48"/>
    <w:rsid w:val="007B2E59"/>
    <w:rsid w:val="007B2F02"/>
    <w:rsid w:val="007B32E8"/>
    <w:rsid w:val="007B3463"/>
    <w:rsid w:val="007B364B"/>
    <w:rsid w:val="007B3B6C"/>
    <w:rsid w:val="007B3F2E"/>
    <w:rsid w:val="007B4378"/>
    <w:rsid w:val="007B5109"/>
    <w:rsid w:val="007B5B86"/>
    <w:rsid w:val="007B5C12"/>
    <w:rsid w:val="007B75A5"/>
    <w:rsid w:val="007B7782"/>
    <w:rsid w:val="007B7C6D"/>
    <w:rsid w:val="007B7DE7"/>
    <w:rsid w:val="007C05DF"/>
    <w:rsid w:val="007C09FC"/>
    <w:rsid w:val="007C0E0C"/>
    <w:rsid w:val="007C14E8"/>
    <w:rsid w:val="007C1B01"/>
    <w:rsid w:val="007C2E61"/>
    <w:rsid w:val="007C43C6"/>
    <w:rsid w:val="007C49F7"/>
    <w:rsid w:val="007C4EB4"/>
    <w:rsid w:val="007C4F91"/>
    <w:rsid w:val="007C5AB4"/>
    <w:rsid w:val="007C5DD5"/>
    <w:rsid w:val="007D0683"/>
    <w:rsid w:val="007D0D29"/>
    <w:rsid w:val="007D159C"/>
    <w:rsid w:val="007D15D6"/>
    <w:rsid w:val="007D189C"/>
    <w:rsid w:val="007D1983"/>
    <w:rsid w:val="007D1EBB"/>
    <w:rsid w:val="007D1F0E"/>
    <w:rsid w:val="007D29B9"/>
    <w:rsid w:val="007D3DC7"/>
    <w:rsid w:val="007D5A7C"/>
    <w:rsid w:val="007D68AF"/>
    <w:rsid w:val="007D68DC"/>
    <w:rsid w:val="007D6C43"/>
    <w:rsid w:val="007D7A1C"/>
    <w:rsid w:val="007E0DC5"/>
    <w:rsid w:val="007E0EEA"/>
    <w:rsid w:val="007E2870"/>
    <w:rsid w:val="007E3D8C"/>
    <w:rsid w:val="007E433D"/>
    <w:rsid w:val="007E443C"/>
    <w:rsid w:val="007E46CA"/>
    <w:rsid w:val="007E4C2F"/>
    <w:rsid w:val="007E4CA0"/>
    <w:rsid w:val="007E53CD"/>
    <w:rsid w:val="007E597B"/>
    <w:rsid w:val="007E5A1E"/>
    <w:rsid w:val="007E5C5B"/>
    <w:rsid w:val="007E638C"/>
    <w:rsid w:val="007E6AD0"/>
    <w:rsid w:val="007E6EE4"/>
    <w:rsid w:val="007E71A2"/>
    <w:rsid w:val="007E7589"/>
    <w:rsid w:val="007E759B"/>
    <w:rsid w:val="007E772C"/>
    <w:rsid w:val="007F0006"/>
    <w:rsid w:val="007F03F5"/>
    <w:rsid w:val="007F212B"/>
    <w:rsid w:val="007F3EB3"/>
    <w:rsid w:val="007F4128"/>
    <w:rsid w:val="007F4311"/>
    <w:rsid w:val="007F4391"/>
    <w:rsid w:val="007F45C0"/>
    <w:rsid w:val="007F4C3B"/>
    <w:rsid w:val="007F4DBC"/>
    <w:rsid w:val="007F596C"/>
    <w:rsid w:val="007F5EA4"/>
    <w:rsid w:val="007F74D7"/>
    <w:rsid w:val="007F796C"/>
    <w:rsid w:val="007F796E"/>
    <w:rsid w:val="007F7EA1"/>
    <w:rsid w:val="008003E3"/>
    <w:rsid w:val="00801185"/>
    <w:rsid w:val="008015FC"/>
    <w:rsid w:val="00801AC7"/>
    <w:rsid w:val="00801E6E"/>
    <w:rsid w:val="00802639"/>
    <w:rsid w:val="00802C31"/>
    <w:rsid w:val="008037B0"/>
    <w:rsid w:val="008039F8"/>
    <w:rsid w:val="00804582"/>
    <w:rsid w:val="008055C1"/>
    <w:rsid w:val="00805820"/>
    <w:rsid w:val="00806149"/>
    <w:rsid w:val="0080635B"/>
    <w:rsid w:val="00806B12"/>
    <w:rsid w:val="00807916"/>
    <w:rsid w:val="00807AA9"/>
    <w:rsid w:val="008107C1"/>
    <w:rsid w:val="00810DB1"/>
    <w:rsid w:val="00810E0C"/>
    <w:rsid w:val="0081138D"/>
    <w:rsid w:val="00811F65"/>
    <w:rsid w:val="00812E6E"/>
    <w:rsid w:val="00813028"/>
    <w:rsid w:val="0081303E"/>
    <w:rsid w:val="00813584"/>
    <w:rsid w:val="00813A77"/>
    <w:rsid w:val="008148B4"/>
    <w:rsid w:val="008166C1"/>
    <w:rsid w:val="00816B9A"/>
    <w:rsid w:val="00816CEB"/>
    <w:rsid w:val="00816FFD"/>
    <w:rsid w:val="00817681"/>
    <w:rsid w:val="008178BF"/>
    <w:rsid w:val="00817B0B"/>
    <w:rsid w:val="00821598"/>
    <w:rsid w:val="0082160E"/>
    <w:rsid w:val="00822A53"/>
    <w:rsid w:val="00822F8D"/>
    <w:rsid w:val="008232E9"/>
    <w:rsid w:val="0082357F"/>
    <w:rsid w:val="00823859"/>
    <w:rsid w:val="00825F8D"/>
    <w:rsid w:val="0082605F"/>
    <w:rsid w:val="0082629E"/>
    <w:rsid w:val="00826963"/>
    <w:rsid w:val="0082718F"/>
    <w:rsid w:val="00827406"/>
    <w:rsid w:val="00827742"/>
    <w:rsid w:val="00827C2A"/>
    <w:rsid w:val="00830526"/>
    <w:rsid w:val="0083055C"/>
    <w:rsid w:val="00830724"/>
    <w:rsid w:val="008308E5"/>
    <w:rsid w:val="008312A7"/>
    <w:rsid w:val="00831FD3"/>
    <w:rsid w:val="008324EB"/>
    <w:rsid w:val="008326B4"/>
    <w:rsid w:val="00833F32"/>
    <w:rsid w:val="008348A3"/>
    <w:rsid w:val="008351CB"/>
    <w:rsid w:val="00835531"/>
    <w:rsid w:val="0083578F"/>
    <w:rsid w:val="008357E0"/>
    <w:rsid w:val="00836530"/>
    <w:rsid w:val="0083705C"/>
    <w:rsid w:val="0083771D"/>
    <w:rsid w:val="0083776D"/>
    <w:rsid w:val="00837CC4"/>
    <w:rsid w:val="00837F61"/>
    <w:rsid w:val="00837F9A"/>
    <w:rsid w:val="00840E64"/>
    <w:rsid w:val="0084175A"/>
    <w:rsid w:val="00841CC4"/>
    <w:rsid w:val="00844149"/>
    <w:rsid w:val="00844558"/>
    <w:rsid w:val="0084483A"/>
    <w:rsid w:val="00844B1F"/>
    <w:rsid w:val="0084524B"/>
    <w:rsid w:val="00846128"/>
    <w:rsid w:val="00846C01"/>
    <w:rsid w:val="00846C54"/>
    <w:rsid w:val="008473E5"/>
    <w:rsid w:val="008475BD"/>
    <w:rsid w:val="00847741"/>
    <w:rsid w:val="008477B8"/>
    <w:rsid w:val="00850A78"/>
    <w:rsid w:val="00850FBE"/>
    <w:rsid w:val="0085127C"/>
    <w:rsid w:val="00851A0A"/>
    <w:rsid w:val="0085289B"/>
    <w:rsid w:val="00853256"/>
    <w:rsid w:val="00853B17"/>
    <w:rsid w:val="008540BD"/>
    <w:rsid w:val="00854FE6"/>
    <w:rsid w:val="008562C0"/>
    <w:rsid w:val="00856BB9"/>
    <w:rsid w:val="00856D07"/>
    <w:rsid w:val="00856D18"/>
    <w:rsid w:val="00857BB3"/>
    <w:rsid w:val="008601D9"/>
    <w:rsid w:val="00860956"/>
    <w:rsid w:val="00861475"/>
    <w:rsid w:val="00861C35"/>
    <w:rsid w:val="00861E9B"/>
    <w:rsid w:val="00861F64"/>
    <w:rsid w:val="00862D10"/>
    <w:rsid w:val="00862D76"/>
    <w:rsid w:val="00862FAD"/>
    <w:rsid w:val="0086358F"/>
    <w:rsid w:val="00863713"/>
    <w:rsid w:val="008640A6"/>
    <w:rsid w:val="0086437B"/>
    <w:rsid w:val="008645D8"/>
    <w:rsid w:val="008649BD"/>
    <w:rsid w:val="0086568E"/>
    <w:rsid w:val="00865D8A"/>
    <w:rsid w:val="00865E30"/>
    <w:rsid w:val="00866887"/>
    <w:rsid w:val="0086754F"/>
    <w:rsid w:val="00870ED8"/>
    <w:rsid w:val="0087150E"/>
    <w:rsid w:val="008722A3"/>
    <w:rsid w:val="00873220"/>
    <w:rsid w:val="00873883"/>
    <w:rsid w:val="00873BA5"/>
    <w:rsid w:val="008740BA"/>
    <w:rsid w:val="008740FC"/>
    <w:rsid w:val="008748E8"/>
    <w:rsid w:val="00874969"/>
    <w:rsid w:val="00874AC7"/>
    <w:rsid w:val="00874FD3"/>
    <w:rsid w:val="008756CF"/>
    <w:rsid w:val="00875ED1"/>
    <w:rsid w:val="008761B0"/>
    <w:rsid w:val="0087681C"/>
    <w:rsid w:val="00876F1D"/>
    <w:rsid w:val="0087705A"/>
    <w:rsid w:val="00877BFC"/>
    <w:rsid w:val="0088091D"/>
    <w:rsid w:val="008809D9"/>
    <w:rsid w:val="00880CBB"/>
    <w:rsid w:val="0088154A"/>
    <w:rsid w:val="00882EDF"/>
    <w:rsid w:val="00883FD5"/>
    <w:rsid w:val="00884204"/>
    <w:rsid w:val="008844FF"/>
    <w:rsid w:val="00884BF2"/>
    <w:rsid w:val="008855A9"/>
    <w:rsid w:val="00885FF4"/>
    <w:rsid w:val="0088783F"/>
    <w:rsid w:val="00890F83"/>
    <w:rsid w:val="00891AC2"/>
    <w:rsid w:val="00891E2F"/>
    <w:rsid w:val="0089263F"/>
    <w:rsid w:val="00892DD1"/>
    <w:rsid w:val="00893510"/>
    <w:rsid w:val="00894099"/>
    <w:rsid w:val="00894618"/>
    <w:rsid w:val="00894E93"/>
    <w:rsid w:val="0089682A"/>
    <w:rsid w:val="00896914"/>
    <w:rsid w:val="00896C20"/>
    <w:rsid w:val="00897079"/>
    <w:rsid w:val="00897624"/>
    <w:rsid w:val="00897641"/>
    <w:rsid w:val="00897F99"/>
    <w:rsid w:val="008A01F9"/>
    <w:rsid w:val="008A0FE9"/>
    <w:rsid w:val="008A1440"/>
    <w:rsid w:val="008A27CE"/>
    <w:rsid w:val="008A31E4"/>
    <w:rsid w:val="008A31F2"/>
    <w:rsid w:val="008A489C"/>
    <w:rsid w:val="008A4B4F"/>
    <w:rsid w:val="008A6DE0"/>
    <w:rsid w:val="008A6FCC"/>
    <w:rsid w:val="008B00E2"/>
    <w:rsid w:val="008B0D5D"/>
    <w:rsid w:val="008B115C"/>
    <w:rsid w:val="008B135D"/>
    <w:rsid w:val="008B15F3"/>
    <w:rsid w:val="008B182F"/>
    <w:rsid w:val="008B1FD7"/>
    <w:rsid w:val="008B29D7"/>
    <w:rsid w:val="008B5E72"/>
    <w:rsid w:val="008B67E0"/>
    <w:rsid w:val="008B7228"/>
    <w:rsid w:val="008B74AD"/>
    <w:rsid w:val="008B7BC8"/>
    <w:rsid w:val="008B7E3B"/>
    <w:rsid w:val="008C0F64"/>
    <w:rsid w:val="008C1250"/>
    <w:rsid w:val="008C1B5F"/>
    <w:rsid w:val="008C1C64"/>
    <w:rsid w:val="008C2027"/>
    <w:rsid w:val="008C2411"/>
    <w:rsid w:val="008C26A0"/>
    <w:rsid w:val="008C28F2"/>
    <w:rsid w:val="008C3AEC"/>
    <w:rsid w:val="008C46E3"/>
    <w:rsid w:val="008C4AFC"/>
    <w:rsid w:val="008C4CA4"/>
    <w:rsid w:val="008C549E"/>
    <w:rsid w:val="008C60F9"/>
    <w:rsid w:val="008C7694"/>
    <w:rsid w:val="008C782B"/>
    <w:rsid w:val="008C7A35"/>
    <w:rsid w:val="008C7DB4"/>
    <w:rsid w:val="008D1183"/>
    <w:rsid w:val="008D1A07"/>
    <w:rsid w:val="008D2447"/>
    <w:rsid w:val="008D2810"/>
    <w:rsid w:val="008D33E2"/>
    <w:rsid w:val="008D3809"/>
    <w:rsid w:val="008D41A6"/>
    <w:rsid w:val="008D43E0"/>
    <w:rsid w:val="008D5074"/>
    <w:rsid w:val="008D61A4"/>
    <w:rsid w:val="008D661E"/>
    <w:rsid w:val="008D6A06"/>
    <w:rsid w:val="008D786F"/>
    <w:rsid w:val="008E06CC"/>
    <w:rsid w:val="008E074E"/>
    <w:rsid w:val="008E07EF"/>
    <w:rsid w:val="008E1687"/>
    <w:rsid w:val="008E25C1"/>
    <w:rsid w:val="008E325F"/>
    <w:rsid w:val="008E3722"/>
    <w:rsid w:val="008E3BA0"/>
    <w:rsid w:val="008E4507"/>
    <w:rsid w:val="008E4B09"/>
    <w:rsid w:val="008E68EF"/>
    <w:rsid w:val="008E6B5E"/>
    <w:rsid w:val="008E6B92"/>
    <w:rsid w:val="008E6CDF"/>
    <w:rsid w:val="008E7091"/>
    <w:rsid w:val="008F023C"/>
    <w:rsid w:val="008F04FE"/>
    <w:rsid w:val="008F06E6"/>
    <w:rsid w:val="008F099D"/>
    <w:rsid w:val="008F0A2E"/>
    <w:rsid w:val="008F0B5D"/>
    <w:rsid w:val="008F0CDD"/>
    <w:rsid w:val="008F240E"/>
    <w:rsid w:val="008F25EE"/>
    <w:rsid w:val="008F29E3"/>
    <w:rsid w:val="008F2AFB"/>
    <w:rsid w:val="008F2C02"/>
    <w:rsid w:val="008F2CDD"/>
    <w:rsid w:val="008F5BBD"/>
    <w:rsid w:val="008F61D4"/>
    <w:rsid w:val="008F6702"/>
    <w:rsid w:val="008F6D41"/>
    <w:rsid w:val="008F7021"/>
    <w:rsid w:val="0090002A"/>
    <w:rsid w:val="00901026"/>
    <w:rsid w:val="0090140D"/>
    <w:rsid w:val="0090299F"/>
    <w:rsid w:val="00902C7A"/>
    <w:rsid w:val="00902CB4"/>
    <w:rsid w:val="00902D1F"/>
    <w:rsid w:val="00903025"/>
    <w:rsid w:val="009030E7"/>
    <w:rsid w:val="009033C4"/>
    <w:rsid w:val="00903A83"/>
    <w:rsid w:val="00904C09"/>
    <w:rsid w:val="00904E1C"/>
    <w:rsid w:val="009054BA"/>
    <w:rsid w:val="00905C1A"/>
    <w:rsid w:val="009061D5"/>
    <w:rsid w:val="00907B55"/>
    <w:rsid w:val="00910252"/>
    <w:rsid w:val="009117DD"/>
    <w:rsid w:val="00913F0E"/>
    <w:rsid w:val="00913F7E"/>
    <w:rsid w:val="009155BF"/>
    <w:rsid w:val="009156B6"/>
    <w:rsid w:val="00916488"/>
    <w:rsid w:val="00916836"/>
    <w:rsid w:val="009174C3"/>
    <w:rsid w:val="0092046E"/>
    <w:rsid w:val="009211F4"/>
    <w:rsid w:val="00921EBA"/>
    <w:rsid w:val="00922CD6"/>
    <w:rsid w:val="009230F2"/>
    <w:rsid w:val="009233E1"/>
    <w:rsid w:val="00924C30"/>
    <w:rsid w:val="009266A2"/>
    <w:rsid w:val="00926CC9"/>
    <w:rsid w:val="009276D9"/>
    <w:rsid w:val="00930285"/>
    <w:rsid w:val="00930572"/>
    <w:rsid w:val="009308E1"/>
    <w:rsid w:val="009316B3"/>
    <w:rsid w:val="00932C06"/>
    <w:rsid w:val="00932C97"/>
    <w:rsid w:val="00932F76"/>
    <w:rsid w:val="00933132"/>
    <w:rsid w:val="00934496"/>
    <w:rsid w:val="009348D0"/>
    <w:rsid w:val="00934A4E"/>
    <w:rsid w:val="00934BE7"/>
    <w:rsid w:val="00934FAD"/>
    <w:rsid w:val="00935216"/>
    <w:rsid w:val="009356A6"/>
    <w:rsid w:val="00935AC7"/>
    <w:rsid w:val="00935C61"/>
    <w:rsid w:val="00936249"/>
    <w:rsid w:val="00940379"/>
    <w:rsid w:val="00940FA3"/>
    <w:rsid w:val="00941667"/>
    <w:rsid w:val="00941EB8"/>
    <w:rsid w:val="009421DE"/>
    <w:rsid w:val="00942A45"/>
    <w:rsid w:val="0094339D"/>
    <w:rsid w:val="00943472"/>
    <w:rsid w:val="009437C1"/>
    <w:rsid w:val="00943C17"/>
    <w:rsid w:val="00943EC2"/>
    <w:rsid w:val="009443F7"/>
    <w:rsid w:val="00944940"/>
    <w:rsid w:val="009455AF"/>
    <w:rsid w:val="00945A0D"/>
    <w:rsid w:val="00947066"/>
    <w:rsid w:val="00947390"/>
    <w:rsid w:val="0095013E"/>
    <w:rsid w:val="00950C01"/>
    <w:rsid w:val="0095124C"/>
    <w:rsid w:val="00951FD3"/>
    <w:rsid w:val="00952C20"/>
    <w:rsid w:val="0095301B"/>
    <w:rsid w:val="00953E6C"/>
    <w:rsid w:val="00954B8A"/>
    <w:rsid w:val="00954FCA"/>
    <w:rsid w:val="00955024"/>
    <w:rsid w:val="00955C32"/>
    <w:rsid w:val="00955D93"/>
    <w:rsid w:val="009572D1"/>
    <w:rsid w:val="009574D7"/>
    <w:rsid w:val="00957FD9"/>
    <w:rsid w:val="0096071B"/>
    <w:rsid w:val="00960EDA"/>
    <w:rsid w:val="00960F33"/>
    <w:rsid w:val="00960F57"/>
    <w:rsid w:val="00961015"/>
    <w:rsid w:val="00961C35"/>
    <w:rsid w:val="0096374B"/>
    <w:rsid w:val="00963BE7"/>
    <w:rsid w:val="0096416C"/>
    <w:rsid w:val="00964D4C"/>
    <w:rsid w:val="00965779"/>
    <w:rsid w:val="00966AC1"/>
    <w:rsid w:val="0096739F"/>
    <w:rsid w:val="00967DB3"/>
    <w:rsid w:val="00970B76"/>
    <w:rsid w:val="009715F5"/>
    <w:rsid w:val="00971739"/>
    <w:rsid w:val="00971CF1"/>
    <w:rsid w:val="00971D18"/>
    <w:rsid w:val="009722D7"/>
    <w:rsid w:val="009723BE"/>
    <w:rsid w:val="00972410"/>
    <w:rsid w:val="009724D7"/>
    <w:rsid w:val="00972E0B"/>
    <w:rsid w:val="009732BE"/>
    <w:rsid w:val="00973579"/>
    <w:rsid w:val="00973B69"/>
    <w:rsid w:val="009745E0"/>
    <w:rsid w:val="00974995"/>
    <w:rsid w:val="009751C3"/>
    <w:rsid w:val="00975246"/>
    <w:rsid w:val="00975312"/>
    <w:rsid w:val="009756D3"/>
    <w:rsid w:val="00975F80"/>
    <w:rsid w:val="00976C0C"/>
    <w:rsid w:val="00980704"/>
    <w:rsid w:val="00980ACA"/>
    <w:rsid w:val="00980E52"/>
    <w:rsid w:val="00981ABC"/>
    <w:rsid w:val="00981AD4"/>
    <w:rsid w:val="00982CCE"/>
    <w:rsid w:val="0098349D"/>
    <w:rsid w:val="00983854"/>
    <w:rsid w:val="00984A2B"/>
    <w:rsid w:val="00985269"/>
    <w:rsid w:val="00985A9B"/>
    <w:rsid w:val="0098628D"/>
    <w:rsid w:val="00986476"/>
    <w:rsid w:val="00986ECB"/>
    <w:rsid w:val="009872D6"/>
    <w:rsid w:val="00991239"/>
    <w:rsid w:val="00992648"/>
    <w:rsid w:val="00992EF8"/>
    <w:rsid w:val="0099328C"/>
    <w:rsid w:val="009937D5"/>
    <w:rsid w:val="00993DBE"/>
    <w:rsid w:val="0099427D"/>
    <w:rsid w:val="0099459C"/>
    <w:rsid w:val="0099568E"/>
    <w:rsid w:val="00995B46"/>
    <w:rsid w:val="00996134"/>
    <w:rsid w:val="009962BE"/>
    <w:rsid w:val="00996331"/>
    <w:rsid w:val="00996637"/>
    <w:rsid w:val="00996858"/>
    <w:rsid w:val="009968EB"/>
    <w:rsid w:val="00996D29"/>
    <w:rsid w:val="00997513"/>
    <w:rsid w:val="00997B02"/>
    <w:rsid w:val="00997C06"/>
    <w:rsid w:val="00997C11"/>
    <w:rsid w:val="009A0502"/>
    <w:rsid w:val="009A11C5"/>
    <w:rsid w:val="009A20B5"/>
    <w:rsid w:val="009A217C"/>
    <w:rsid w:val="009A2CE5"/>
    <w:rsid w:val="009A2F5A"/>
    <w:rsid w:val="009A3302"/>
    <w:rsid w:val="009A402D"/>
    <w:rsid w:val="009A40B1"/>
    <w:rsid w:val="009A471C"/>
    <w:rsid w:val="009A48D9"/>
    <w:rsid w:val="009A590A"/>
    <w:rsid w:val="009A59B2"/>
    <w:rsid w:val="009A6E54"/>
    <w:rsid w:val="009A7845"/>
    <w:rsid w:val="009A79D6"/>
    <w:rsid w:val="009B0EBE"/>
    <w:rsid w:val="009B0FD4"/>
    <w:rsid w:val="009B1ADB"/>
    <w:rsid w:val="009B2AF2"/>
    <w:rsid w:val="009B3377"/>
    <w:rsid w:val="009B52DA"/>
    <w:rsid w:val="009B5FAA"/>
    <w:rsid w:val="009B729D"/>
    <w:rsid w:val="009B7682"/>
    <w:rsid w:val="009B7B39"/>
    <w:rsid w:val="009C09FB"/>
    <w:rsid w:val="009C0D52"/>
    <w:rsid w:val="009C1453"/>
    <w:rsid w:val="009C14F8"/>
    <w:rsid w:val="009C1E63"/>
    <w:rsid w:val="009C27AB"/>
    <w:rsid w:val="009C2A52"/>
    <w:rsid w:val="009C33B1"/>
    <w:rsid w:val="009C34F1"/>
    <w:rsid w:val="009C3792"/>
    <w:rsid w:val="009C47C7"/>
    <w:rsid w:val="009C49BB"/>
    <w:rsid w:val="009C52A9"/>
    <w:rsid w:val="009C55BB"/>
    <w:rsid w:val="009C5696"/>
    <w:rsid w:val="009C5EBD"/>
    <w:rsid w:val="009C64DC"/>
    <w:rsid w:val="009C6CD5"/>
    <w:rsid w:val="009C6D4A"/>
    <w:rsid w:val="009C7220"/>
    <w:rsid w:val="009C7BE9"/>
    <w:rsid w:val="009C7C3C"/>
    <w:rsid w:val="009D0BBA"/>
    <w:rsid w:val="009D26A0"/>
    <w:rsid w:val="009D307F"/>
    <w:rsid w:val="009D316F"/>
    <w:rsid w:val="009D326D"/>
    <w:rsid w:val="009D33EC"/>
    <w:rsid w:val="009D4492"/>
    <w:rsid w:val="009D528F"/>
    <w:rsid w:val="009D546E"/>
    <w:rsid w:val="009D5B56"/>
    <w:rsid w:val="009D60BF"/>
    <w:rsid w:val="009D6CE9"/>
    <w:rsid w:val="009D6E20"/>
    <w:rsid w:val="009E09F3"/>
    <w:rsid w:val="009E2601"/>
    <w:rsid w:val="009E27D7"/>
    <w:rsid w:val="009E3D5F"/>
    <w:rsid w:val="009E447D"/>
    <w:rsid w:val="009E4C71"/>
    <w:rsid w:val="009E517C"/>
    <w:rsid w:val="009E5287"/>
    <w:rsid w:val="009E5D22"/>
    <w:rsid w:val="009E6CDC"/>
    <w:rsid w:val="009E6F48"/>
    <w:rsid w:val="009E74D5"/>
    <w:rsid w:val="009E78E4"/>
    <w:rsid w:val="009E7DF8"/>
    <w:rsid w:val="009F0714"/>
    <w:rsid w:val="009F1734"/>
    <w:rsid w:val="009F2068"/>
    <w:rsid w:val="009F24AA"/>
    <w:rsid w:val="009F2965"/>
    <w:rsid w:val="009F2A46"/>
    <w:rsid w:val="009F2CC4"/>
    <w:rsid w:val="009F443E"/>
    <w:rsid w:val="009F4B5D"/>
    <w:rsid w:val="009F5052"/>
    <w:rsid w:val="009F51C0"/>
    <w:rsid w:val="009F6034"/>
    <w:rsid w:val="009F683E"/>
    <w:rsid w:val="009F79C8"/>
    <w:rsid w:val="00A00DDD"/>
    <w:rsid w:val="00A024E8"/>
    <w:rsid w:val="00A03157"/>
    <w:rsid w:val="00A04B2C"/>
    <w:rsid w:val="00A04F09"/>
    <w:rsid w:val="00A05725"/>
    <w:rsid w:val="00A072A2"/>
    <w:rsid w:val="00A1026B"/>
    <w:rsid w:val="00A1098A"/>
    <w:rsid w:val="00A1136B"/>
    <w:rsid w:val="00A11598"/>
    <w:rsid w:val="00A11EFB"/>
    <w:rsid w:val="00A12942"/>
    <w:rsid w:val="00A12F54"/>
    <w:rsid w:val="00A1389A"/>
    <w:rsid w:val="00A14324"/>
    <w:rsid w:val="00A15308"/>
    <w:rsid w:val="00A206DB"/>
    <w:rsid w:val="00A209AA"/>
    <w:rsid w:val="00A20E53"/>
    <w:rsid w:val="00A21010"/>
    <w:rsid w:val="00A228EA"/>
    <w:rsid w:val="00A23F4E"/>
    <w:rsid w:val="00A243BE"/>
    <w:rsid w:val="00A24B1D"/>
    <w:rsid w:val="00A24F54"/>
    <w:rsid w:val="00A25009"/>
    <w:rsid w:val="00A25F80"/>
    <w:rsid w:val="00A27031"/>
    <w:rsid w:val="00A27F37"/>
    <w:rsid w:val="00A27FC7"/>
    <w:rsid w:val="00A30511"/>
    <w:rsid w:val="00A311E9"/>
    <w:rsid w:val="00A31351"/>
    <w:rsid w:val="00A31472"/>
    <w:rsid w:val="00A3174F"/>
    <w:rsid w:val="00A317A0"/>
    <w:rsid w:val="00A3394C"/>
    <w:rsid w:val="00A33AB7"/>
    <w:rsid w:val="00A33F20"/>
    <w:rsid w:val="00A33FA5"/>
    <w:rsid w:val="00A33FB5"/>
    <w:rsid w:val="00A3429A"/>
    <w:rsid w:val="00A3485C"/>
    <w:rsid w:val="00A34A81"/>
    <w:rsid w:val="00A34B87"/>
    <w:rsid w:val="00A34DD6"/>
    <w:rsid w:val="00A3516B"/>
    <w:rsid w:val="00A357D8"/>
    <w:rsid w:val="00A3637E"/>
    <w:rsid w:val="00A405F0"/>
    <w:rsid w:val="00A4086C"/>
    <w:rsid w:val="00A4205C"/>
    <w:rsid w:val="00A42A94"/>
    <w:rsid w:val="00A42D0A"/>
    <w:rsid w:val="00A43338"/>
    <w:rsid w:val="00A43965"/>
    <w:rsid w:val="00A45354"/>
    <w:rsid w:val="00A46118"/>
    <w:rsid w:val="00A4628B"/>
    <w:rsid w:val="00A463B1"/>
    <w:rsid w:val="00A46573"/>
    <w:rsid w:val="00A465D2"/>
    <w:rsid w:val="00A4725F"/>
    <w:rsid w:val="00A472EE"/>
    <w:rsid w:val="00A47643"/>
    <w:rsid w:val="00A47E14"/>
    <w:rsid w:val="00A508D2"/>
    <w:rsid w:val="00A509FC"/>
    <w:rsid w:val="00A5132E"/>
    <w:rsid w:val="00A51779"/>
    <w:rsid w:val="00A521C0"/>
    <w:rsid w:val="00A526A7"/>
    <w:rsid w:val="00A526BC"/>
    <w:rsid w:val="00A5272A"/>
    <w:rsid w:val="00A527ED"/>
    <w:rsid w:val="00A53109"/>
    <w:rsid w:val="00A553D2"/>
    <w:rsid w:val="00A556C6"/>
    <w:rsid w:val="00A556F5"/>
    <w:rsid w:val="00A55866"/>
    <w:rsid w:val="00A55D5C"/>
    <w:rsid w:val="00A55DDE"/>
    <w:rsid w:val="00A604A6"/>
    <w:rsid w:val="00A60CD5"/>
    <w:rsid w:val="00A60F92"/>
    <w:rsid w:val="00A6169B"/>
    <w:rsid w:val="00A621C1"/>
    <w:rsid w:val="00A63CE0"/>
    <w:rsid w:val="00A64919"/>
    <w:rsid w:val="00A65871"/>
    <w:rsid w:val="00A659EB"/>
    <w:rsid w:val="00A65DBE"/>
    <w:rsid w:val="00A677E3"/>
    <w:rsid w:val="00A6794E"/>
    <w:rsid w:val="00A71740"/>
    <w:rsid w:val="00A7283E"/>
    <w:rsid w:val="00A7298B"/>
    <w:rsid w:val="00A729A4"/>
    <w:rsid w:val="00A73290"/>
    <w:rsid w:val="00A738EB"/>
    <w:rsid w:val="00A73D63"/>
    <w:rsid w:val="00A740E7"/>
    <w:rsid w:val="00A7475F"/>
    <w:rsid w:val="00A747E8"/>
    <w:rsid w:val="00A74CDB"/>
    <w:rsid w:val="00A7538A"/>
    <w:rsid w:val="00A77509"/>
    <w:rsid w:val="00A7757C"/>
    <w:rsid w:val="00A77687"/>
    <w:rsid w:val="00A77BB6"/>
    <w:rsid w:val="00A802A4"/>
    <w:rsid w:val="00A80D8F"/>
    <w:rsid w:val="00A813BB"/>
    <w:rsid w:val="00A82A6C"/>
    <w:rsid w:val="00A82C88"/>
    <w:rsid w:val="00A82DBA"/>
    <w:rsid w:val="00A832D8"/>
    <w:rsid w:val="00A8418E"/>
    <w:rsid w:val="00A84AF0"/>
    <w:rsid w:val="00A84E6A"/>
    <w:rsid w:val="00A8584F"/>
    <w:rsid w:val="00A85A1D"/>
    <w:rsid w:val="00A85C0C"/>
    <w:rsid w:val="00A86B6D"/>
    <w:rsid w:val="00A8743F"/>
    <w:rsid w:val="00A90564"/>
    <w:rsid w:val="00A90628"/>
    <w:rsid w:val="00A907A9"/>
    <w:rsid w:val="00A90C78"/>
    <w:rsid w:val="00A9131E"/>
    <w:rsid w:val="00A91832"/>
    <w:rsid w:val="00A936CD"/>
    <w:rsid w:val="00A93A2A"/>
    <w:rsid w:val="00A93AB7"/>
    <w:rsid w:val="00A93E13"/>
    <w:rsid w:val="00A94197"/>
    <w:rsid w:val="00A9434F"/>
    <w:rsid w:val="00A94823"/>
    <w:rsid w:val="00A95032"/>
    <w:rsid w:val="00A956EB"/>
    <w:rsid w:val="00A95A14"/>
    <w:rsid w:val="00A95C3F"/>
    <w:rsid w:val="00A9658B"/>
    <w:rsid w:val="00A96AAF"/>
    <w:rsid w:val="00A97F89"/>
    <w:rsid w:val="00AA1FCB"/>
    <w:rsid w:val="00AA251B"/>
    <w:rsid w:val="00AA46BF"/>
    <w:rsid w:val="00AA5CA2"/>
    <w:rsid w:val="00AA6F75"/>
    <w:rsid w:val="00AA7D7E"/>
    <w:rsid w:val="00AB030D"/>
    <w:rsid w:val="00AB0795"/>
    <w:rsid w:val="00AB0EE5"/>
    <w:rsid w:val="00AB1277"/>
    <w:rsid w:val="00AB13B4"/>
    <w:rsid w:val="00AB1489"/>
    <w:rsid w:val="00AB245E"/>
    <w:rsid w:val="00AB25BD"/>
    <w:rsid w:val="00AB3776"/>
    <w:rsid w:val="00AB3E6F"/>
    <w:rsid w:val="00AB43A7"/>
    <w:rsid w:val="00AB45D5"/>
    <w:rsid w:val="00AB5494"/>
    <w:rsid w:val="00AB5B83"/>
    <w:rsid w:val="00AB5B96"/>
    <w:rsid w:val="00AB5E0E"/>
    <w:rsid w:val="00AB7AFD"/>
    <w:rsid w:val="00AB7C6B"/>
    <w:rsid w:val="00AB7CBB"/>
    <w:rsid w:val="00AC0130"/>
    <w:rsid w:val="00AC07C5"/>
    <w:rsid w:val="00AC08B0"/>
    <w:rsid w:val="00AC0CC1"/>
    <w:rsid w:val="00AC20C4"/>
    <w:rsid w:val="00AC2D94"/>
    <w:rsid w:val="00AC2EB8"/>
    <w:rsid w:val="00AC3174"/>
    <w:rsid w:val="00AC3280"/>
    <w:rsid w:val="00AC3E7C"/>
    <w:rsid w:val="00AC43D1"/>
    <w:rsid w:val="00AC4642"/>
    <w:rsid w:val="00AC47A9"/>
    <w:rsid w:val="00AC4C48"/>
    <w:rsid w:val="00AC52D3"/>
    <w:rsid w:val="00AC5E39"/>
    <w:rsid w:val="00AC6342"/>
    <w:rsid w:val="00AC6556"/>
    <w:rsid w:val="00AC79DE"/>
    <w:rsid w:val="00AC7FDA"/>
    <w:rsid w:val="00AD048C"/>
    <w:rsid w:val="00AD0D74"/>
    <w:rsid w:val="00AD149F"/>
    <w:rsid w:val="00AD1562"/>
    <w:rsid w:val="00AD21D5"/>
    <w:rsid w:val="00AD262F"/>
    <w:rsid w:val="00AD28F4"/>
    <w:rsid w:val="00AD3134"/>
    <w:rsid w:val="00AD370A"/>
    <w:rsid w:val="00AD54C9"/>
    <w:rsid w:val="00AD6279"/>
    <w:rsid w:val="00AD6BB0"/>
    <w:rsid w:val="00AD7DD7"/>
    <w:rsid w:val="00AE09D6"/>
    <w:rsid w:val="00AE2598"/>
    <w:rsid w:val="00AE3B5C"/>
    <w:rsid w:val="00AE3E3C"/>
    <w:rsid w:val="00AE4056"/>
    <w:rsid w:val="00AE448A"/>
    <w:rsid w:val="00AE4675"/>
    <w:rsid w:val="00AE5106"/>
    <w:rsid w:val="00AE5617"/>
    <w:rsid w:val="00AE5800"/>
    <w:rsid w:val="00AE5B7D"/>
    <w:rsid w:val="00AE5E4B"/>
    <w:rsid w:val="00AE6782"/>
    <w:rsid w:val="00AE6CE1"/>
    <w:rsid w:val="00AE792A"/>
    <w:rsid w:val="00AE7E8B"/>
    <w:rsid w:val="00AF0648"/>
    <w:rsid w:val="00AF12DD"/>
    <w:rsid w:val="00AF1899"/>
    <w:rsid w:val="00AF19CB"/>
    <w:rsid w:val="00AF1EBE"/>
    <w:rsid w:val="00AF2877"/>
    <w:rsid w:val="00AF2A13"/>
    <w:rsid w:val="00AF2D85"/>
    <w:rsid w:val="00AF3E5F"/>
    <w:rsid w:val="00AF4116"/>
    <w:rsid w:val="00AF4242"/>
    <w:rsid w:val="00AF474A"/>
    <w:rsid w:val="00AF476B"/>
    <w:rsid w:val="00AF4917"/>
    <w:rsid w:val="00AF4E16"/>
    <w:rsid w:val="00AF54C4"/>
    <w:rsid w:val="00AF5C5A"/>
    <w:rsid w:val="00AF6046"/>
    <w:rsid w:val="00AF6606"/>
    <w:rsid w:val="00AF6B94"/>
    <w:rsid w:val="00AF6D73"/>
    <w:rsid w:val="00AF7367"/>
    <w:rsid w:val="00AF7548"/>
    <w:rsid w:val="00AF79B6"/>
    <w:rsid w:val="00AF79EB"/>
    <w:rsid w:val="00B0173B"/>
    <w:rsid w:val="00B01D70"/>
    <w:rsid w:val="00B022B4"/>
    <w:rsid w:val="00B025BB"/>
    <w:rsid w:val="00B02952"/>
    <w:rsid w:val="00B032E6"/>
    <w:rsid w:val="00B04240"/>
    <w:rsid w:val="00B045E5"/>
    <w:rsid w:val="00B04AE7"/>
    <w:rsid w:val="00B04CEC"/>
    <w:rsid w:val="00B04F94"/>
    <w:rsid w:val="00B0545B"/>
    <w:rsid w:val="00B05893"/>
    <w:rsid w:val="00B05914"/>
    <w:rsid w:val="00B064D9"/>
    <w:rsid w:val="00B0670C"/>
    <w:rsid w:val="00B06A06"/>
    <w:rsid w:val="00B0786C"/>
    <w:rsid w:val="00B078BE"/>
    <w:rsid w:val="00B07A2A"/>
    <w:rsid w:val="00B07CA2"/>
    <w:rsid w:val="00B07F1D"/>
    <w:rsid w:val="00B10C44"/>
    <w:rsid w:val="00B11139"/>
    <w:rsid w:val="00B117E0"/>
    <w:rsid w:val="00B11AE3"/>
    <w:rsid w:val="00B13F25"/>
    <w:rsid w:val="00B148FA"/>
    <w:rsid w:val="00B15A25"/>
    <w:rsid w:val="00B16140"/>
    <w:rsid w:val="00B16BCE"/>
    <w:rsid w:val="00B16C5B"/>
    <w:rsid w:val="00B16DBB"/>
    <w:rsid w:val="00B20CF3"/>
    <w:rsid w:val="00B254A2"/>
    <w:rsid w:val="00B25647"/>
    <w:rsid w:val="00B259D1"/>
    <w:rsid w:val="00B25B37"/>
    <w:rsid w:val="00B2665C"/>
    <w:rsid w:val="00B26CCB"/>
    <w:rsid w:val="00B270FB"/>
    <w:rsid w:val="00B27549"/>
    <w:rsid w:val="00B27631"/>
    <w:rsid w:val="00B31A9E"/>
    <w:rsid w:val="00B33845"/>
    <w:rsid w:val="00B353E9"/>
    <w:rsid w:val="00B35642"/>
    <w:rsid w:val="00B3617A"/>
    <w:rsid w:val="00B37444"/>
    <w:rsid w:val="00B37808"/>
    <w:rsid w:val="00B37C8C"/>
    <w:rsid w:val="00B41027"/>
    <w:rsid w:val="00B4125B"/>
    <w:rsid w:val="00B41DCE"/>
    <w:rsid w:val="00B42281"/>
    <w:rsid w:val="00B423B3"/>
    <w:rsid w:val="00B425D0"/>
    <w:rsid w:val="00B43C1E"/>
    <w:rsid w:val="00B43E6B"/>
    <w:rsid w:val="00B448E2"/>
    <w:rsid w:val="00B45907"/>
    <w:rsid w:val="00B45A8F"/>
    <w:rsid w:val="00B46948"/>
    <w:rsid w:val="00B47947"/>
    <w:rsid w:val="00B507AD"/>
    <w:rsid w:val="00B510DB"/>
    <w:rsid w:val="00B51BC1"/>
    <w:rsid w:val="00B527B2"/>
    <w:rsid w:val="00B541C4"/>
    <w:rsid w:val="00B54EFC"/>
    <w:rsid w:val="00B55127"/>
    <w:rsid w:val="00B552AD"/>
    <w:rsid w:val="00B55F44"/>
    <w:rsid w:val="00B578F3"/>
    <w:rsid w:val="00B60495"/>
    <w:rsid w:val="00B60860"/>
    <w:rsid w:val="00B61896"/>
    <w:rsid w:val="00B628B5"/>
    <w:rsid w:val="00B62C31"/>
    <w:rsid w:val="00B64329"/>
    <w:rsid w:val="00B64436"/>
    <w:rsid w:val="00B65F70"/>
    <w:rsid w:val="00B660FB"/>
    <w:rsid w:val="00B70AA3"/>
    <w:rsid w:val="00B70D8D"/>
    <w:rsid w:val="00B70F16"/>
    <w:rsid w:val="00B70FEF"/>
    <w:rsid w:val="00B71256"/>
    <w:rsid w:val="00B713FC"/>
    <w:rsid w:val="00B71525"/>
    <w:rsid w:val="00B716DE"/>
    <w:rsid w:val="00B72232"/>
    <w:rsid w:val="00B72DBE"/>
    <w:rsid w:val="00B72ED9"/>
    <w:rsid w:val="00B72FA7"/>
    <w:rsid w:val="00B7408A"/>
    <w:rsid w:val="00B75EEE"/>
    <w:rsid w:val="00B76A5D"/>
    <w:rsid w:val="00B80E47"/>
    <w:rsid w:val="00B80ECC"/>
    <w:rsid w:val="00B80F98"/>
    <w:rsid w:val="00B81DF1"/>
    <w:rsid w:val="00B82068"/>
    <w:rsid w:val="00B82C95"/>
    <w:rsid w:val="00B83361"/>
    <w:rsid w:val="00B83A51"/>
    <w:rsid w:val="00B8401D"/>
    <w:rsid w:val="00B8455B"/>
    <w:rsid w:val="00B84DCF"/>
    <w:rsid w:val="00B8543D"/>
    <w:rsid w:val="00B85C8A"/>
    <w:rsid w:val="00B863B1"/>
    <w:rsid w:val="00B8648C"/>
    <w:rsid w:val="00B866CB"/>
    <w:rsid w:val="00B90C68"/>
    <w:rsid w:val="00B90DC9"/>
    <w:rsid w:val="00B914A5"/>
    <w:rsid w:val="00B91CDE"/>
    <w:rsid w:val="00B926C4"/>
    <w:rsid w:val="00B926DD"/>
    <w:rsid w:val="00B92CD7"/>
    <w:rsid w:val="00B933B3"/>
    <w:rsid w:val="00B93419"/>
    <w:rsid w:val="00B936CA"/>
    <w:rsid w:val="00B93FA5"/>
    <w:rsid w:val="00B94462"/>
    <w:rsid w:val="00B95D2B"/>
    <w:rsid w:val="00B970ED"/>
    <w:rsid w:val="00BA0434"/>
    <w:rsid w:val="00BA1673"/>
    <w:rsid w:val="00BA1DC1"/>
    <w:rsid w:val="00BA2389"/>
    <w:rsid w:val="00BA2390"/>
    <w:rsid w:val="00BA27F4"/>
    <w:rsid w:val="00BA2B27"/>
    <w:rsid w:val="00BA2C05"/>
    <w:rsid w:val="00BA3C5F"/>
    <w:rsid w:val="00BA4759"/>
    <w:rsid w:val="00BA4801"/>
    <w:rsid w:val="00BA572D"/>
    <w:rsid w:val="00BA5C64"/>
    <w:rsid w:val="00BA6439"/>
    <w:rsid w:val="00BA6812"/>
    <w:rsid w:val="00BA689A"/>
    <w:rsid w:val="00BA71CA"/>
    <w:rsid w:val="00BA747F"/>
    <w:rsid w:val="00BB0556"/>
    <w:rsid w:val="00BB11F6"/>
    <w:rsid w:val="00BB19B4"/>
    <w:rsid w:val="00BB2442"/>
    <w:rsid w:val="00BB256E"/>
    <w:rsid w:val="00BB2F58"/>
    <w:rsid w:val="00BB3251"/>
    <w:rsid w:val="00BB4030"/>
    <w:rsid w:val="00BB6C7B"/>
    <w:rsid w:val="00BB6E33"/>
    <w:rsid w:val="00BB6FF4"/>
    <w:rsid w:val="00BB7404"/>
    <w:rsid w:val="00BC08D4"/>
    <w:rsid w:val="00BC0960"/>
    <w:rsid w:val="00BC136A"/>
    <w:rsid w:val="00BC1CE3"/>
    <w:rsid w:val="00BC3B48"/>
    <w:rsid w:val="00BC4E2B"/>
    <w:rsid w:val="00BC5334"/>
    <w:rsid w:val="00BC5F9B"/>
    <w:rsid w:val="00BC70B2"/>
    <w:rsid w:val="00BC7879"/>
    <w:rsid w:val="00BC7A83"/>
    <w:rsid w:val="00BD1693"/>
    <w:rsid w:val="00BD17AA"/>
    <w:rsid w:val="00BD1C77"/>
    <w:rsid w:val="00BD251C"/>
    <w:rsid w:val="00BD2F78"/>
    <w:rsid w:val="00BD356B"/>
    <w:rsid w:val="00BD35DC"/>
    <w:rsid w:val="00BD41B9"/>
    <w:rsid w:val="00BD445C"/>
    <w:rsid w:val="00BD4731"/>
    <w:rsid w:val="00BD4CBA"/>
    <w:rsid w:val="00BD4D69"/>
    <w:rsid w:val="00BD5A15"/>
    <w:rsid w:val="00BD5C81"/>
    <w:rsid w:val="00BD5FFB"/>
    <w:rsid w:val="00BD6E1B"/>
    <w:rsid w:val="00BD7155"/>
    <w:rsid w:val="00BD7224"/>
    <w:rsid w:val="00BD7D2A"/>
    <w:rsid w:val="00BE00EB"/>
    <w:rsid w:val="00BE0467"/>
    <w:rsid w:val="00BE05C8"/>
    <w:rsid w:val="00BE0789"/>
    <w:rsid w:val="00BE0825"/>
    <w:rsid w:val="00BE0C53"/>
    <w:rsid w:val="00BE1A28"/>
    <w:rsid w:val="00BE2477"/>
    <w:rsid w:val="00BE52F0"/>
    <w:rsid w:val="00BE5F83"/>
    <w:rsid w:val="00BE69BC"/>
    <w:rsid w:val="00BE782A"/>
    <w:rsid w:val="00BE791B"/>
    <w:rsid w:val="00BF0934"/>
    <w:rsid w:val="00BF15E5"/>
    <w:rsid w:val="00BF1896"/>
    <w:rsid w:val="00BF204F"/>
    <w:rsid w:val="00BF20E6"/>
    <w:rsid w:val="00BF2291"/>
    <w:rsid w:val="00BF2B7B"/>
    <w:rsid w:val="00BF37D6"/>
    <w:rsid w:val="00BF384D"/>
    <w:rsid w:val="00BF3B65"/>
    <w:rsid w:val="00BF4855"/>
    <w:rsid w:val="00BF4D73"/>
    <w:rsid w:val="00BF4DF3"/>
    <w:rsid w:val="00BF4F25"/>
    <w:rsid w:val="00BF503D"/>
    <w:rsid w:val="00BF525D"/>
    <w:rsid w:val="00BF6243"/>
    <w:rsid w:val="00BF6932"/>
    <w:rsid w:val="00BF7C7F"/>
    <w:rsid w:val="00C005F1"/>
    <w:rsid w:val="00C00E18"/>
    <w:rsid w:val="00C00F51"/>
    <w:rsid w:val="00C01BEA"/>
    <w:rsid w:val="00C026D7"/>
    <w:rsid w:val="00C0274C"/>
    <w:rsid w:val="00C03395"/>
    <w:rsid w:val="00C034BE"/>
    <w:rsid w:val="00C0362F"/>
    <w:rsid w:val="00C039DB"/>
    <w:rsid w:val="00C03AD1"/>
    <w:rsid w:val="00C03AD9"/>
    <w:rsid w:val="00C043FE"/>
    <w:rsid w:val="00C04601"/>
    <w:rsid w:val="00C050F4"/>
    <w:rsid w:val="00C053B8"/>
    <w:rsid w:val="00C06D55"/>
    <w:rsid w:val="00C06F12"/>
    <w:rsid w:val="00C0725A"/>
    <w:rsid w:val="00C1071B"/>
    <w:rsid w:val="00C118D1"/>
    <w:rsid w:val="00C12284"/>
    <w:rsid w:val="00C122DC"/>
    <w:rsid w:val="00C1296A"/>
    <w:rsid w:val="00C13BC6"/>
    <w:rsid w:val="00C15196"/>
    <w:rsid w:val="00C15389"/>
    <w:rsid w:val="00C15816"/>
    <w:rsid w:val="00C15B77"/>
    <w:rsid w:val="00C15D0D"/>
    <w:rsid w:val="00C16190"/>
    <w:rsid w:val="00C17D2A"/>
    <w:rsid w:val="00C20187"/>
    <w:rsid w:val="00C206FC"/>
    <w:rsid w:val="00C215E3"/>
    <w:rsid w:val="00C220DA"/>
    <w:rsid w:val="00C2404E"/>
    <w:rsid w:val="00C2486C"/>
    <w:rsid w:val="00C25065"/>
    <w:rsid w:val="00C26350"/>
    <w:rsid w:val="00C26C61"/>
    <w:rsid w:val="00C276F9"/>
    <w:rsid w:val="00C30618"/>
    <w:rsid w:val="00C309A6"/>
    <w:rsid w:val="00C30A01"/>
    <w:rsid w:val="00C30B35"/>
    <w:rsid w:val="00C31EEA"/>
    <w:rsid w:val="00C321CB"/>
    <w:rsid w:val="00C34504"/>
    <w:rsid w:val="00C3450F"/>
    <w:rsid w:val="00C34C5C"/>
    <w:rsid w:val="00C34E72"/>
    <w:rsid w:val="00C36509"/>
    <w:rsid w:val="00C366DB"/>
    <w:rsid w:val="00C36FB3"/>
    <w:rsid w:val="00C370EB"/>
    <w:rsid w:val="00C40614"/>
    <w:rsid w:val="00C4168C"/>
    <w:rsid w:val="00C41C84"/>
    <w:rsid w:val="00C42A9F"/>
    <w:rsid w:val="00C43716"/>
    <w:rsid w:val="00C4395E"/>
    <w:rsid w:val="00C43CC7"/>
    <w:rsid w:val="00C43D4D"/>
    <w:rsid w:val="00C4463B"/>
    <w:rsid w:val="00C44BAC"/>
    <w:rsid w:val="00C454D8"/>
    <w:rsid w:val="00C45D32"/>
    <w:rsid w:val="00C4611D"/>
    <w:rsid w:val="00C4671D"/>
    <w:rsid w:val="00C46CCA"/>
    <w:rsid w:val="00C4701D"/>
    <w:rsid w:val="00C47D47"/>
    <w:rsid w:val="00C5039D"/>
    <w:rsid w:val="00C50C1F"/>
    <w:rsid w:val="00C5106C"/>
    <w:rsid w:val="00C512F8"/>
    <w:rsid w:val="00C51E3A"/>
    <w:rsid w:val="00C5227A"/>
    <w:rsid w:val="00C52CD4"/>
    <w:rsid w:val="00C53351"/>
    <w:rsid w:val="00C53E0C"/>
    <w:rsid w:val="00C53E69"/>
    <w:rsid w:val="00C53FE6"/>
    <w:rsid w:val="00C55C97"/>
    <w:rsid w:val="00C56142"/>
    <w:rsid w:val="00C564DC"/>
    <w:rsid w:val="00C569BA"/>
    <w:rsid w:val="00C57149"/>
    <w:rsid w:val="00C57173"/>
    <w:rsid w:val="00C575E4"/>
    <w:rsid w:val="00C6035D"/>
    <w:rsid w:val="00C60B74"/>
    <w:rsid w:val="00C6164C"/>
    <w:rsid w:val="00C61B1C"/>
    <w:rsid w:val="00C61CA6"/>
    <w:rsid w:val="00C61E18"/>
    <w:rsid w:val="00C62365"/>
    <w:rsid w:val="00C62E4C"/>
    <w:rsid w:val="00C637BB"/>
    <w:rsid w:val="00C647F4"/>
    <w:rsid w:val="00C649C8"/>
    <w:rsid w:val="00C649F5"/>
    <w:rsid w:val="00C659B5"/>
    <w:rsid w:val="00C65EFB"/>
    <w:rsid w:val="00C6607C"/>
    <w:rsid w:val="00C66BF6"/>
    <w:rsid w:val="00C70F32"/>
    <w:rsid w:val="00C71138"/>
    <w:rsid w:val="00C71BA7"/>
    <w:rsid w:val="00C72B0E"/>
    <w:rsid w:val="00C72CA2"/>
    <w:rsid w:val="00C73A54"/>
    <w:rsid w:val="00C7494D"/>
    <w:rsid w:val="00C75141"/>
    <w:rsid w:val="00C76B81"/>
    <w:rsid w:val="00C76E29"/>
    <w:rsid w:val="00C77453"/>
    <w:rsid w:val="00C77635"/>
    <w:rsid w:val="00C80DA2"/>
    <w:rsid w:val="00C81087"/>
    <w:rsid w:val="00C811A0"/>
    <w:rsid w:val="00C8222B"/>
    <w:rsid w:val="00C824D8"/>
    <w:rsid w:val="00C82B23"/>
    <w:rsid w:val="00C82E7A"/>
    <w:rsid w:val="00C82EA1"/>
    <w:rsid w:val="00C83DF5"/>
    <w:rsid w:val="00C8527F"/>
    <w:rsid w:val="00C85ADD"/>
    <w:rsid w:val="00C85C08"/>
    <w:rsid w:val="00C86C15"/>
    <w:rsid w:val="00C902EC"/>
    <w:rsid w:val="00C90397"/>
    <w:rsid w:val="00C906C7"/>
    <w:rsid w:val="00C912AD"/>
    <w:rsid w:val="00C91647"/>
    <w:rsid w:val="00C91BF5"/>
    <w:rsid w:val="00C91E0A"/>
    <w:rsid w:val="00C94202"/>
    <w:rsid w:val="00C94881"/>
    <w:rsid w:val="00C9609E"/>
    <w:rsid w:val="00C9731C"/>
    <w:rsid w:val="00CA016E"/>
    <w:rsid w:val="00CA1026"/>
    <w:rsid w:val="00CA183A"/>
    <w:rsid w:val="00CA19C3"/>
    <w:rsid w:val="00CA24C7"/>
    <w:rsid w:val="00CA24F8"/>
    <w:rsid w:val="00CA2995"/>
    <w:rsid w:val="00CA34DF"/>
    <w:rsid w:val="00CA381D"/>
    <w:rsid w:val="00CA3AE1"/>
    <w:rsid w:val="00CA3EF3"/>
    <w:rsid w:val="00CA4ACF"/>
    <w:rsid w:val="00CA50AB"/>
    <w:rsid w:val="00CA5228"/>
    <w:rsid w:val="00CA6794"/>
    <w:rsid w:val="00CA7D0D"/>
    <w:rsid w:val="00CB0A24"/>
    <w:rsid w:val="00CB0C0F"/>
    <w:rsid w:val="00CB1E35"/>
    <w:rsid w:val="00CB1F23"/>
    <w:rsid w:val="00CB2C1F"/>
    <w:rsid w:val="00CB3603"/>
    <w:rsid w:val="00CB3859"/>
    <w:rsid w:val="00CB3BE5"/>
    <w:rsid w:val="00CB3D5C"/>
    <w:rsid w:val="00CB41C2"/>
    <w:rsid w:val="00CB608B"/>
    <w:rsid w:val="00CB6421"/>
    <w:rsid w:val="00CB6C92"/>
    <w:rsid w:val="00CB75D5"/>
    <w:rsid w:val="00CB7989"/>
    <w:rsid w:val="00CB7C97"/>
    <w:rsid w:val="00CC07F6"/>
    <w:rsid w:val="00CC08CF"/>
    <w:rsid w:val="00CC166B"/>
    <w:rsid w:val="00CC1A49"/>
    <w:rsid w:val="00CC218A"/>
    <w:rsid w:val="00CC2334"/>
    <w:rsid w:val="00CC2C99"/>
    <w:rsid w:val="00CC2D80"/>
    <w:rsid w:val="00CC3004"/>
    <w:rsid w:val="00CC390E"/>
    <w:rsid w:val="00CC39DF"/>
    <w:rsid w:val="00CC40A7"/>
    <w:rsid w:val="00CC411F"/>
    <w:rsid w:val="00CC4B66"/>
    <w:rsid w:val="00CC59B1"/>
    <w:rsid w:val="00CC5F62"/>
    <w:rsid w:val="00CC61C2"/>
    <w:rsid w:val="00CC6412"/>
    <w:rsid w:val="00CC75AA"/>
    <w:rsid w:val="00CC78E2"/>
    <w:rsid w:val="00CC7BC7"/>
    <w:rsid w:val="00CC7D1F"/>
    <w:rsid w:val="00CD0416"/>
    <w:rsid w:val="00CD1EAB"/>
    <w:rsid w:val="00CD24D2"/>
    <w:rsid w:val="00CD25CE"/>
    <w:rsid w:val="00CD2946"/>
    <w:rsid w:val="00CD399D"/>
    <w:rsid w:val="00CD44D1"/>
    <w:rsid w:val="00CD4670"/>
    <w:rsid w:val="00CD46E3"/>
    <w:rsid w:val="00CD61CC"/>
    <w:rsid w:val="00CD6549"/>
    <w:rsid w:val="00CD6A8B"/>
    <w:rsid w:val="00CD6CA8"/>
    <w:rsid w:val="00CD705C"/>
    <w:rsid w:val="00CD7AED"/>
    <w:rsid w:val="00CD7BDF"/>
    <w:rsid w:val="00CE0587"/>
    <w:rsid w:val="00CE0A33"/>
    <w:rsid w:val="00CE14D3"/>
    <w:rsid w:val="00CE1BA0"/>
    <w:rsid w:val="00CE313C"/>
    <w:rsid w:val="00CE36E8"/>
    <w:rsid w:val="00CE3793"/>
    <w:rsid w:val="00CE4593"/>
    <w:rsid w:val="00CE4EFC"/>
    <w:rsid w:val="00CE52CF"/>
    <w:rsid w:val="00CE558D"/>
    <w:rsid w:val="00CE700A"/>
    <w:rsid w:val="00CE70A5"/>
    <w:rsid w:val="00CE7770"/>
    <w:rsid w:val="00CE7E20"/>
    <w:rsid w:val="00CF0524"/>
    <w:rsid w:val="00CF188B"/>
    <w:rsid w:val="00CF19F4"/>
    <w:rsid w:val="00CF20BB"/>
    <w:rsid w:val="00CF27AD"/>
    <w:rsid w:val="00CF3118"/>
    <w:rsid w:val="00CF4502"/>
    <w:rsid w:val="00CF4E16"/>
    <w:rsid w:val="00CF6746"/>
    <w:rsid w:val="00CF6839"/>
    <w:rsid w:val="00CF7004"/>
    <w:rsid w:val="00D00F72"/>
    <w:rsid w:val="00D01BC4"/>
    <w:rsid w:val="00D0250A"/>
    <w:rsid w:val="00D02A68"/>
    <w:rsid w:val="00D03860"/>
    <w:rsid w:val="00D03B6C"/>
    <w:rsid w:val="00D04CC3"/>
    <w:rsid w:val="00D05696"/>
    <w:rsid w:val="00D05860"/>
    <w:rsid w:val="00D05E76"/>
    <w:rsid w:val="00D06199"/>
    <w:rsid w:val="00D066B2"/>
    <w:rsid w:val="00D0752F"/>
    <w:rsid w:val="00D07C9F"/>
    <w:rsid w:val="00D10602"/>
    <w:rsid w:val="00D109FD"/>
    <w:rsid w:val="00D11299"/>
    <w:rsid w:val="00D117CC"/>
    <w:rsid w:val="00D11B4B"/>
    <w:rsid w:val="00D1404D"/>
    <w:rsid w:val="00D140B5"/>
    <w:rsid w:val="00D141AC"/>
    <w:rsid w:val="00D143E4"/>
    <w:rsid w:val="00D147B9"/>
    <w:rsid w:val="00D14900"/>
    <w:rsid w:val="00D14F56"/>
    <w:rsid w:val="00D1536B"/>
    <w:rsid w:val="00D1553B"/>
    <w:rsid w:val="00D158A2"/>
    <w:rsid w:val="00D15A42"/>
    <w:rsid w:val="00D15E43"/>
    <w:rsid w:val="00D15EB4"/>
    <w:rsid w:val="00D162E8"/>
    <w:rsid w:val="00D163EF"/>
    <w:rsid w:val="00D164E2"/>
    <w:rsid w:val="00D16DD9"/>
    <w:rsid w:val="00D20312"/>
    <w:rsid w:val="00D2038F"/>
    <w:rsid w:val="00D2091B"/>
    <w:rsid w:val="00D20BF2"/>
    <w:rsid w:val="00D21126"/>
    <w:rsid w:val="00D21365"/>
    <w:rsid w:val="00D21744"/>
    <w:rsid w:val="00D228BB"/>
    <w:rsid w:val="00D23382"/>
    <w:rsid w:val="00D2427D"/>
    <w:rsid w:val="00D24DFF"/>
    <w:rsid w:val="00D26DB0"/>
    <w:rsid w:val="00D27592"/>
    <w:rsid w:val="00D275DD"/>
    <w:rsid w:val="00D30194"/>
    <w:rsid w:val="00D3072D"/>
    <w:rsid w:val="00D318CC"/>
    <w:rsid w:val="00D319F5"/>
    <w:rsid w:val="00D32A76"/>
    <w:rsid w:val="00D32C0E"/>
    <w:rsid w:val="00D32E96"/>
    <w:rsid w:val="00D332F0"/>
    <w:rsid w:val="00D34526"/>
    <w:rsid w:val="00D35437"/>
    <w:rsid w:val="00D35BF5"/>
    <w:rsid w:val="00D36945"/>
    <w:rsid w:val="00D36F7C"/>
    <w:rsid w:val="00D37225"/>
    <w:rsid w:val="00D40465"/>
    <w:rsid w:val="00D40EBE"/>
    <w:rsid w:val="00D41910"/>
    <w:rsid w:val="00D4195D"/>
    <w:rsid w:val="00D419C1"/>
    <w:rsid w:val="00D41E35"/>
    <w:rsid w:val="00D4222F"/>
    <w:rsid w:val="00D434BE"/>
    <w:rsid w:val="00D43CF4"/>
    <w:rsid w:val="00D45944"/>
    <w:rsid w:val="00D45989"/>
    <w:rsid w:val="00D46DED"/>
    <w:rsid w:val="00D50B66"/>
    <w:rsid w:val="00D51718"/>
    <w:rsid w:val="00D535AF"/>
    <w:rsid w:val="00D537B3"/>
    <w:rsid w:val="00D53E47"/>
    <w:rsid w:val="00D53E49"/>
    <w:rsid w:val="00D5461D"/>
    <w:rsid w:val="00D54AF8"/>
    <w:rsid w:val="00D54D16"/>
    <w:rsid w:val="00D54D87"/>
    <w:rsid w:val="00D554DE"/>
    <w:rsid w:val="00D557CA"/>
    <w:rsid w:val="00D561A2"/>
    <w:rsid w:val="00D568E2"/>
    <w:rsid w:val="00D57274"/>
    <w:rsid w:val="00D607AE"/>
    <w:rsid w:val="00D61889"/>
    <w:rsid w:val="00D61DA6"/>
    <w:rsid w:val="00D623E3"/>
    <w:rsid w:val="00D627F1"/>
    <w:rsid w:val="00D6358F"/>
    <w:rsid w:val="00D63C45"/>
    <w:rsid w:val="00D66D77"/>
    <w:rsid w:val="00D679C5"/>
    <w:rsid w:val="00D706B9"/>
    <w:rsid w:val="00D70FB3"/>
    <w:rsid w:val="00D71699"/>
    <w:rsid w:val="00D71C3E"/>
    <w:rsid w:val="00D72F6A"/>
    <w:rsid w:val="00D73097"/>
    <w:rsid w:val="00D73966"/>
    <w:rsid w:val="00D73E99"/>
    <w:rsid w:val="00D74133"/>
    <w:rsid w:val="00D751FB"/>
    <w:rsid w:val="00D75578"/>
    <w:rsid w:val="00D75811"/>
    <w:rsid w:val="00D7587A"/>
    <w:rsid w:val="00D75ED5"/>
    <w:rsid w:val="00D773DD"/>
    <w:rsid w:val="00D80E10"/>
    <w:rsid w:val="00D812AE"/>
    <w:rsid w:val="00D82C82"/>
    <w:rsid w:val="00D82C9E"/>
    <w:rsid w:val="00D82D34"/>
    <w:rsid w:val="00D830C2"/>
    <w:rsid w:val="00D84073"/>
    <w:rsid w:val="00D85E41"/>
    <w:rsid w:val="00D86282"/>
    <w:rsid w:val="00D86380"/>
    <w:rsid w:val="00D86FFF"/>
    <w:rsid w:val="00D8721C"/>
    <w:rsid w:val="00D875E1"/>
    <w:rsid w:val="00D87EDD"/>
    <w:rsid w:val="00D9085F"/>
    <w:rsid w:val="00D90C20"/>
    <w:rsid w:val="00D91793"/>
    <w:rsid w:val="00D9460D"/>
    <w:rsid w:val="00D9470C"/>
    <w:rsid w:val="00D9604F"/>
    <w:rsid w:val="00D96D68"/>
    <w:rsid w:val="00D9728A"/>
    <w:rsid w:val="00D97678"/>
    <w:rsid w:val="00DA038D"/>
    <w:rsid w:val="00DA04B6"/>
    <w:rsid w:val="00DA1014"/>
    <w:rsid w:val="00DA1169"/>
    <w:rsid w:val="00DA143A"/>
    <w:rsid w:val="00DA1633"/>
    <w:rsid w:val="00DA1A02"/>
    <w:rsid w:val="00DA1A1E"/>
    <w:rsid w:val="00DA289B"/>
    <w:rsid w:val="00DA29C8"/>
    <w:rsid w:val="00DA32C4"/>
    <w:rsid w:val="00DA39CA"/>
    <w:rsid w:val="00DA3A5A"/>
    <w:rsid w:val="00DA57CA"/>
    <w:rsid w:val="00DA5A86"/>
    <w:rsid w:val="00DA5ED6"/>
    <w:rsid w:val="00DA607E"/>
    <w:rsid w:val="00DA62DD"/>
    <w:rsid w:val="00DA631C"/>
    <w:rsid w:val="00DA6B6F"/>
    <w:rsid w:val="00DA7F76"/>
    <w:rsid w:val="00DB1879"/>
    <w:rsid w:val="00DB25BD"/>
    <w:rsid w:val="00DB2DDA"/>
    <w:rsid w:val="00DB34C5"/>
    <w:rsid w:val="00DB4330"/>
    <w:rsid w:val="00DB46D4"/>
    <w:rsid w:val="00DB5468"/>
    <w:rsid w:val="00DB5835"/>
    <w:rsid w:val="00DB6662"/>
    <w:rsid w:val="00DB6AD0"/>
    <w:rsid w:val="00DB7594"/>
    <w:rsid w:val="00DB7E43"/>
    <w:rsid w:val="00DC00D8"/>
    <w:rsid w:val="00DC0FA1"/>
    <w:rsid w:val="00DC100E"/>
    <w:rsid w:val="00DC1568"/>
    <w:rsid w:val="00DC1E3D"/>
    <w:rsid w:val="00DC1F2D"/>
    <w:rsid w:val="00DC2FB7"/>
    <w:rsid w:val="00DC4AC5"/>
    <w:rsid w:val="00DC521C"/>
    <w:rsid w:val="00DC5B14"/>
    <w:rsid w:val="00DC5F61"/>
    <w:rsid w:val="00DC66B6"/>
    <w:rsid w:val="00DC6D24"/>
    <w:rsid w:val="00DD00B4"/>
    <w:rsid w:val="00DD0AAB"/>
    <w:rsid w:val="00DD0E48"/>
    <w:rsid w:val="00DD22B3"/>
    <w:rsid w:val="00DD2BFA"/>
    <w:rsid w:val="00DD2F2F"/>
    <w:rsid w:val="00DD3C09"/>
    <w:rsid w:val="00DD3EBA"/>
    <w:rsid w:val="00DD41BB"/>
    <w:rsid w:val="00DD4E9C"/>
    <w:rsid w:val="00DD50D0"/>
    <w:rsid w:val="00DD6F49"/>
    <w:rsid w:val="00DD7C4F"/>
    <w:rsid w:val="00DE1661"/>
    <w:rsid w:val="00DE2258"/>
    <w:rsid w:val="00DE2720"/>
    <w:rsid w:val="00DE284C"/>
    <w:rsid w:val="00DE38E0"/>
    <w:rsid w:val="00DE41E4"/>
    <w:rsid w:val="00DE4287"/>
    <w:rsid w:val="00DE44E2"/>
    <w:rsid w:val="00DE4A32"/>
    <w:rsid w:val="00DE58EA"/>
    <w:rsid w:val="00DE66A3"/>
    <w:rsid w:val="00DE6EA4"/>
    <w:rsid w:val="00DE79F4"/>
    <w:rsid w:val="00DE7A8D"/>
    <w:rsid w:val="00DE7FD9"/>
    <w:rsid w:val="00DF024C"/>
    <w:rsid w:val="00DF10DE"/>
    <w:rsid w:val="00DF2609"/>
    <w:rsid w:val="00DF2C51"/>
    <w:rsid w:val="00DF2E91"/>
    <w:rsid w:val="00DF31DE"/>
    <w:rsid w:val="00DF3839"/>
    <w:rsid w:val="00DF387B"/>
    <w:rsid w:val="00DF3B55"/>
    <w:rsid w:val="00DF3B88"/>
    <w:rsid w:val="00DF4666"/>
    <w:rsid w:val="00DF4F02"/>
    <w:rsid w:val="00DF555E"/>
    <w:rsid w:val="00DF59CF"/>
    <w:rsid w:val="00DF5AB4"/>
    <w:rsid w:val="00DF5CD0"/>
    <w:rsid w:val="00DF61BF"/>
    <w:rsid w:val="00DF62C6"/>
    <w:rsid w:val="00DF6A59"/>
    <w:rsid w:val="00DF6C0D"/>
    <w:rsid w:val="00DF6D4A"/>
    <w:rsid w:val="00DF6EE0"/>
    <w:rsid w:val="00DF7127"/>
    <w:rsid w:val="00DF7B57"/>
    <w:rsid w:val="00E01744"/>
    <w:rsid w:val="00E018CC"/>
    <w:rsid w:val="00E01A55"/>
    <w:rsid w:val="00E01DC5"/>
    <w:rsid w:val="00E03113"/>
    <w:rsid w:val="00E03CE8"/>
    <w:rsid w:val="00E04174"/>
    <w:rsid w:val="00E05296"/>
    <w:rsid w:val="00E05386"/>
    <w:rsid w:val="00E05AC4"/>
    <w:rsid w:val="00E05DAF"/>
    <w:rsid w:val="00E06B2D"/>
    <w:rsid w:val="00E06FF9"/>
    <w:rsid w:val="00E07096"/>
    <w:rsid w:val="00E077B5"/>
    <w:rsid w:val="00E10B33"/>
    <w:rsid w:val="00E11D49"/>
    <w:rsid w:val="00E125B7"/>
    <w:rsid w:val="00E12C56"/>
    <w:rsid w:val="00E13203"/>
    <w:rsid w:val="00E13B2E"/>
    <w:rsid w:val="00E14074"/>
    <w:rsid w:val="00E148BA"/>
    <w:rsid w:val="00E158C4"/>
    <w:rsid w:val="00E166B3"/>
    <w:rsid w:val="00E17142"/>
    <w:rsid w:val="00E20C0E"/>
    <w:rsid w:val="00E20CE8"/>
    <w:rsid w:val="00E217AC"/>
    <w:rsid w:val="00E2184A"/>
    <w:rsid w:val="00E21B4D"/>
    <w:rsid w:val="00E22027"/>
    <w:rsid w:val="00E22333"/>
    <w:rsid w:val="00E23A9F"/>
    <w:rsid w:val="00E23AF9"/>
    <w:rsid w:val="00E243B9"/>
    <w:rsid w:val="00E259EC"/>
    <w:rsid w:val="00E26079"/>
    <w:rsid w:val="00E26303"/>
    <w:rsid w:val="00E264EA"/>
    <w:rsid w:val="00E270E9"/>
    <w:rsid w:val="00E27740"/>
    <w:rsid w:val="00E27B76"/>
    <w:rsid w:val="00E27F00"/>
    <w:rsid w:val="00E306CF"/>
    <w:rsid w:val="00E30957"/>
    <w:rsid w:val="00E3106C"/>
    <w:rsid w:val="00E31255"/>
    <w:rsid w:val="00E313FF"/>
    <w:rsid w:val="00E32E2C"/>
    <w:rsid w:val="00E34CB9"/>
    <w:rsid w:val="00E3552D"/>
    <w:rsid w:val="00E35596"/>
    <w:rsid w:val="00E35D61"/>
    <w:rsid w:val="00E35EF8"/>
    <w:rsid w:val="00E376E8"/>
    <w:rsid w:val="00E37D60"/>
    <w:rsid w:val="00E37DC1"/>
    <w:rsid w:val="00E37E7E"/>
    <w:rsid w:val="00E37F86"/>
    <w:rsid w:val="00E40560"/>
    <w:rsid w:val="00E412CE"/>
    <w:rsid w:val="00E41D9A"/>
    <w:rsid w:val="00E4208E"/>
    <w:rsid w:val="00E425DA"/>
    <w:rsid w:val="00E42DA6"/>
    <w:rsid w:val="00E43246"/>
    <w:rsid w:val="00E437CF"/>
    <w:rsid w:val="00E43896"/>
    <w:rsid w:val="00E44095"/>
    <w:rsid w:val="00E441E6"/>
    <w:rsid w:val="00E4500C"/>
    <w:rsid w:val="00E45223"/>
    <w:rsid w:val="00E458AE"/>
    <w:rsid w:val="00E45962"/>
    <w:rsid w:val="00E45FCB"/>
    <w:rsid w:val="00E46361"/>
    <w:rsid w:val="00E46FFA"/>
    <w:rsid w:val="00E476D5"/>
    <w:rsid w:val="00E50D0C"/>
    <w:rsid w:val="00E50DE8"/>
    <w:rsid w:val="00E51594"/>
    <w:rsid w:val="00E516B7"/>
    <w:rsid w:val="00E5271A"/>
    <w:rsid w:val="00E533E4"/>
    <w:rsid w:val="00E540DF"/>
    <w:rsid w:val="00E546FA"/>
    <w:rsid w:val="00E5497F"/>
    <w:rsid w:val="00E54A37"/>
    <w:rsid w:val="00E54C12"/>
    <w:rsid w:val="00E56338"/>
    <w:rsid w:val="00E56686"/>
    <w:rsid w:val="00E5668B"/>
    <w:rsid w:val="00E56D43"/>
    <w:rsid w:val="00E56EB0"/>
    <w:rsid w:val="00E5786A"/>
    <w:rsid w:val="00E603BA"/>
    <w:rsid w:val="00E609BB"/>
    <w:rsid w:val="00E62051"/>
    <w:rsid w:val="00E623FE"/>
    <w:rsid w:val="00E62AB9"/>
    <w:rsid w:val="00E63A83"/>
    <w:rsid w:val="00E63C36"/>
    <w:rsid w:val="00E63E73"/>
    <w:rsid w:val="00E661AC"/>
    <w:rsid w:val="00E672AE"/>
    <w:rsid w:val="00E6740D"/>
    <w:rsid w:val="00E67935"/>
    <w:rsid w:val="00E70022"/>
    <w:rsid w:val="00E701F5"/>
    <w:rsid w:val="00E714D0"/>
    <w:rsid w:val="00E72E48"/>
    <w:rsid w:val="00E73927"/>
    <w:rsid w:val="00E73A6C"/>
    <w:rsid w:val="00E73E81"/>
    <w:rsid w:val="00E73F84"/>
    <w:rsid w:val="00E74192"/>
    <w:rsid w:val="00E74200"/>
    <w:rsid w:val="00E74446"/>
    <w:rsid w:val="00E748D2"/>
    <w:rsid w:val="00E74C41"/>
    <w:rsid w:val="00E75386"/>
    <w:rsid w:val="00E75E92"/>
    <w:rsid w:val="00E75EAB"/>
    <w:rsid w:val="00E75F68"/>
    <w:rsid w:val="00E778B9"/>
    <w:rsid w:val="00E77EAB"/>
    <w:rsid w:val="00E80863"/>
    <w:rsid w:val="00E81161"/>
    <w:rsid w:val="00E817AE"/>
    <w:rsid w:val="00E81A88"/>
    <w:rsid w:val="00E836A0"/>
    <w:rsid w:val="00E8397C"/>
    <w:rsid w:val="00E84730"/>
    <w:rsid w:val="00E85286"/>
    <w:rsid w:val="00E85805"/>
    <w:rsid w:val="00E86481"/>
    <w:rsid w:val="00E8664D"/>
    <w:rsid w:val="00E866FF"/>
    <w:rsid w:val="00E9057F"/>
    <w:rsid w:val="00E90652"/>
    <w:rsid w:val="00E911F4"/>
    <w:rsid w:val="00E91245"/>
    <w:rsid w:val="00E91541"/>
    <w:rsid w:val="00E91C29"/>
    <w:rsid w:val="00E91E59"/>
    <w:rsid w:val="00E91F4F"/>
    <w:rsid w:val="00E91FA2"/>
    <w:rsid w:val="00E950D3"/>
    <w:rsid w:val="00E9556D"/>
    <w:rsid w:val="00E9614A"/>
    <w:rsid w:val="00E96227"/>
    <w:rsid w:val="00E963C5"/>
    <w:rsid w:val="00E97A1B"/>
    <w:rsid w:val="00EA1093"/>
    <w:rsid w:val="00EA1B13"/>
    <w:rsid w:val="00EA1B29"/>
    <w:rsid w:val="00EA2CED"/>
    <w:rsid w:val="00EA52AA"/>
    <w:rsid w:val="00EA5AE6"/>
    <w:rsid w:val="00EA5EC0"/>
    <w:rsid w:val="00EA63E4"/>
    <w:rsid w:val="00EA655B"/>
    <w:rsid w:val="00EA673C"/>
    <w:rsid w:val="00EA7390"/>
    <w:rsid w:val="00EA7960"/>
    <w:rsid w:val="00EB15F0"/>
    <w:rsid w:val="00EB1643"/>
    <w:rsid w:val="00EB2940"/>
    <w:rsid w:val="00EB2A15"/>
    <w:rsid w:val="00EB2F5C"/>
    <w:rsid w:val="00EB3763"/>
    <w:rsid w:val="00EB4253"/>
    <w:rsid w:val="00EB48FA"/>
    <w:rsid w:val="00EB51AA"/>
    <w:rsid w:val="00EB548A"/>
    <w:rsid w:val="00EB55B1"/>
    <w:rsid w:val="00EB58CA"/>
    <w:rsid w:val="00EC0782"/>
    <w:rsid w:val="00EC0A1A"/>
    <w:rsid w:val="00EC0F1D"/>
    <w:rsid w:val="00EC1007"/>
    <w:rsid w:val="00EC17CE"/>
    <w:rsid w:val="00EC1DD1"/>
    <w:rsid w:val="00EC21B7"/>
    <w:rsid w:val="00EC33B2"/>
    <w:rsid w:val="00EC4A3E"/>
    <w:rsid w:val="00EC50DD"/>
    <w:rsid w:val="00EC5686"/>
    <w:rsid w:val="00EC58F0"/>
    <w:rsid w:val="00EC64C3"/>
    <w:rsid w:val="00EC6710"/>
    <w:rsid w:val="00EC7018"/>
    <w:rsid w:val="00EC733D"/>
    <w:rsid w:val="00EC7BDD"/>
    <w:rsid w:val="00ED01E3"/>
    <w:rsid w:val="00ED04A1"/>
    <w:rsid w:val="00ED0501"/>
    <w:rsid w:val="00ED0FB7"/>
    <w:rsid w:val="00ED1DB8"/>
    <w:rsid w:val="00ED2B7C"/>
    <w:rsid w:val="00ED3874"/>
    <w:rsid w:val="00ED3A30"/>
    <w:rsid w:val="00ED4454"/>
    <w:rsid w:val="00ED4DD8"/>
    <w:rsid w:val="00ED51E3"/>
    <w:rsid w:val="00ED6AC5"/>
    <w:rsid w:val="00ED6B0C"/>
    <w:rsid w:val="00ED6B8F"/>
    <w:rsid w:val="00ED6FE7"/>
    <w:rsid w:val="00ED70FE"/>
    <w:rsid w:val="00ED7102"/>
    <w:rsid w:val="00ED7268"/>
    <w:rsid w:val="00ED739B"/>
    <w:rsid w:val="00ED7DD8"/>
    <w:rsid w:val="00EE0DE9"/>
    <w:rsid w:val="00EE1B0D"/>
    <w:rsid w:val="00EE1BF8"/>
    <w:rsid w:val="00EE1DB9"/>
    <w:rsid w:val="00EE27E7"/>
    <w:rsid w:val="00EE2899"/>
    <w:rsid w:val="00EE3187"/>
    <w:rsid w:val="00EE3306"/>
    <w:rsid w:val="00EE3C8D"/>
    <w:rsid w:val="00EE55FB"/>
    <w:rsid w:val="00EE5C94"/>
    <w:rsid w:val="00EE5DF9"/>
    <w:rsid w:val="00EE68E6"/>
    <w:rsid w:val="00EE6E4E"/>
    <w:rsid w:val="00EE7BC9"/>
    <w:rsid w:val="00EF19AC"/>
    <w:rsid w:val="00EF3291"/>
    <w:rsid w:val="00EF3EA6"/>
    <w:rsid w:val="00EF4372"/>
    <w:rsid w:val="00EF4A8F"/>
    <w:rsid w:val="00EF4F9B"/>
    <w:rsid w:val="00EF5F47"/>
    <w:rsid w:val="00EF71CE"/>
    <w:rsid w:val="00EF79CB"/>
    <w:rsid w:val="00EF7F17"/>
    <w:rsid w:val="00F0044F"/>
    <w:rsid w:val="00F00AFC"/>
    <w:rsid w:val="00F015A8"/>
    <w:rsid w:val="00F01A8A"/>
    <w:rsid w:val="00F01BA2"/>
    <w:rsid w:val="00F01D18"/>
    <w:rsid w:val="00F01E64"/>
    <w:rsid w:val="00F0210B"/>
    <w:rsid w:val="00F02526"/>
    <w:rsid w:val="00F02C61"/>
    <w:rsid w:val="00F030FF"/>
    <w:rsid w:val="00F039E6"/>
    <w:rsid w:val="00F04044"/>
    <w:rsid w:val="00F0451C"/>
    <w:rsid w:val="00F04622"/>
    <w:rsid w:val="00F047C2"/>
    <w:rsid w:val="00F051A4"/>
    <w:rsid w:val="00F05800"/>
    <w:rsid w:val="00F065C2"/>
    <w:rsid w:val="00F06B1A"/>
    <w:rsid w:val="00F06DC5"/>
    <w:rsid w:val="00F0737C"/>
    <w:rsid w:val="00F10265"/>
    <w:rsid w:val="00F10B0D"/>
    <w:rsid w:val="00F10C53"/>
    <w:rsid w:val="00F117BA"/>
    <w:rsid w:val="00F1201F"/>
    <w:rsid w:val="00F1220E"/>
    <w:rsid w:val="00F1406F"/>
    <w:rsid w:val="00F14863"/>
    <w:rsid w:val="00F1637D"/>
    <w:rsid w:val="00F20753"/>
    <w:rsid w:val="00F209D3"/>
    <w:rsid w:val="00F22EB4"/>
    <w:rsid w:val="00F23FE6"/>
    <w:rsid w:val="00F25A26"/>
    <w:rsid w:val="00F262FB"/>
    <w:rsid w:val="00F26771"/>
    <w:rsid w:val="00F27146"/>
    <w:rsid w:val="00F304CB"/>
    <w:rsid w:val="00F30B7B"/>
    <w:rsid w:val="00F314AD"/>
    <w:rsid w:val="00F31B77"/>
    <w:rsid w:val="00F32785"/>
    <w:rsid w:val="00F32F87"/>
    <w:rsid w:val="00F332C4"/>
    <w:rsid w:val="00F359D1"/>
    <w:rsid w:val="00F35F5D"/>
    <w:rsid w:val="00F36309"/>
    <w:rsid w:val="00F363A0"/>
    <w:rsid w:val="00F3659D"/>
    <w:rsid w:val="00F36829"/>
    <w:rsid w:val="00F368AA"/>
    <w:rsid w:val="00F36B24"/>
    <w:rsid w:val="00F36D83"/>
    <w:rsid w:val="00F4076B"/>
    <w:rsid w:val="00F41081"/>
    <w:rsid w:val="00F414C7"/>
    <w:rsid w:val="00F4187C"/>
    <w:rsid w:val="00F4216B"/>
    <w:rsid w:val="00F427DE"/>
    <w:rsid w:val="00F42DDB"/>
    <w:rsid w:val="00F4359C"/>
    <w:rsid w:val="00F435E9"/>
    <w:rsid w:val="00F44207"/>
    <w:rsid w:val="00F44C2E"/>
    <w:rsid w:val="00F45558"/>
    <w:rsid w:val="00F45BF5"/>
    <w:rsid w:val="00F45DF4"/>
    <w:rsid w:val="00F46390"/>
    <w:rsid w:val="00F46D77"/>
    <w:rsid w:val="00F46F3E"/>
    <w:rsid w:val="00F47739"/>
    <w:rsid w:val="00F47C7E"/>
    <w:rsid w:val="00F47D2C"/>
    <w:rsid w:val="00F50221"/>
    <w:rsid w:val="00F510E5"/>
    <w:rsid w:val="00F512CE"/>
    <w:rsid w:val="00F5153B"/>
    <w:rsid w:val="00F51BAA"/>
    <w:rsid w:val="00F51CC7"/>
    <w:rsid w:val="00F526F2"/>
    <w:rsid w:val="00F5271E"/>
    <w:rsid w:val="00F5345D"/>
    <w:rsid w:val="00F5351E"/>
    <w:rsid w:val="00F53806"/>
    <w:rsid w:val="00F5466A"/>
    <w:rsid w:val="00F546E9"/>
    <w:rsid w:val="00F5511A"/>
    <w:rsid w:val="00F5580B"/>
    <w:rsid w:val="00F55D0F"/>
    <w:rsid w:val="00F56504"/>
    <w:rsid w:val="00F57316"/>
    <w:rsid w:val="00F5752E"/>
    <w:rsid w:val="00F60C1C"/>
    <w:rsid w:val="00F61105"/>
    <w:rsid w:val="00F63A17"/>
    <w:rsid w:val="00F656B9"/>
    <w:rsid w:val="00F6597B"/>
    <w:rsid w:val="00F65DEC"/>
    <w:rsid w:val="00F66FFC"/>
    <w:rsid w:val="00F67328"/>
    <w:rsid w:val="00F67D6A"/>
    <w:rsid w:val="00F7058F"/>
    <w:rsid w:val="00F7142D"/>
    <w:rsid w:val="00F71A3C"/>
    <w:rsid w:val="00F72A75"/>
    <w:rsid w:val="00F7368F"/>
    <w:rsid w:val="00F743B8"/>
    <w:rsid w:val="00F74607"/>
    <w:rsid w:val="00F761B2"/>
    <w:rsid w:val="00F774CA"/>
    <w:rsid w:val="00F77BED"/>
    <w:rsid w:val="00F81034"/>
    <w:rsid w:val="00F82221"/>
    <w:rsid w:val="00F82C5B"/>
    <w:rsid w:val="00F8333B"/>
    <w:rsid w:val="00F83D88"/>
    <w:rsid w:val="00F85070"/>
    <w:rsid w:val="00F85EB9"/>
    <w:rsid w:val="00F86509"/>
    <w:rsid w:val="00F872CD"/>
    <w:rsid w:val="00F8763E"/>
    <w:rsid w:val="00F87784"/>
    <w:rsid w:val="00F8791E"/>
    <w:rsid w:val="00F87960"/>
    <w:rsid w:val="00F87C1F"/>
    <w:rsid w:val="00F91390"/>
    <w:rsid w:val="00F91497"/>
    <w:rsid w:val="00F920E8"/>
    <w:rsid w:val="00F9246A"/>
    <w:rsid w:val="00F924BE"/>
    <w:rsid w:val="00F93781"/>
    <w:rsid w:val="00F93B77"/>
    <w:rsid w:val="00F9409E"/>
    <w:rsid w:val="00F9416B"/>
    <w:rsid w:val="00F94DB7"/>
    <w:rsid w:val="00F95196"/>
    <w:rsid w:val="00F95DB7"/>
    <w:rsid w:val="00F96661"/>
    <w:rsid w:val="00F97374"/>
    <w:rsid w:val="00F974B4"/>
    <w:rsid w:val="00F97529"/>
    <w:rsid w:val="00FA16EA"/>
    <w:rsid w:val="00FA1997"/>
    <w:rsid w:val="00FA26F3"/>
    <w:rsid w:val="00FA3236"/>
    <w:rsid w:val="00FA3356"/>
    <w:rsid w:val="00FA3AE8"/>
    <w:rsid w:val="00FA3D5B"/>
    <w:rsid w:val="00FA58EE"/>
    <w:rsid w:val="00FA63C0"/>
    <w:rsid w:val="00FA63D6"/>
    <w:rsid w:val="00FA66BD"/>
    <w:rsid w:val="00FA7257"/>
    <w:rsid w:val="00FA77AD"/>
    <w:rsid w:val="00FB0400"/>
    <w:rsid w:val="00FB093B"/>
    <w:rsid w:val="00FB0B99"/>
    <w:rsid w:val="00FB10A9"/>
    <w:rsid w:val="00FB1202"/>
    <w:rsid w:val="00FB18BD"/>
    <w:rsid w:val="00FB25B9"/>
    <w:rsid w:val="00FB2B1E"/>
    <w:rsid w:val="00FB2B7F"/>
    <w:rsid w:val="00FB3444"/>
    <w:rsid w:val="00FB5A6B"/>
    <w:rsid w:val="00FB5B88"/>
    <w:rsid w:val="00FB5CD1"/>
    <w:rsid w:val="00FB5CF0"/>
    <w:rsid w:val="00FB65B2"/>
    <w:rsid w:val="00FB731C"/>
    <w:rsid w:val="00FB747B"/>
    <w:rsid w:val="00FC1472"/>
    <w:rsid w:val="00FC1BB5"/>
    <w:rsid w:val="00FC1ED2"/>
    <w:rsid w:val="00FC2097"/>
    <w:rsid w:val="00FC248F"/>
    <w:rsid w:val="00FC28E2"/>
    <w:rsid w:val="00FC2C4B"/>
    <w:rsid w:val="00FC2CA5"/>
    <w:rsid w:val="00FC3C2C"/>
    <w:rsid w:val="00FC465A"/>
    <w:rsid w:val="00FC618D"/>
    <w:rsid w:val="00FC61C8"/>
    <w:rsid w:val="00FC6A00"/>
    <w:rsid w:val="00FC6E8C"/>
    <w:rsid w:val="00FC730A"/>
    <w:rsid w:val="00FC7779"/>
    <w:rsid w:val="00FC7AA7"/>
    <w:rsid w:val="00FD0253"/>
    <w:rsid w:val="00FD0BD4"/>
    <w:rsid w:val="00FD1251"/>
    <w:rsid w:val="00FD1599"/>
    <w:rsid w:val="00FD1F73"/>
    <w:rsid w:val="00FD21DB"/>
    <w:rsid w:val="00FD21F5"/>
    <w:rsid w:val="00FD398D"/>
    <w:rsid w:val="00FD418A"/>
    <w:rsid w:val="00FD4EB1"/>
    <w:rsid w:val="00FE0063"/>
    <w:rsid w:val="00FE05E3"/>
    <w:rsid w:val="00FE0B3C"/>
    <w:rsid w:val="00FE0E7D"/>
    <w:rsid w:val="00FE1116"/>
    <w:rsid w:val="00FE1A75"/>
    <w:rsid w:val="00FE2228"/>
    <w:rsid w:val="00FE2534"/>
    <w:rsid w:val="00FE2721"/>
    <w:rsid w:val="00FE2C72"/>
    <w:rsid w:val="00FE2C9F"/>
    <w:rsid w:val="00FE3D0A"/>
    <w:rsid w:val="00FE5DD8"/>
    <w:rsid w:val="00FE607B"/>
    <w:rsid w:val="00FE61C2"/>
    <w:rsid w:val="00FE6E97"/>
    <w:rsid w:val="00FE75C6"/>
    <w:rsid w:val="00FF0319"/>
    <w:rsid w:val="00FF07A4"/>
    <w:rsid w:val="00FF0A36"/>
    <w:rsid w:val="00FF0F2E"/>
    <w:rsid w:val="00FF1B45"/>
    <w:rsid w:val="00FF334D"/>
    <w:rsid w:val="00FF3656"/>
    <w:rsid w:val="00FF400B"/>
    <w:rsid w:val="00FF4251"/>
    <w:rsid w:val="00FF4665"/>
    <w:rsid w:val="00FF48C1"/>
    <w:rsid w:val="00FF5B1B"/>
    <w:rsid w:val="00FF64AD"/>
    <w:rsid w:val="00FF65BA"/>
    <w:rsid w:val="00FF698F"/>
    <w:rsid w:val="00FF7BC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ABD4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ind w:firstLine="35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73" w:qFormat="1"/>
    <w:lsdException w:name="Intense Quote" w:uiPriority="6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608E"/>
    <w:pPr>
      <w:ind w:firstLine="0"/>
      <w:jc w:val="both"/>
    </w:pPr>
    <w:rPr>
      <w:rFonts w:ascii="Arial" w:eastAsiaTheme="minorEastAsia" w:hAnsi="Arial"/>
      <w:lang w:val="en-US" w:bidi="en-US"/>
    </w:rPr>
  </w:style>
  <w:style w:type="paragraph" w:styleId="Heading1">
    <w:name w:val="heading 1"/>
    <w:basedOn w:val="Normal"/>
    <w:next w:val="Normal"/>
    <w:link w:val="Heading1Char"/>
    <w:uiPriority w:val="9"/>
    <w:qFormat/>
    <w:rsid w:val="00280D59"/>
    <w:pPr>
      <w:keepNext/>
      <w:numPr>
        <w:numId w:val="1"/>
      </w:numPr>
      <w:spacing w:before="120" w:after="480"/>
      <w:ind w:left="574" w:hanging="574"/>
      <w:outlineLvl w:val="0"/>
    </w:pPr>
    <w:rPr>
      <w:rFonts w:eastAsia="Times New Roman" w:cs="Arial"/>
      <w:b/>
      <w:kern w:val="28"/>
      <w:sz w:val="36"/>
      <w:szCs w:val="28"/>
      <w:lang w:val="en-AU" w:bidi="ar-SA"/>
    </w:rPr>
  </w:style>
  <w:style w:type="paragraph" w:styleId="Heading2">
    <w:name w:val="heading 2"/>
    <w:aliases w:val="h2,2nd Level Heading"/>
    <w:basedOn w:val="Normal"/>
    <w:next w:val="Normal"/>
    <w:link w:val="Heading2Char"/>
    <w:uiPriority w:val="9"/>
    <w:unhideWhenUsed/>
    <w:qFormat/>
    <w:rsid w:val="00AC3E7C"/>
    <w:pPr>
      <w:keepNext/>
      <w:keepLines/>
      <w:numPr>
        <w:ilvl w:val="1"/>
        <w:numId w:val="1"/>
      </w:numPr>
      <w:spacing w:before="240" w:after="120"/>
      <w:outlineLvl w:val="1"/>
    </w:pPr>
    <w:rPr>
      <w:rFonts w:eastAsiaTheme="majorEastAsia" w:cstheme="majorBidi"/>
      <w:b/>
      <w:bCs/>
      <w:sz w:val="26"/>
      <w:szCs w:val="26"/>
      <w:lang w:val="en-AU" w:bidi="ar-SA"/>
    </w:rPr>
  </w:style>
  <w:style w:type="paragraph" w:styleId="Heading3">
    <w:name w:val="heading 3"/>
    <w:basedOn w:val="Normal"/>
    <w:next w:val="Normal"/>
    <w:link w:val="Heading3Char"/>
    <w:uiPriority w:val="9"/>
    <w:unhideWhenUsed/>
    <w:qFormat/>
    <w:rsid w:val="00AC3E7C"/>
    <w:pPr>
      <w:numPr>
        <w:ilvl w:val="2"/>
        <w:numId w:val="1"/>
      </w:numPr>
      <w:spacing w:before="200" w:after="80"/>
      <w:ind w:left="720"/>
      <w:outlineLvl w:val="2"/>
    </w:pPr>
    <w:rPr>
      <w:rFonts w:eastAsiaTheme="majorEastAsia" w:cstheme="majorBidi"/>
      <w:b/>
      <w:sz w:val="24"/>
      <w:szCs w:val="24"/>
      <w:lang w:val="en-GB" w:eastAsia="en-AU"/>
    </w:rPr>
  </w:style>
  <w:style w:type="paragraph" w:styleId="Heading4">
    <w:name w:val="heading 4"/>
    <w:basedOn w:val="Heading5"/>
    <w:next w:val="Normal"/>
    <w:link w:val="Heading4Char"/>
    <w:uiPriority w:val="9"/>
    <w:unhideWhenUsed/>
    <w:qFormat/>
    <w:rsid w:val="0059608E"/>
    <w:pPr>
      <w:outlineLvl w:val="3"/>
    </w:pPr>
  </w:style>
  <w:style w:type="paragraph" w:styleId="Heading5">
    <w:name w:val="heading 5"/>
    <w:basedOn w:val="Normal"/>
    <w:next w:val="Normal"/>
    <w:link w:val="Heading5Char"/>
    <w:uiPriority w:val="9"/>
    <w:unhideWhenUsed/>
    <w:qFormat/>
    <w:rsid w:val="0059608E"/>
    <w:pPr>
      <w:spacing w:before="200" w:after="80"/>
      <w:outlineLvl w:val="4"/>
    </w:pPr>
    <w:rPr>
      <w:rFonts w:asciiTheme="majorHAnsi" w:eastAsiaTheme="majorEastAsia" w:hAnsiTheme="majorHAnsi" w:cstheme="majorBidi"/>
      <w:b/>
      <w:sz w:val="20"/>
      <w:szCs w:val="20"/>
      <w:lang w:eastAsia="ja-JP"/>
    </w:rPr>
  </w:style>
  <w:style w:type="paragraph" w:styleId="Heading6">
    <w:name w:val="heading 6"/>
    <w:basedOn w:val="Normal"/>
    <w:next w:val="Normal"/>
    <w:link w:val="Heading6Char"/>
    <w:uiPriority w:val="9"/>
    <w:unhideWhenUsed/>
    <w:qFormat/>
    <w:rsid w:val="0059608E"/>
    <w:pPr>
      <w:numPr>
        <w:ilvl w:val="5"/>
        <w:numId w:val="1"/>
      </w:numPr>
      <w:spacing w:before="280" w:after="100"/>
      <w:outlineLvl w:val="5"/>
    </w:pPr>
    <w:rPr>
      <w:rFonts w:asciiTheme="majorHAnsi" w:eastAsiaTheme="majorEastAsia" w:hAnsiTheme="majorHAnsi" w:cstheme="majorBidi"/>
      <w:b/>
      <w:i/>
      <w:iCs/>
      <w:sz w:val="20"/>
      <w:szCs w:val="20"/>
      <w:lang w:val="en-GB"/>
    </w:rPr>
  </w:style>
  <w:style w:type="paragraph" w:styleId="Heading7">
    <w:name w:val="heading 7"/>
    <w:basedOn w:val="Normal"/>
    <w:next w:val="Normal"/>
    <w:link w:val="Heading7Char"/>
    <w:uiPriority w:val="9"/>
    <w:unhideWhenUsed/>
    <w:qFormat/>
    <w:rsid w:val="002B1A9C"/>
    <w:pPr>
      <w:numPr>
        <w:ilvl w:val="6"/>
        <w:numId w:val="8"/>
      </w:numPr>
      <w:spacing w:before="320" w:after="100"/>
      <w:ind w:left="426"/>
      <w:jc w:val="left"/>
      <w:outlineLvl w:val="6"/>
    </w:pPr>
    <w:rPr>
      <w:rFonts w:eastAsiaTheme="majorEastAsia" w:cstheme="majorBidi"/>
      <w:b/>
      <w:bCs/>
      <w:sz w:val="28"/>
      <w:szCs w:val="20"/>
      <w:lang w:val="en-AU" w:bidi="ar-SA"/>
    </w:rPr>
  </w:style>
  <w:style w:type="paragraph" w:styleId="Heading8">
    <w:name w:val="heading 8"/>
    <w:basedOn w:val="Normal"/>
    <w:next w:val="Normal"/>
    <w:link w:val="Heading8Char"/>
    <w:uiPriority w:val="9"/>
    <w:unhideWhenUsed/>
    <w:qFormat/>
    <w:rsid w:val="004A2E7A"/>
    <w:pPr>
      <w:numPr>
        <w:ilvl w:val="7"/>
        <w:numId w:val="10"/>
      </w:numPr>
      <w:spacing w:before="320" w:after="100"/>
      <w:outlineLvl w:val="7"/>
    </w:pPr>
    <w:rPr>
      <w:rFonts w:eastAsiaTheme="majorEastAsia" w:cstheme="majorBidi"/>
      <w:b/>
      <w:bCs/>
      <w:iCs/>
      <w:sz w:val="24"/>
      <w:szCs w:val="20"/>
    </w:rPr>
  </w:style>
  <w:style w:type="paragraph" w:styleId="Heading9">
    <w:name w:val="heading 9"/>
    <w:basedOn w:val="Normal"/>
    <w:next w:val="Normal"/>
    <w:link w:val="Heading9Char"/>
    <w:uiPriority w:val="9"/>
    <w:semiHidden/>
    <w:unhideWhenUsed/>
    <w:qFormat/>
    <w:rsid w:val="0059608E"/>
    <w:pPr>
      <w:numPr>
        <w:ilvl w:val="8"/>
        <w:numId w:val="1"/>
      </w:num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0D59"/>
    <w:rPr>
      <w:rFonts w:ascii="Arial" w:eastAsia="Times New Roman" w:hAnsi="Arial" w:cs="Arial"/>
      <w:b/>
      <w:kern w:val="28"/>
      <w:sz w:val="36"/>
      <w:szCs w:val="28"/>
    </w:rPr>
  </w:style>
  <w:style w:type="character" w:customStyle="1" w:styleId="Heading2Char">
    <w:name w:val="Heading 2 Char"/>
    <w:aliases w:val="h2 Char,2nd Level Heading Char"/>
    <w:basedOn w:val="DefaultParagraphFont"/>
    <w:link w:val="Heading2"/>
    <w:uiPriority w:val="9"/>
    <w:rsid w:val="00AC3E7C"/>
    <w:rPr>
      <w:rFonts w:ascii="Arial" w:eastAsiaTheme="majorEastAsia" w:hAnsi="Arial" w:cstheme="majorBidi"/>
      <w:b/>
      <w:bCs/>
      <w:sz w:val="26"/>
      <w:szCs w:val="26"/>
    </w:rPr>
  </w:style>
  <w:style w:type="character" w:customStyle="1" w:styleId="Heading3Char">
    <w:name w:val="Heading 3 Char"/>
    <w:basedOn w:val="DefaultParagraphFont"/>
    <w:link w:val="Heading3"/>
    <w:uiPriority w:val="9"/>
    <w:rsid w:val="00AC3E7C"/>
    <w:rPr>
      <w:rFonts w:ascii="Arial" w:eastAsiaTheme="majorEastAsia" w:hAnsi="Arial" w:cstheme="majorBidi"/>
      <w:b/>
      <w:sz w:val="24"/>
      <w:szCs w:val="24"/>
      <w:lang w:val="en-GB" w:eastAsia="en-AU" w:bidi="en-US"/>
    </w:rPr>
  </w:style>
  <w:style w:type="character" w:customStyle="1" w:styleId="Heading4Char">
    <w:name w:val="Heading 4 Char"/>
    <w:basedOn w:val="DefaultParagraphFont"/>
    <w:link w:val="Heading4"/>
    <w:uiPriority w:val="9"/>
    <w:rsid w:val="0059608E"/>
    <w:rPr>
      <w:rFonts w:asciiTheme="majorHAnsi" w:eastAsiaTheme="majorEastAsia" w:hAnsiTheme="majorHAnsi" w:cstheme="majorBidi"/>
      <w:b/>
      <w:sz w:val="20"/>
      <w:szCs w:val="20"/>
      <w:lang w:val="en-US" w:eastAsia="ja-JP" w:bidi="en-US"/>
    </w:rPr>
  </w:style>
  <w:style w:type="character" w:customStyle="1" w:styleId="Heading5Char">
    <w:name w:val="Heading 5 Char"/>
    <w:basedOn w:val="DefaultParagraphFont"/>
    <w:link w:val="Heading5"/>
    <w:uiPriority w:val="9"/>
    <w:rsid w:val="0059608E"/>
    <w:rPr>
      <w:rFonts w:asciiTheme="majorHAnsi" w:eastAsiaTheme="majorEastAsia" w:hAnsiTheme="majorHAnsi" w:cstheme="majorBidi"/>
      <w:b/>
      <w:sz w:val="20"/>
      <w:szCs w:val="20"/>
      <w:lang w:val="en-US" w:eastAsia="ja-JP" w:bidi="en-US"/>
    </w:rPr>
  </w:style>
  <w:style w:type="character" w:customStyle="1" w:styleId="Heading6Char">
    <w:name w:val="Heading 6 Char"/>
    <w:basedOn w:val="DefaultParagraphFont"/>
    <w:link w:val="Heading6"/>
    <w:uiPriority w:val="9"/>
    <w:rsid w:val="0059608E"/>
    <w:rPr>
      <w:rFonts w:asciiTheme="majorHAnsi" w:eastAsiaTheme="majorEastAsia" w:hAnsiTheme="majorHAnsi" w:cstheme="majorBidi"/>
      <w:b/>
      <w:i/>
      <w:iCs/>
      <w:sz w:val="20"/>
      <w:szCs w:val="20"/>
      <w:lang w:val="en-GB" w:bidi="en-US"/>
    </w:rPr>
  </w:style>
  <w:style w:type="character" w:customStyle="1" w:styleId="Heading7Char">
    <w:name w:val="Heading 7 Char"/>
    <w:basedOn w:val="DefaultParagraphFont"/>
    <w:link w:val="Heading7"/>
    <w:uiPriority w:val="9"/>
    <w:rsid w:val="002B1A9C"/>
    <w:rPr>
      <w:rFonts w:ascii="Arial" w:eastAsiaTheme="majorEastAsia" w:hAnsi="Arial" w:cstheme="majorBidi"/>
      <w:b/>
      <w:bCs/>
      <w:sz w:val="28"/>
      <w:szCs w:val="20"/>
    </w:rPr>
  </w:style>
  <w:style w:type="character" w:customStyle="1" w:styleId="Heading8Char">
    <w:name w:val="Heading 8 Char"/>
    <w:basedOn w:val="DefaultParagraphFont"/>
    <w:link w:val="Heading8"/>
    <w:uiPriority w:val="9"/>
    <w:rsid w:val="004A2E7A"/>
    <w:rPr>
      <w:rFonts w:ascii="Arial" w:eastAsiaTheme="majorEastAsia" w:hAnsi="Arial" w:cstheme="majorBidi"/>
      <w:b/>
      <w:bCs/>
      <w:iCs/>
      <w:sz w:val="24"/>
      <w:szCs w:val="20"/>
      <w:lang w:val="en-US" w:bidi="en-US"/>
    </w:rPr>
  </w:style>
  <w:style w:type="character" w:customStyle="1" w:styleId="Heading9Char">
    <w:name w:val="Heading 9 Char"/>
    <w:basedOn w:val="DefaultParagraphFont"/>
    <w:link w:val="Heading9"/>
    <w:uiPriority w:val="9"/>
    <w:semiHidden/>
    <w:rsid w:val="0059608E"/>
    <w:rPr>
      <w:rFonts w:asciiTheme="majorHAnsi" w:eastAsiaTheme="majorEastAsia" w:hAnsiTheme="majorHAnsi" w:cstheme="majorBidi"/>
      <w:i/>
      <w:iCs/>
      <w:color w:val="9BBB59" w:themeColor="accent3"/>
      <w:sz w:val="20"/>
      <w:szCs w:val="20"/>
      <w:lang w:val="en-US" w:bidi="en-US"/>
    </w:rPr>
  </w:style>
  <w:style w:type="paragraph" w:styleId="TOC1">
    <w:name w:val="toc 1"/>
    <w:basedOn w:val="Normal"/>
    <w:next w:val="Normal"/>
    <w:link w:val="TOC1Char"/>
    <w:autoRedefine/>
    <w:uiPriority w:val="39"/>
    <w:qFormat/>
    <w:rsid w:val="002B1876"/>
    <w:pPr>
      <w:spacing w:before="240" w:after="120"/>
      <w:jc w:val="left"/>
    </w:pPr>
    <w:rPr>
      <w:b/>
      <w:bCs/>
      <w:szCs w:val="20"/>
    </w:rPr>
  </w:style>
  <w:style w:type="paragraph" w:styleId="TOC3">
    <w:name w:val="toc 3"/>
    <w:basedOn w:val="Normal"/>
    <w:next w:val="Normal"/>
    <w:autoRedefine/>
    <w:uiPriority w:val="39"/>
    <w:qFormat/>
    <w:rsid w:val="002B1876"/>
    <w:pPr>
      <w:ind w:left="440"/>
      <w:jc w:val="left"/>
    </w:pPr>
    <w:rPr>
      <w:sz w:val="18"/>
      <w:szCs w:val="20"/>
    </w:rPr>
  </w:style>
  <w:style w:type="paragraph" w:styleId="Caption">
    <w:name w:val="caption"/>
    <w:aliases w:val="Tables,Caption Char Char,Caption Char1,Caption Char4 Char1,Caption Char1 Char5 Char,Caption Char4 Char Char2 Char,Caption Char1 Char2 Char Char4 Char,Caption Char4 Char Char Char1 Char2 Char,Caption Char1 Char Char Char1 Char Char3 Char"/>
    <w:basedOn w:val="Normal"/>
    <w:next w:val="Normal"/>
    <w:link w:val="CaptionChar"/>
    <w:unhideWhenUsed/>
    <w:qFormat/>
    <w:rsid w:val="0059608E"/>
    <w:pPr>
      <w:jc w:val="left"/>
    </w:pPr>
    <w:rPr>
      <w:b/>
      <w:bCs/>
      <w:sz w:val="18"/>
      <w:szCs w:val="18"/>
    </w:rPr>
  </w:style>
  <w:style w:type="character" w:customStyle="1" w:styleId="CaptionChar">
    <w:name w:val="Caption Char"/>
    <w:aliases w:val="Tables Char,Caption Char Char Char,Caption Char1 Char,Caption Char4 Char1 Char,Caption Char1 Char5 Char Char,Caption Char4 Char Char2 Char Char,Caption Char1 Char2 Char Char4 Char Char,Caption Char4 Char Char Char1 Char2 Char Char"/>
    <w:basedOn w:val="DefaultParagraphFont"/>
    <w:link w:val="Caption"/>
    <w:locked/>
    <w:rsid w:val="0059608E"/>
    <w:rPr>
      <w:rFonts w:ascii="Arial" w:eastAsiaTheme="minorEastAsia" w:hAnsi="Arial"/>
      <w:b/>
      <w:bCs/>
      <w:sz w:val="18"/>
      <w:szCs w:val="18"/>
      <w:lang w:val="en-US" w:bidi="en-US"/>
    </w:rPr>
  </w:style>
  <w:style w:type="paragraph" w:styleId="Title">
    <w:name w:val="Title"/>
    <w:basedOn w:val="Normal"/>
    <w:next w:val="Normal"/>
    <w:link w:val="TitleChar"/>
    <w:qFormat/>
    <w:rsid w:val="0059608E"/>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rsid w:val="0059608E"/>
    <w:rPr>
      <w:rFonts w:asciiTheme="majorHAnsi" w:eastAsiaTheme="majorEastAsia" w:hAnsiTheme="majorHAnsi" w:cstheme="majorBidi"/>
      <w:i/>
      <w:iCs/>
      <w:color w:val="243F60" w:themeColor="accent1" w:themeShade="7F"/>
      <w:sz w:val="60"/>
      <w:szCs w:val="60"/>
      <w:lang w:val="en-US" w:bidi="en-US"/>
    </w:rPr>
  </w:style>
  <w:style w:type="paragraph" w:styleId="Subtitle">
    <w:name w:val="Subtitle"/>
    <w:basedOn w:val="Normal"/>
    <w:next w:val="Normal"/>
    <w:link w:val="SubtitleChar"/>
    <w:uiPriority w:val="11"/>
    <w:qFormat/>
    <w:rsid w:val="0059608E"/>
    <w:pPr>
      <w:spacing w:before="200" w:after="900"/>
      <w:jc w:val="right"/>
    </w:pPr>
    <w:rPr>
      <w:i/>
      <w:iCs/>
      <w:sz w:val="24"/>
      <w:szCs w:val="24"/>
    </w:rPr>
  </w:style>
  <w:style w:type="character" w:customStyle="1" w:styleId="SubtitleChar">
    <w:name w:val="Subtitle Char"/>
    <w:basedOn w:val="DefaultParagraphFont"/>
    <w:link w:val="Subtitle"/>
    <w:uiPriority w:val="11"/>
    <w:rsid w:val="0059608E"/>
    <w:rPr>
      <w:rFonts w:ascii="Arial" w:eastAsiaTheme="minorEastAsia" w:hAnsi="Arial"/>
      <w:i/>
      <w:iCs/>
      <w:sz w:val="24"/>
      <w:szCs w:val="24"/>
      <w:lang w:val="en-US" w:bidi="en-US"/>
    </w:rPr>
  </w:style>
  <w:style w:type="character" w:styleId="Strong">
    <w:name w:val="Strong"/>
    <w:basedOn w:val="DefaultParagraphFont"/>
    <w:uiPriority w:val="22"/>
    <w:qFormat/>
    <w:rsid w:val="0059608E"/>
    <w:rPr>
      <w:b/>
      <w:bCs/>
      <w:spacing w:val="0"/>
    </w:rPr>
  </w:style>
  <w:style w:type="character" w:styleId="Emphasis">
    <w:name w:val="Emphasis"/>
    <w:uiPriority w:val="20"/>
    <w:qFormat/>
    <w:rsid w:val="0059608E"/>
    <w:rPr>
      <w:b/>
      <w:bCs/>
      <w:i/>
      <w:iCs/>
      <w:color w:val="5A5A5A" w:themeColor="text1" w:themeTint="A5"/>
    </w:rPr>
  </w:style>
  <w:style w:type="paragraph" w:styleId="NoSpacing">
    <w:name w:val="No Spacing"/>
    <w:basedOn w:val="Normal"/>
    <w:link w:val="NoSpacingChar"/>
    <w:uiPriority w:val="99"/>
    <w:qFormat/>
    <w:rsid w:val="0059608E"/>
  </w:style>
  <w:style w:type="character" w:customStyle="1" w:styleId="NoSpacingChar">
    <w:name w:val="No Spacing Char"/>
    <w:basedOn w:val="DefaultParagraphFont"/>
    <w:link w:val="NoSpacing"/>
    <w:uiPriority w:val="99"/>
    <w:rsid w:val="0059608E"/>
    <w:rPr>
      <w:rFonts w:ascii="Arial" w:eastAsiaTheme="minorEastAsia" w:hAnsi="Arial"/>
      <w:lang w:val="en-US" w:bidi="en-US"/>
    </w:rPr>
  </w:style>
  <w:style w:type="paragraph" w:styleId="ListParagraph">
    <w:name w:val="List Paragraph"/>
    <w:aliases w:val="DDM Gen Text,List Paragraph1,Dot pt,NFP GP Bulleted List,Recommendation,List Paragraph11,1 heading,Bullet point,L,bullet point list,Dot point 1.5 line spacing,List Paragraph - bullets,Rec para,CV text,Table text,F5 List Paragraph,Bullet 1"/>
    <w:basedOn w:val="Normal"/>
    <w:link w:val="ListParagraphChar"/>
    <w:uiPriority w:val="34"/>
    <w:qFormat/>
    <w:rsid w:val="0059608E"/>
    <w:pPr>
      <w:ind w:left="720"/>
      <w:contextualSpacing/>
    </w:pPr>
  </w:style>
  <w:style w:type="paragraph" w:styleId="Quote">
    <w:name w:val="Quote"/>
    <w:basedOn w:val="Normal"/>
    <w:next w:val="Normal"/>
    <w:link w:val="QuoteChar"/>
    <w:uiPriority w:val="73"/>
    <w:qFormat/>
    <w:rsid w:val="0059608E"/>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73"/>
    <w:rsid w:val="0059608E"/>
    <w:rPr>
      <w:rFonts w:asciiTheme="majorHAnsi" w:eastAsiaTheme="majorEastAsia" w:hAnsiTheme="majorHAnsi" w:cstheme="majorBidi"/>
      <w:i/>
      <w:iCs/>
      <w:color w:val="5A5A5A" w:themeColor="text1" w:themeTint="A5"/>
      <w:lang w:val="en-US" w:bidi="en-US"/>
    </w:rPr>
  </w:style>
  <w:style w:type="paragraph" w:styleId="IntenseQuote">
    <w:name w:val="Intense Quote"/>
    <w:basedOn w:val="Normal"/>
    <w:next w:val="Normal"/>
    <w:link w:val="IntenseQuoteChar"/>
    <w:uiPriority w:val="60"/>
    <w:qFormat/>
    <w:rsid w:val="0059608E"/>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60"/>
    <w:rsid w:val="0059608E"/>
    <w:rPr>
      <w:rFonts w:asciiTheme="majorHAnsi" w:eastAsiaTheme="majorEastAsia" w:hAnsiTheme="majorHAnsi" w:cstheme="majorBidi"/>
      <w:i/>
      <w:iCs/>
      <w:color w:val="FFFFFF" w:themeColor="background1"/>
      <w:sz w:val="24"/>
      <w:szCs w:val="24"/>
      <w:shd w:val="clear" w:color="auto" w:fill="4F81BD" w:themeFill="accent1"/>
      <w:lang w:val="en-US" w:bidi="en-US"/>
    </w:rPr>
  </w:style>
  <w:style w:type="character" w:styleId="SubtleEmphasis">
    <w:name w:val="Subtle Emphasis"/>
    <w:uiPriority w:val="65"/>
    <w:qFormat/>
    <w:rsid w:val="0059608E"/>
    <w:rPr>
      <w:i/>
      <w:iCs/>
      <w:color w:val="5A5A5A" w:themeColor="text1" w:themeTint="A5"/>
    </w:rPr>
  </w:style>
  <w:style w:type="character" w:styleId="IntenseEmphasis">
    <w:name w:val="Intense Emphasis"/>
    <w:uiPriority w:val="66"/>
    <w:qFormat/>
    <w:rsid w:val="0059608E"/>
    <w:rPr>
      <w:b/>
      <w:bCs/>
      <w:i/>
      <w:iCs/>
      <w:color w:val="4F81BD" w:themeColor="accent1"/>
      <w:sz w:val="22"/>
      <w:szCs w:val="22"/>
    </w:rPr>
  </w:style>
  <w:style w:type="character" w:styleId="SubtleReference">
    <w:name w:val="Subtle Reference"/>
    <w:uiPriority w:val="67"/>
    <w:qFormat/>
    <w:rsid w:val="0059608E"/>
    <w:rPr>
      <w:color w:val="auto"/>
      <w:u w:val="single" w:color="9BBB59" w:themeColor="accent3"/>
    </w:rPr>
  </w:style>
  <w:style w:type="character" w:styleId="IntenseReference">
    <w:name w:val="Intense Reference"/>
    <w:aliases w:val="fig tab body"/>
    <w:basedOn w:val="DefaultParagraphFont"/>
    <w:uiPriority w:val="68"/>
    <w:qFormat/>
    <w:rsid w:val="0059608E"/>
    <w:rPr>
      <w:b/>
      <w:bCs/>
      <w:color w:val="76923C" w:themeColor="accent3" w:themeShade="BF"/>
      <w:u w:val="single" w:color="9BBB59" w:themeColor="accent3"/>
    </w:rPr>
  </w:style>
  <w:style w:type="character" w:styleId="BookTitle">
    <w:name w:val="Book Title"/>
    <w:basedOn w:val="DefaultParagraphFont"/>
    <w:uiPriority w:val="69"/>
    <w:qFormat/>
    <w:rsid w:val="0059608E"/>
    <w:rPr>
      <w:rFonts w:asciiTheme="majorHAnsi" w:eastAsiaTheme="majorEastAsia" w:hAnsiTheme="majorHAnsi" w:cstheme="majorBidi"/>
      <w:b/>
      <w:bCs/>
      <w:i/>
      <w:iCs/>
      <w:color w:val="auto"/>
    </w:rPr>
  </w:style>
  <w:style w:type="paragraph" w:styleId="TOCHeading">
    <w:name w:val="TOC Heading"/>
    <w:basedOn w:val="Heading1"/>
    <w:next w:val="Normal"/>
    <w:uiPriority w:val="39"/>
    <w:unhideWhenUsed/>
    <w:qFormat/>
    <w:rsid w:val="0059608E"/>
    <w:pPr>
      <w:outlineLvl w:val="9"/>
    </w:pPr>
  </w:style>
  <w:style w:type="paragraph" w:customStyle="1" w:styleId="ReportCoverPage">
    <w:name w:val="Report Cover Page"/>
    <w:basedOn w:val="Normal"/>
    <w:next w:val="Normal"/>
    <w:uiPriority w:val="99"/>
    <w:rsid w:val="0059608E"/>
    <w:rPr>
      <w:sz w:val="32"/>
    </w:rPr>
  </w:style>
  <w:style w:type="character" w:customStyle="1" w:styleId="Reporttitle">
    <w:name w:val="Report title"/>
    <w:basedOn w:val="DefaultParagraphFont"/>
    <w:uiPriority w:val="99"/>
    <w:rsid w:val="0059608E"/>
    <w:rPr>
      <w:rFonts w:ascii="Palatino Linotype" w:hAnsi="Palatino Linotype" w:cs="Times New Roman"/>
      <w:b/>
      <w:sz w:val="40"/>
    </w:rPr>
  </w:style>
  <w:style w:type="paragraph" w:styleId="TOC2">
    <w:name w:val="toc 2"/>
    <w:basedOn w:val="Normal"/>
    <w:next w:val="Normal"/>
    <w:uiPriority w:val="39"/>
    <w:rsid w:val="002B1876"/>
    <w:pPr>
      <w:spacing w:before="120"/>
      <w:ind w:left="220"/>
      <w:jc w:val="left"/>
    </w:pPr>
    <w:rPr>
      <w:iCs/>
      <w:sz w:val="18"/>
      <w:szCs w:val="20"/>
    </w:rPr>
  </w:style>
  <w:style w:type="table" w:customStyle="1" w:styleId="TableStyleAnita">
    <w:name w:val="Table Style Anita"/>
    <w:uiPriority w:val="99"/>
    <w:rsid w:val="0059608E"/>
    <w:pPr>
      <w:jc w:val="right"/>
    </w:pPr>
    <w:rPr>
      <w:rFonts w:ascii="Tahoma" w:eastAsiaTheme="minorEastAsia" w:hAnsi="Tahoma"/>
      <w:lang w:val="en-US" w:bidi="en-US"/>
    </w:rPr>
    <w:tblPr>
      <w:tblInd w:w="0"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0" w:type="dxa"/>
        <w:left w:w="108" w:type="dxa"/>
        <w:bottom w:w="0" w:type="dxa"/>
        <w:right w:w="108" w:type="dxa"/>
      </w:tblCellMar>
    </w:tblPr>
  </w:style>
  <w:style w:type="paragraph" w:styleId="TOC4">
    <w:name w:val="toc 4"/>
    <w:basedOn w:val="Normal"/>
    <w:next w:val="Normal"/>
    <w:autoRedefine/>
    <w:uiPriority w:val="39"/>
    <w:rsid w:val="0059608E"/>
    <w:pPr>
      <w:ind w:left="660"/>
      <w:jc w:val="left"/>
    </w:pPr>
    <w:rPr>
      <w:rFonts w:asciiTheme="minorHAnsi" w:hAnsiTheme="minorHAnsi"/>
      <w:sz w:val="20"/>
      <w:szCs w:val="20"/>
    </w:rPr>
  </w:style>
  <w:style w:type="paragraph" w:styleId="TOC5">
    <w:name w:val="toc 5"/>
    <w:basedOn w:val="Normal"/>
    <w:next w:val="Normal"/>
    <w:autoRedefine/>
    <w:uiPriority w:val="39"/>
    <w:rsid w:val="0059608E"/>
    <w:pPr>
      <w:ind w:left="880"/>
      <w:jc w:val="left"/>
    </w:pPr>
    <w:rPr>
      <w:rFonts w:asciiTheme="minorHAnsi" w:hAnsiTheme="minorHAnsi"/>
      <w:sz w:val="20"/>
      <w:szCs w:val="20"/>
    </w:rPr>
  </w:style>
  <w:style w:type="paragraph" w:styleId="TOC6">
    <w:name w:val="toc 6"/>
    <w:basedOn w:val="Normal"/>
    <w:next w:val="Normal"/>
    <w:autoRedefine/>
    <w:uiPriority w:val="39"/>
    <w:rsid w:val="0059608E"/>
    <w:pPr>
      <w:ind w:left="1100"/>
      <w:jc w:val="left"/>
    </w:pPr>
    <w:rPr>
      <w:rFonts w:asciiTheme="minorHAnsi" w:hAnsiTheme="minorHAnsi"/>
      <w:sz w:val="20"/>
      <w:szCs w:val="20"/>
    </w:rPr>
  </w:style>
  <w:style w:type="paragraph" w:styleId="TOC7">
    <w:name w:val="toc 7"/>
    <w:basedOn w:val="Normal"/>
    <w:next w:val="Normal"/>
    <w:autoRedefine/>
    <w:uiPriority w:val="39"/>
    <w:rsid w:val="0059608E"/>
    <w:pPr>
      <w:ind w:left="1320"/>
      <w:jc w:val="left"/>
    </w:pPr>
    <w:rPr>
      <w:rFonts w:asciiTheme="minorHAnsi" w:hAnsiTheme="minorHAnsi"/>
      <w:sz w:val="20"/>
      <w:szCs w:val="20"/>
    </w:rPr>
  </w:style>
  <w:style w:type="paragraph" w:styleId="TOC8">
    <w:name w:val="toc 8"/>
    <w:basedOn w:val="Normal"/>
    <w:next w:val="Normal"/>
    <w:autoRedefine/>
    <w:uiPriority w:val="39"/>
    <w:rsid w:val="0059608E"/>
    <w:pPr>
      <w:ind w:left="1540"/>
      <w:jc w:val="left"/>
    </w:pPr>
    <w:rPr>
      <w:rFonts w:asciiTheme="minorHAnsi" w:hAnsiTheme="minorHAnsi"/>
      <w:sz w:val="20"/>
      <w:szCs w:val="20"/>
    </w:rPr>
  </w:style>
  <w:style w:type="paragraph" w:styleId="TOC9">
    <w:name w:val="toc 9"/>
    <w:basedOn w:val="Normal"/>
    <w:next w:val="Normal"/>
    <w:autoRedefine/>
    <w:uiPriority w:val="39"/>
    <w:rsid w:val="0059608E"/>
    <w:pPr>
      <w:ind w:left="1760"/>
      <w:jc w:val="left"/>
    </w:pPr>
    <w:rPr>
      <w:rFonts w:asciiTheme="minorHAnsi" w:hAnsiTheme="minorHAnsi"/>
      <w:sz w:val="20"/>
      <w:szCs w:val="20"/>
    </w:rPr>
  </w:style>
  <w:style w:type="character" w:styleId="Hyperlink">
    <w:name w:val="Hyperlink"/>
    <w:basedOn w:val="DefaultParagraphFont"/>
    <w:uiPriority w:val="99"/>
    <w:rsid w:val="0059608E"/>
    <w:rPr>
      <w:rFonts w:cs="Times New Roman"/>
      <w:color w:val="0000FF"/>
      <w:u w:val="single"/>
    </w:rPr>
  </w:style>
  <w:style w:type="paragraph" w:styleId="BodyText3">
    <w:name w:val="Body Text 3"/>
    <w:basedOn w:val="Normal"/>
    <w:link w:val="BodyText3Char"/>
    <w:uiPriority w:val="99"/>
    <w:rsid w:val="0059608E"/>
    <w:pPr>
      <w:spacing w:after="120"/>
    </w:pPr>
    <w:rPr>
      <w:sz w:val="16"/>
      <w:szCs w:val="16"/>
    </w:rPr>
  </w:style>
  <w:style w:type="character" w:customStyle="1" w:styleId="BodyText3Char">
    <w:name w:val="Body Text 3 Char"/>
    <w:basedOn w:val="DefaultParagraphFont"/>
    <w:link w:val="BodyText3"/>
    <w:uiPriority w:val="99"/>
    <w:rsid w:val="0059608E"/>
    <w:rPr>
      <w:rFonts w:ascii="Arial" w:eastAsiaTheme="minorEastAsia" w:hAnsi="Arial"/>
      <w:sz w:val="16"/>
      <w:szCs w:val="16"/>
      <w:lang w:val="en-US" w:bidi="en-US"/>
    </w:rPr>
  </w:style>
  <w:style w:type="character" w:styleId="CommentReference">
    <w:name w:val="annotation reference"/>
    <w:basedOn w:val="DefaultParagraphFont"/>
    <w:uiPriority w:val="99"/>
    <w:rsid w:val="0059608E"/>
    <w:rPr>
      <w:rFonts w:cs="Times New Roman"/>
      <w:sz w:val="16"/>
      <w:szCs w:val="16"/>
    </w:rPr>
  </w:style>
  <w:style w:type="paragraph" w:styleId="CommentText">
    <w:name w:val="annotation text"/>
    <w:basedOn w:val="Normal"/>
    <w:link w:val="CommentTextChar"/>
    <w:uiPriority w:val="99"/>
    <w:rsid w:val="0059608E"/>
    <w:rPr>
      <w:sz w:val="20"/>
      <w:szCs w:val="20"/>
    </w:rPr>
  </w:style>
  <w:style w:type="character" w:customStyle="1" w:styleId="CommentTextChar">
    <w:name w:val="Comment Text Char"/>
    <w:basedOn w:val="DefaultParagraphFont"/>
    <w:link w:val="CommentText"/>
    <w:uiPriority w:val="99"/>
    <w:rsid w:val="0059608E"/>
    <w:rPr>
      <w:rFonts w:ascii="Arial" w:eastAsiaTheme="minorEastAsia" w:hAnsi="Arial"/>
      <w:sz w:val="20"/>
      <w:szCs w:val="20"/>
      <w:lang w:val="en-US" w:bidi="en-US"/>
    </w:rPr>
  </w:style>
  <w:style w:type="paragraph" w:styleId="CommentSubject">
    <w:name w:val="annotation subject"/>
    <w:basedOn w:val="CommentText"/>
    <w:next w:val="CommentText"/>
    <w:link w:val="CommentSubjectChar"/>
    <w:uiPriority w:val="99"/>
    <w:semiHidden/>
    <w:rsid w:val="0059608E"/>
    <w:rPr>
      <w:b/>
      <w:bCs/>
    </w:rPr>
  </w:style>
  <w:style w:type="character" w:customStyle="1" w:styleId="CommentSubjectChar">
    <w:name w:val="Comment Subject Char"/>
    <w:basedOn w:val="CommentTextChar"/>
    <w:link w:val="CommentSubject"/>
    <w:uiPriority w:val="99"/>
    <w:semiHidden/>
    <w:rsid w:val="0059608E"/>
    <w:rPr>
      <w:rFonts w:ascii="Arial" w:eastAsiaTheme="minorEastAsia" w:hAnsi="Arial"/>
      <w:b/>
      <w:bCs/>
      <w:sz w:val="20"/>
      <w:szCs w:val="20"/>
      <w:lang w:val="en-US" w:bidi="en-US"/>
    </w:rPr>
  </w:style>
  <w:style w:type="paragraph" w:styleId="BalloonText">
    <w:name w:val="Balloon Text"/>
    <w:basedOn w:val="Normal"/>
    <w:link w:val="BalloonTextChar"/>
    <w:uiPriority w:val="99"/>
    <w:semiHidden/>
    <w:rsid w:val="0059608E"/>
    <w:rPr>
      <w:rFonts w:cs="Tahoma"/>
      <w:sz w:val="16"/>
      <w:szCs w:val="16"/>
    </w:rPr>
  </w:style>
  <w:style w:type="character" w:customStyle="1" w:styleId="BalloonTextChar">
    <w:name w:val="Balloon Text Char"/>
    <w:basedOn w:val="DefaultParagraphFont"/>
    <w:link w:val="BalloonText"/>
    <w:uiPriority w:val="99"/>
    <w:semiHidden/>
    <w:rsid w:val="0059608E"/>
    <w:rPr>
      <w:rFonts w:ascii="Arial" w:eastAsiaTheme="minorEastAsia" w:hAnsi="Arial" w:cs="Tahoma"/>
      <w:sz w:val="16"/>
      <w:szCs w:val="16"/>
      <w:lang w:val="en-US" w:bidi="en-US"/>
    </w:rPr>
  </w:style>
  <w:style w:type="paragraph" w:styleId="TableofFigures">
    <w:name w:val="table of figures"/>
    <w:basedOn w:val="Normal"/>
    <w:next w:val="Normal"/>
    <w:uiPriority w:val="99"/>
    <w:rsid w:val="00B032E6"/>
    <w:pPr>
      <w:spacing w:after="60"/>
      <w:ind w:right="851"/>
    </w:pPr>
    <w:rPr>
      <w:iCs/>
      <w:sz w:val="18"/>
      <w:szCs w:val="20"/>
    </w:rPr>
  </w:style>
  <w:style w:type="paragraph" w:styleId="Header">
    <w:name w:val="header"/>
    <w:basedOn w:val="Normal"/>
    <w:link w:val="HeaderChar"/>
    <w:uiPriority w:val="99"/>
    <w:rsid w:val="0059608E"/>
    <w:pPr>
      <w:tabs>
        <w:tab w:val="center" w:pos="4320"/>
        <w:tab w:val="right" w:pos="8640"/>
      </w:tabs>
    </w:pPr>
  </w:style>
  <w:style w:type="character" w:customStyle="1" w:styleId="HeaderChar">
    <w:name w:val="Header Char"/>
    <w:basedOn w:val="DefaultParagraphFont"/>
    <w:link w:val="Header"/>
    <w:uiPriority w:val="99"/>
    <w:rsid w:val="0059608E"/>
    <w:rPr>
      <w:rFonts w:ascii="Arial" w:eastAsiaTheme="minorEastAsia" w:hAnsi="Arial"/>
      <w:lang w:val="en-US" w:bidi="en-US"/>
    </w:rPr>
  </w:style>
  <w:style w:type="paragraph" w:styleId="Footer">
    <w:name w:val="footer"/>
    <w:basedOn w:val="Normal"/>
    <w:link w:val="FooterChar"/>
    <w:uiPriority w:val="99"/>
    <w:rsid w:val="0059608E"/>
    <w:pPr>
      <w:tabs>
        <w:tab w:val="center" w:pos="4320"/>
        <w:tab w:val="right" w:pos="8640"/>
      </w:tabs>
    </w:pPr>
  </w:style>
  <w:style w:type="character" w:customStyle="1" w:styleId="FooterChar">
    <w:name w:val="Footer Char"/>
    <w:basedOn w:val="DefaultParagraphFont"/>
    <w:link w:val="Footer"/>
    <w:uiPriority w:val="99"/>
    <w:rsid w:val="0059608E"/>
    <w:rPr>
      <w:rFonts w:ascii="Arial" w:eastAsiaTheme="minorEastAsia" w:hAnsi="Arial"/>
      <w:lang w:val="en-US" w:bidi="en-US"/>
    </w:rPr>
  </w:style>
  <w:style w:type="character" w:styleId="PageNumber">
    <w:name w:val="page number"/>
    <w:basedOn w:val="DefaultParagraphFont"/>
    <w:rsid w:val="0059608E"/>
    <w:rPr>
      <w:rFonts w:cs="Times New Roman"/>
    </w:rPr>
  </w:style>
  <w:style w:type="table" w:styleId="TableList1">
    <w:name w:val="Table List 1"/>
    <w:aliases w:val="Anita rows shaded"/>
    <w:basedOn w:val="TableNormal"/>
    <w:uiPriority w:val="99"/>
    <w:rsid w:val="0059608E"/>
    <w:rPr>
      <w:rFonts w:ascii="Tahoma" w:eastAsiaTheme="minorEastAsia" w:hAnsi="Tahoma"/>
      <w:lang w:val="en-US" w:bidi="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ascii="Arial Unicode MS" w:eastAsia="Arial Unicode MS" w:cs="Times New Roman"/>
        <w:b/>
        <w:bCs/>
        <w:i/>
        <w:iCs/>
        <w:color w:val="auto"/>
        <w:sz w:val="22"/>
      </w:rPr>
      <w:tblPr/>
      <w:tcPr>
        <w:tcBorders>
          <w:top w:val="single" w:sz="12" w:space="0" w:color="auto"/>
          <w:bottom w:val="single" w:sz="6" w:space="0" w:color="000000"/>
        </w:tcBorders>
        <w:shd w:val="solid" w:color="C0C0C0" w:fill="FFFFFF"/>
      </w:tcPr>
    </w:tblStylePr>
    <w:tblStylePr w:type="lastRow">
      <w:rPr>
        <w:rFonts w:cs="Times New Roman"/>
      </w:rPr>
      <w:tblPr/>
      <w:tcPr>
        <w:tcBorders>
          <w:top w:val="single" w:sz="6" w:space="0" w:color="000000"/>
          <w:bottom w:val="single" w:sz="12"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Anita-ReportConsult">
    <w:name w:val="Anita - Report Consult"/>
    <w:uiPriority w:val="99"/>
    <w:rsid w:val="0059608E"/>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customStyle="1" w:styleId="HeadingA">
    <w:name w:val="Heading A"/>
    <w:basedOn w:val="Normal"/>
    <w:next w:val="Normal"/>
    <w:uiPriority w:val="99"/>
    <w:rsid w:val="0059608E"/>
    <w:rPr>
      <w:b/>
      <w:sz w:val="32"/>
    </w:rPr>
  </w:style>
  <w:style w:type="paragraph" w:customStyle="1" w:styleId="HeadingB">
    <w:name w:val="Heading B"/>
    <w:basedOn w:val="Normal"/>
    <w:next w:val="Normal"/>
    <w:uiPriority w:val="99"/>
    <w:rsid w:val="0059608E"/>
    <w:rPr>
      <w:b/>
      <w:sz w:val="28"/>
    </w:rPr>
  </w:style>
  <w:style w:type="paragraph" w:customStyle="1" w:styleId="name">
    <w:name w:val="name"/>
    <w:basedOn w:val="Normal"/>
    <w:uiPriority w:val="99"/>
    <w:rsid w:val="0059608E"/>
    <w:pPr>
      <w:keepNext/>
      <w:tabs>
        <w:tab w:val="left" w:pos="284"/>
        <w:tab w:val="left" w:pos="567"/>
        <w:tab w:val="left" w:pos="851"/>
        <w:tab w:val="left" w:pos="1134"/>
      </w:tabs>
    </w:pPr>
    <w:rPr>
      <w:b/>
      <w:sz w:val="20"/>
      <w:szCs w:val="20"/>
    </w:rPr>
  </w:style>
  <w:style w:type="paragraph" w:styleId="DocumentMap">
    <w:name w:val="Document Map"/>
    <w:basedOn w:val="Normal"/>
    <w:link w:val="DocumentMapChar"/>
    <w:uiPriority w:val="99"/>
    <w:semiHidden/>
    <w:rsid w:val="0059608E"/>
    <w:pPr>
      <w:shd w:val="clear" w:color="auto" w:fill="000080"/>
    </w:pPr>
    <w:rPr>
      <w:rFonts w:cs="Tahoma"/>
      <w:sz w:val="20"/>
      <w:szCs w:val="20"/>
    </w:rPr>
  </w:style>
  <w:style w:type="character" w:customStyle="1" w:styleId="DocumentMapChar">
    <w:name w:val="Document Map Char"/>
    <w:basedOn w:val="DefaultParagraphFont"/>
    <w:link w:val="DocumentMap"/>
    <w:uiPriority w:val="99"/>
    <w:semiHidden/>
    <w:rsid w:val="0059608E"/>
    <w:rPr>
      <w:rFonts w:ascii="Arial" w:eastAsiaTheme="minorEastAsia" w:hAnsi="Arial" w:cs="Tahoma"/>
      <w:sz w:val="20"/>
      <w:szCs w:val="20"/>
      <w:shd w:val="clear" w:color="auto" w:fill="000080"/>
      <w:lang w:val="en-US" w:bidi="en-US"/>
    </w:rPr>
  </w:style>
  <w:style w:type="table" w:styleId="TableGrid">
    <w:name w:val="Table Grid"/>
    <w:basedOn w:val="TableNormal"/>
    <w:uiPriority w:val="59"/>
    <w:rsid w:val="0059608E"/>
    <w:rPr>
      <w:rFonts w:eastAsiaTheme="minorEastAsia"/>
      <w:lang w:val="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lassic1">
    <w:name w:val="Table Classic 1"/>
    <w:basedOn w:val="TableNormal"/>
    <w:uiPriority w:val="99"/>
    <w:rsid w:val="0059608E"/>
    <w:rPr>
      <w:rFonts w:eastAsiaTheme="minorEastAsia"/>
      <w:lang w:val="en-US" w:bidi="en-US"/>
    </w:rPr>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References">
    <w:name w:val="References"/>
    <w:basedOn w:val="Normal"/>
    <w:uiPriority w:val="99"/>
    <w:rsid w:val="0059608E"/>
    <w:pPr>
      <w:ind w:left="284" w:hanging="284"/>
    </w:pPr>
    <w:rPr>
      <w:rFonts w:ascii="Times New Roman" w:hAnsi="Times New Roman"/>
      <w:sz w:val="24"/>
    </w:rPr>
  </w:style>
  <w:style w:type="paragraph" w:styleId="BodyTextIndent">
    <w:name w:val="Body Text Indent"/>
    <w:basedOn w:val="Normal"/>
    <w:link w:val="BodyTextIndentChar"/>
    <w:uiPriority w:val="99"/>
    <w:rsid w:val="0059608E"/>
    <w:pPr>
      <w:spacing w:after="120"/>
      <w:ind w:left="283"/>
    </w:pPr>
    <w:rPr>
      <w:rFonts w:ascii="Times New Roman" w:hAnsi="Times New Roman"/>
      <w:sz w:val="24"/>
      <w:lang w:eastAsia="en-AU"/>
    </w:rPr>
  </w:style>
  <w:style w:type="character" w:customStyle="1" w:styleId="BodyTextIndentChar">
    <w:name w:val="Body Text Indent Char"/>
    <w:basedOn w:val="DefaultParagraphFont"/>
    <w:link w:val="BodyTextIndent"/>
    <w:uiPriority w:val="99"/>
    <w:rsid w:val="0059608E"/>
    <w:rPr>
      <w:rFonts w:ascii="Times New Roman" w:eastAsiaTheme="minorEastAsia" w:hAnsi="Times New Roman"/>
      <w:sz w:val="24"/>
      <w:lang w:val="en-US" w:eastAsia="en-AU" w:bidi="en-US"/>
    </w:rPr>
  </w:style>
  <w:style w:type="table" w:styleId="TableGrid7">
    <w:name w:val="Table Grid 7"/>
    <w:basedOn w:val="TableNormal"/>
    <w:uiPriority w:val="99"/>
    <w:rsid w:val="0059608E"/>
    <w:rPr>
      <w:rFonts w:eastAsiaTheme="minorEastAsia"/>
      <w:b/>
      <w:bCs/>
      <w:lang w:val="en-US" w:bidi="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FollowedHyperlink">
    <w:name w:val="FollowedHyperlink"/>
    <w:basedOn w:val="DefaultParagraphFont"/>
    <w:uiPriority w:val="99"/>
    <w:rsid w:val="0059608E"/>
    <w:rPr>
      <w:rFonts w:cs="Times New Roman"/>
      <w:color w:val="800080"/>
      <w:u w:val="single"/>
    </w:rPr>
  </w:style>
  <w:style w:type="paragraph" w:customStyle="1" w:styleId="Normal-GBR">
    <w:name w:val="Normal - GBR"/>
    <w:basedOn w:val="Normal"/>
    <w:uiPriority w:val="99"/>
    <w:rsid w:val="0059608E"/>
    <w:rPr>
      <w:rFonts w:ascii="Times New Roman" w:hAnsi="Times New Roman"/>
      <w:sz w:val="24"/>
    </w:rPr>
  </w:style>
  <w:style w:type="paragraph" w:styleId="Revision">
    <w:name w:val="Revision"/>
    <w:hidden/>
    <w:uiPriority w:val="99"/>
    <w:semiHidden/>
    <w:rsid w:val="0059608E"/>
    <w:rPr>
      <w:rFonts w:ascii="Tahoma" w:eastAsiaTheme="minorEastAsia" w:hAnsi="Tahoma"/>
      <w:szCs w:val="24"/>
      <w:lang w:bidi="en-US"/>
    </w:rPr>
  </w:style>
  <w:style w:type="paragraph" w:styleId="PlainText">
    <w:name w:val="Plain Text"/>
    <w:basedOn w:val="Normal"/>
    <w:link w:val="PlainTextChar"/>
    <w:uiPriority w:val="99"/>
    <w:rsid w:val="0059608E"/>
    <w:rPr>
      <w:rFonts w:ascii="Consolas" w:hAnsi="Consolas"/>
      <w:sz w:val="21"/>
      <w:szCs w:val="21"/>
    </w:rPr>
  </w:style>
  <w:style w:type="character" w:customStyle="1" w:styleId="PlainTextChar">
    <w:name w:val="Plain Text Char"/>
    <w:basedOn w:val="DefaultParagraphFont"/>
    <w:link w:val="PlainText"/>
    <w:uiPriority w:val="99"/>
    <w:rsid w:val="0059608E"/>
    <w:rPr>
      <w:rFonts w:ascii="Consolas" w:eastAsiaTheme="minorEastAsia" w:hAnsi="Consolas"/>
      <w:sz w:val="21"/>
      <w:szCs w:val="21"/>
      <w:lang w:val="en-US" w:bidi="en-US"/>
    </w:rPr>
  </w:style>
  <w:style w:type="paragraph" w:styleId="NormalWeb">
    <w:name w:val="Normal (Web)"/>
    <w:basedOn w:val="Normal"/>
    <w:uiPriority w:val="99"/>
    <w:unhideWhenUsed/>
    <w:rsid w:val="0059608E"/>
    <w:pPr>
      <w:spacing w:before="100" w:beforeAutospacing="1" w:after="100" w:afterAutospacing="1"/>
    </w:pPr>
    <w:rPr>
      <w:rFonts w:ascii="Times New Roman" w:hAnsi="Times New Roman"/>
      <w:sz w:val="24"/>
      <w:lang w:eastAsia="en-AU"/>
    </w:rPr>
  </w:style>
  <w:style w:type="paragraph" w:customStyle="1" w:styleId="normaltext">
    <w:name w:val="normal text"/>
    <w:basedOn w:val="Normal"/>
    <w:rsid w:val="0059608E"/>
  </w:style>
  <w:style w:type="paragraph" w:customStyle="1" w:styleId="authors1">
    <w:name w:val="authors1"/>
    <w:basedOn w:val="Normal"/>
    <w:rsid w:val="0059608E"/>
    <w:pPr>
      <w:spacing w:before="72" w:line="240" w:lineRule="atLeast"/>
      <w:ind w:left="689"/>
    </w:pPr>
    <w:rPr>
      <w:rFonts w:ascii="Times New Roman" w:eastAsia="Calibri" w:hAnsi="Times New Roman"/>
      <w:lang w:eastAsia="en-AU"/>
    </w:rPr>
  </w:style>
  <w:style w:type="character" w:customStyle="1" w:styleId="journalname">
    <w:name w:val="journalname"/>
    <w:basedOn w:val="DefaultParagraphFont"/>
    <w:rsid w:val="0059608E"/>
  </w:style>
  <w:style w:type="table" w:customStyle="1" w:styleId="LightShading-Accent11">
    <w:name w:val="Light Shading - Accent 11"/>
    <w:basedOn w:val="TableNormal"/>
    <w:uiPriority w:val="60"/>
    <w:rsid w:val="0059608E"/>
    <w:rPr>
      <w:rFonts w:eastAsiaTheme="minorEastAsia"/>
      <w:color w:val="365F91" w:themeColor="accent1" w:themeShade="BF"/>
      <w:lang w:val="en-US" w:bidi="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59608E"/>
    <w:rPr>
      <w:rFonts w:eastAsiaTheme="minorEastAsia"/>
      <w:lang w:val="en-US" w:bidi="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59608E"/>
    <w:rPr>
      <w:rFonts w:eastAsiaTheme="minorEastAsia"/>
      <w:color w:val="31849B" w:themeColor="accent5" w:themeShade="BF"/>
      <w:lang w:val="en-US" w:bidi="en-US"/>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59608E"/>
    <w:rPr>
      <w:rFonts w:eastAsiaTheme="minorEastAsia"/>
      <w:lang w:val="en-US" w:bidi="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MediumShading2-Accent11">
    <w:name w:val="Medium Shading 2 - Accent 11"/>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59608E"/>
    <w:pPr>
      <w:ind w:firstLine="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59608E"/>
    <w:pPr>
      <w:autoSpaceDE w:val="0"/>
      <w:autoSpaceDN w:val="0"/>
      <w:adjustRightInd w:val="0"/>
      <w:ind w:firstLine="0"/>
    </w:pPr>
    <w:rPr>
      <w:rFonts w:ascii="Gill Sans MT" w:eastAsiaTheme="minorEastAsia" w:hAnsi="Gill Sans MT" w:cs="Gill Sans MT"/>
      <w:color w:val="000000"/>
      <w:sz w:val="24"/>
      <w:szCs w:val="24"/>
    </w:rPr>
  </w:style>
  <w:style w:type="table" w:customStyle="1" w:styleId="MediumShading2-Accent13">
    <w:name w:val="Medium Shading 2 - Accent 13"/>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5">
    <w:name w:val="Medium Grid 1 Accent 5"/>
    <w:basedOn w:val="TableNormal"/>
    <w:uiPriority w:val="67"/>
    <w:rsid w:val="0059608E"/>
    <w:rPr>
      <w:rFonts w:eastAsiaTheme="minorEastAsia"/>
      <w:lang w:val="en-US" w:bidi="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3">
    <w:name w:val="Medium Grid 1 Accent 3"/>
    <w:basedOn w:val="TableNormal"/>
    <w:uiPriority w:val="67"/>
    <w:rsid w:val="0059608E"/>
    <w:rPr>
      <w:rFonts w:eastAsiaTheme="minorEastAsia"/>
      <w:lang w:val="en-US" w:bidi="en-US"/>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Bibliography">
    <w:name w:val="Bibliography"/>
    <w:basedOn w:val="Normal"/>
    <w:next w:val="Normal"/>
    <w:uiPriority w:val="37"/>
    <w:unhideWhenUsed/>
    <w:rsid w:val="0059608E"/>
  </w:style>
  <w:style w:type="paragraph" w:customStyle="1" w:styleId="Figures">
    <w:name w:val="Figures"/>
    <w:basedOn w:val="TOC1"/>
    <w:link w:val="FiguresChar"/>
    <w:qFormat/>
    <w:rsid w:val="0059608E"/>
    <w:rPr>
      <w:sz w:val="18"/>
    </w:rPr>
  </w:style>
  <w:style w:type="character" w:customStyle="1" w:styleId="TOC1Char">
    <w:name w:val="TOC 1 Char"/>
    <w:basedOn w:val="DefaultParagraphFont"/>
    <w:link w:val="TOC1"/>
    <w:uiPriority w:val="39"/>
    <w:rsid w:val="002B1876"/>
    <w:rPr>
      <w:rFonts w:ascii="Arial" w:eastAsiaTheme="minorEastAsia" w:hAnsi="Arial"/>
      <w:b/>
      <w:bCs/>
      <w:szCs w:val="20"/>
      <w:lang w:val="en-US" w:bidi="en-US"/>
    </w:rPr>
  </w:style>
  <w:style w:type="character" w:customStyle="1" w:styleId="FiguresChar">
    <w:name w:val="Figures Char"/>
    <w:basedOn w:val="TOC1Char"/>
    <w:link w:val="Figures"/>
    <w:rsid w:val="0059608E"/>
    <w:rPr>
      <w:rFonts w:ascii="Arial" w:eastAsiaTheme="minorEastAsia" w:hAnsi="Arial"/>
      <w:b/>
      <w:bCs/>
      <w:sz w:val="18"/>
      <w:szCs w:val="20"/>
      <w:lang w:val="en-US" w:bidi="en-US"/>
    </w:rPr>
  </w:style>
  <w:style w:type="table" w:styleId="MediumShading1">
    <w:name w:val="Medium Shading 1"/>
    <w:basedOn w:val="TableNormal"/>
    <w:uiPriority w:val="63"/>
    <w:rsid w:val="0059608E"/>
    <w:rPr>
      <w:rFonts w:eastAsiaTheme="minorEastAsia"/>
      <w:lang w:val="en-US" w:bidi="en-US"/>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59608E"/>
    <w:rPr>
      <w:rFonts w:eastAsiaTheme="minorEastAsia"/>
      <w:lang w:val="en-US" w:bidi="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TableGrid1">
    <w:name w:val="Table Grid1"/>
    <w:basedOn w:val="TableNormal"/>
    <w:next w:val="TableGrid"/>
    <w:rsid w:val="0059608E"/>
    <w:pPr>
      <w:ind w:firstLine="0"/>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59608E"/>
  </w:style>
  <w:style w:type="paragraph" w:customStyle="1" w:styleId="EndNoteBibliographyTitle">
    <w:name w:val="EndNote Bibliography Title"/>
    <w:basedOn w:val="Normal"/>
    <w:link w:val="EndNoteBibliographyTitleChar"/>
    <w:rsid w:val="0059608E"/>
    <w:pPr>
      <w:jc w:val="center"/>
    </w:pPr>
    <w:rPr>
      <w:rFonts w:cs="Arial"/>
      <w:noProof/>
    </w:rPr>
  </w:style>
  <w:style w:type="character" w:customStyle="1" w:styleId="ListParagraphChar">
    <w:name w:val="List Paragraph Char"/>
    <w:aliases w:val="DDM Gen Text Char,List Paragraph1 Char,Dot pt Char,NFP GP Bulleted List Char,Recommendation Char,List Paragraph11 Char,1 heading Char,Bullet point Char,L Char,bullet point list Char,Dot point 1.5 line spacing Char,Rec para Char"/>
    <w:basedOn w:val="DefaultParagraphFont"/>
    <w:link w:val="ListParagraph"/>
    <w:uiPriority w:val="34"/>
    <w:qFormat/>
    <w:rsid w:val="0059608E"/>
    <w:rPr>
      <w:rFonts w:ascii="Arial" w:eastAsiaTheme="minorEastAsia" w:hAnsi="Arial"/>
      <w:lang w:val="en-US" w:bidi="en-US"/>
    </w:rPr>
  </w:style>
  <w:style w:type="character" w:customStyle="1" w:styleId="EndNoteBibliographyTitleChar">
    <w:name w:val="EndNote Bibliography Title Char"/>
    <w:basedOn w:val="ListParagraphChar"/>
    <w:link w:val="EndNoteBibliographyTitle"/>
    <w:rsid w:val="0059608E"/>
    <w:rPr>
      <w:rFonts w:ascii="Arial" w:eastAsiaTheme="minorEastAsia" w:hAnsi="Arial" w:cs="Arial"/>
      <w:noProof/>
      <w:lang w:val="en-US" w:bidi="en-US"/>
    </w:rPr>
  </w:style>
  <w:style w:type="paragraph" w:customStyle="1" w:styleId="EndNoteBibliography">
    <w:name w:val="EndNote Bibliography"/>
    <w:basedOn w:val="Normal"/>
    <w:link w:val="EndNoteBibliographyChar"/>
    <w:rsid w:val="0059608E"/>
    <w:rPr>
      <w:rFonts w:cs="Arial"/>
      <w:noProof/>
    </w:rPr>
  </w:style>
  <w:style w:type="character" w:customStyle="1" w:styleId="EndNoteBibliographyChar">
    <w:name w:val="EndNote Bibliography Char"/>
    <w:basedOn w:val="ListParagraphChar"/>
    <w:link w:val="EndNoteBibliography"/>
    <w:rsid w:val="0059608E"/>
    <w:rPr>
      <w:rFonts w:ascii="Arial" w:eastAsiaTheme="minorEastAsia" w:hAnsi="Arial" w:cs="Arial"/>
      <w:noProof/>
      <w:lang w:val="en-US" w:bidi="en-US"/>
    </w:rPr>
  </w:style>
  <w:style w:type="paragraph" w:customStyle="1" w:styleId="Infopage">
    <w:name w:val="Info page"/>
    <w:basedOn w:val="Normal"/>
    <w:uiPriority w:val="99"/>
    <w:rsid w:val="00461163"/>
    <w:pPr>
      <w:spacing w:after="120"/>
    </w:pPr>
    <w:rPr>
      <w:rFonts w:ascii="Arial Narrow" w:eastAsia="Times New Roman" w:hAnsi="Arial Narrow" w:cs="Times New Roman"/>
      <w:lang w:val="en-GB" w:bidi="ar-SA"/>
    </w:rPr>
  </w:style>
  <w:style w:type="paragraph" w:customStyle="1" w:styleId="Headers">
    <w:name w:val="Headers"/>
    <w:basedOn w:val="Normal"/>
    <w:link w:val="HeadersChar"/>
    <w:qFormat/>
    <w:rsid w:val="00DF61BF"/>
    <w:pPr>
      <w:spacing w:before="120" w:after="360"/>
      <w:jc w:val="center"/>
    </w:pPr>
    <w:rPr>
      <w:rFonts w:eastAsia="Times New Roman" w:cs="Arial"/>
      <w:b/>
      <w:color w:val="0070C0"/>
      <w:sz w:val="36"/>
      <w:szCs w:val="36"/>
      <w:lang w:val="en-AU" w:bidi="ar-SA"/>
    </w:rPr>
  </w:style>
  <w:style w:type="character" w:customStyle="1" w:styleId="HeadersChar">
    <w:name w:val="Headers Char"/>
    <w:basedOn w:val="DefaultParagraphFont"/>
    <w:link w:val="Headers"/>
    <w:rsid w:val="00DF61BF"/>
    <w:rPr>
      <w:rFonts w:ascii="Arial" w:eastAsia="Times New Roman" w:hAnsi="Arial" w:cs="Arial"/>
      <w:b/>
      <w:color w:val="0070C0"/>
      <w:sz w:val="36"/>
      <w:szCs w:val="36"/>
    </w:rPr>
  </w:style>
  <w:style w:type="character" w:customStyle="1" w:styleId="Heading2Char1">
    <w:name w:val="Heading 2 Char1"/>
    <w:aliases w:val="h2 Char1,2nd Level Heading Char1"/>
    <w:basedOn w:val="DefaultParagraphFont"/>
    <w:uiPriority w:val="99"/>
    <w:rsid w:val="004E0EF8"/>
    <w:rPr>
      <w:rFonts w:ascii="Arial" w:eastAsiaTheme="majorEastAsia" w:hAnsi="Arial" w:cstheme="majorBidi"/>
      <w:b/>
      <w:bCs/>
      <w:sz w:val="26"/>
      <w:szCs w:val="26"/>
    </w:rPr>
  </w:style>
  <w:style w:type="paragraph" w:customStyle="1" w:styleId="Heading30">
    <w:name w:val="Heading3"/>
    <w:basedOn w:val="Heading3"/>
    <w:qFormat/>
    <w:rsid w:val="00494403"/>
    <w:pPr>
      <w:keepNext/>
      <w:numPr>
        <w:ilvl w:val="0"/>
        <w:numId w:val="0"/>
      </w:numPr>
      <w:tabs>
        <w:tab w:val="left" w:pos="1260"/>
      </w:tabs>
      <w:spacing w:before="120" w:after="120"/>
    </w:pPr>
    <w:rPr>
      <w:rFonts w:eastAsia="SimSun" w:cs="Arial"/>
      <w:i/>
      <w:lang w:val="en-AU" w:eastAsia="en-US" w:bidi="ar-SA"/>
    </w:rPr>
  </w:style>
  <w:style w:type="character" w:customStyle="1" w:styleId="Mention1">
    <w:name w:val="Mention1"/>
    <w:basedOn w:val="DefaultParagraphFont"/>
    <w:uiPriority w:val="99"/>
    <w:semiHidden/>
    <w:unhideWhenUsed/>
    <w:rsid w:val="00935C61"/>
    <w:rPr>
      <w:color w:val="2B579A"/>
      <w:shd w:val="clear" w:color="auto" w:fill="E6E6E6"/>
    </w:rPr>
  </w:style>
  <w:style w:type="character" w:styleId="PlaceholderText">
    <w:name w:val="Placeholder Text"/>
    <w:basedOn w:val="DefaultParagraphFont"/>
    <w:uiPriority w:val="99"/>
    <w:semiHidden/>
    <w:rsid w:val="00293D1F"/>
    <w:rPr>
      <w:color w:val="808080"/>
    </w:rPr>
  </w:style>
  <w:style w:type="numbering" w:customStyle="1" w:styleId="Style1">
    <w:name w:val="Style1"/>
    <w:uiPriority w:val="99"/>
    <w:rsid w:val="003E1F60"/>
    <w:pPr>
      <w:numPr>
        <w:numId w:val="7"/>
      </w:numPr>
    </w:pPr>
  </w:style>
  <w:style w:type="character" w:customStyle="1" w:styleId="Mention2">
    <w:name w:val="Mention2"/>
    <w:basedOn w:val="DefaultParagraphFont"/>
    <w:uiPriority w:val="99"/>
    <w:semiHidden/>
    <w:unhideWhenUsed/>
    <w:rsid w:val="00A3174F"/>
    <w:rPr>
      <w:color w:val="2B579A"/>
      <w:shd w:val="clear" w:color="auto" w:fill="E6E6E6"/>
    </w:rPr>
  </w:style>
  <w:style w:type="character" w:customStyle="1" w:styleId="apple-converted-space">
    <w:name w:val="apple-converted-space"/>
    <w:basedOn w:val="DefaultParagraphFont"/>
    <w:rsid w:val="004011C4"/>
  </w:style>
  <w:style w:type="paragraph" w:styleId="FootnoteText">
    <w:name w:val="footnote text"/>
    <w:basedOn w:val="Normal"/>
    <w:link w:val="FootnoteTextChar"/>
    <w:uiPriority w:val="99"/>
    <w:semiHidden/>
    <w:unhideWhenUsed/>
    <w:rsid w:val="00B01D70"/>
    <w:rPr>
      <w:sz w:val="20"/>
      <w:szCs w:val="20"/>
    </w:rPr>
  </w:style>
  <w:style w:type="character" w:customStyle="1" w:styleId="FootnoteTextChar">
    <w:name w:val="Footnote Text Char"/>
    <w:basedOn w:val="DefaultParagraphFont"/>
    <w:link w:val="FootnoteText"/>
    <w:uiPriority w:val="99"/>
    <w:semiHidden/>
    <w:rsid w:val="00B01D70"/>
    <w:rPr>
      <w:rFonts w:ascii="Arial" w:eastAsiaTheme="minorEastAsia" w:hAnsi="Arial"/>
      <w:sz w:val="20"/>
      <w:szCs w:val="20"/>
      <w:lang w:val="en-US" w:bidi="en-US"/>
    </w:rPr>
  </w:style>
  <w:style w:type="character" w:styleId="FootnoteReference">
    <w:name w:val="footnote reference"/>
    <w:basedOn w:val="DefaultParagraphFont"/>
    <w:uiPriority w:val="99"/>
    <w:unhideWhenUsed/>
    <w:rsid w:val="00B01D70"/>
    <w:rPr>
      <w:vertAlign w:val="superscript"/>
    </w:rPr>
  </w:style>
  <w:style w:type="character" w:customStyle="1" w:styleId="UnresolvedMention1">
    <w:name w:val="Unresolved Mention1"/>
    <w:basedOn w:val="DefaultParagraphFont"/>
    <w:uiPriority w:val="99"/>
    <w:semiHidden/>
    <w:unhideWhenUsed/>
    <w:rsid w:val="009D4492"/>
    <w:rPr>
      <w:color w:val="808080"/>
      <w:shd w:val="clear" w:color="auto" w:fill="E6E6E6"/>
    </w:rPr>
  </w:style>
  <w:style w:type="character" w:customStyle="1" w:styleId="UnresolvedMention2">
    <w:name w:val="Unresolved Mention2"/>
    <w:basedOn w:val="DefaultParagraphFont"/>
    <w:uiPriority w:val="99"/>
    <w:semiHidden/>
    <w:unhideWhenUsed/>
    <w:rsid w:val="002F5237"/>
    <w:rPr>
      <w:color w:val="808080"/>
      <w:shd w:val="clear" w:color="auto" w:fill="E6E6E6"/>
    </w:rPr>
  </w:style>
  <w:style w:type="character" w:customStyle="1" w:styleId="UnresolvedMention3">
    <w:name w:val="Unresolved Mention3"/>
    <w:basedOn w:val="DefaultParagraphFont"/>
    <w:uiPriority w:val="99"/>
    <w:semiHidden/>
    <w:unhideWhenUsed/>
    <w:rsid w:val="00B510DB"/>
    <w:rPr>
      <w:color w:val="808080"/>
      <w:shd w:val="clear" w:color="auto" w:fill="E6E6E6"/>
    </w:rPr>
  </w:style>
  <w:style w:type="paragraph" w:customStyle="1" w:styleId="Figure">
    <w:name w:val="Figure"/>
    <w:basedOn w:val="Normal"/>
    <w:link w:val="FigureChar"/>
    <w:qFormat/>
    <w:rsid w:val="00732158"/>
    <w:pPr>
      <w:spacing w:before="120" w:after="120"/>
    </w:pPr>
    <w:rPr>
      <w:rFonts w:eastAsia="Times New Roman" w:cs="Times New Roman"/>
      <w:sz w:val="18"/>
      <w:szCs w:val="20"/>
      <w:lang w:val="en-GB" w:bidi="ar-SA"/>
    </w:rPr>
  </w:style>
  <w:style w:type="character" w:customStyle="1" w:styleId="FigureChar">
    <w:name w:val="Figure Char"/>
    <w:link w:val="Figure"/>
    <w:locked/>
    <w:rsid w:val="00732158"/>
    <w:rPr>
      <w:rFonts w:ascii="Arial" w:eastAsia="Times New Roman" w:hAnsi="Arial" w:cs="Times New Roman"/>
      <w:sz w:val="18"/>
      <w:szCs w:val="20"/>
      <w:lang w:val="en-GB"/>
    </w:rPr>
  </w:style>
  <w:style w:type="character" w:customStyle="1" w:styleId="UnresolvedMention4">
    <w:name w:val="Unresolved Mention4"/>
    <w:basedOn w:val="DefaultParagraphFont"/>
    <w:uiPriority w:val="99"/>
    <w:semiHidden/>
    <w:unhideWhenUsed/>
    <w:rsid w:val="008C7694"/>
    <w:rPr>
      <w:color w:val="808080"/>
      <w:shd w:val="clear" w:color="auto" w:fill="E6E6E6"/>
    </w:rPr>
  </w:style>
  <w:style w:type="character" w:customStyle="1" w:styleId="UnresolvedMention">
    <w:name w:val="Unresolved Mention"/>
    <w:basedOn w:val="DefaultParagraphFont"/>
    <w:uiPriority w:val="99"/>
    <w:semiHidden/>
    <w:unhideWhenUsed/>
    <w:rsid w:val="00B33845"/>
    <w:rPr>
      <w:color w:val="808080"/>
      <w:shd w:val="clear" w:color="auto" w:fill="E6E6E6"/>
    </w:rPr>
  </w:style>
  <w:style w:type="paragraph" w:customStyle="1" w:styleId="WWFBullets">
    <w:name w:val="WWF Bullets"/>
    <w:basedOn w:val="Normal"/>
    <w:qFormat/>
    <w:rsid w:val="00934BE7"/>
    <w:pPr>
      <w:widowControl w:val="0"/>
      <w:numPr>
        <w:numId w:val="11"/>
      </w:numPr>
      <w:autoSpaceDE w:val="0"/>
      <w:autoSpaceDN w:val="0"/>
      <w:adjustRightInd w:val="0"/>
      <w:spacing w:before="120" w:after="60"/>
      <w:jc w:val="left"/>
    </w:pPr>
    <w:rPr>
      <w:rFonts w:ascii="Georgia" w:eastAsia="Times New Roman" w:hAnsi="Georgia" w:cs="Times New Roman"/>
      <w:sz w:val="20"/>
      <w:szCs w:val="20"/>
      <w:lang w:val="en-IE" w:eastAsia="en-IE" w:bidi="ar-SA"/>
    </w:rPr>
  </w:style>
  <w:style w:type="character" w:customStyle="1" w:styleId="IntenseReference1">
    <w:name w:val="Intense Reference1"/>
    <w:uiPriority w:val="32"/>
    <w:qFormat/>
    <w:rsid w:val="00934BE7"/>
    <w:rPr>
      <w:b/>
      <w:bCs/>
      <w:smallCaps/>
      <w:color w:val="C0504D"/>
      <w:spacing w:val="5"/>
      <w:u w:val="single"/>
    </w:rPr>
  </w:style>
  <w:style w:type="paragraph" w:customStyle="1" w:styleId="WWFBodytext">
    <w:name w:val="WWF Body text"/>
    <w:basedOn w:val="Normal"/>
    <w:next w:val="BodyText"/>
    <w:qFormat/>
    <w:rsid w:val="00934BE7"/>
    <w:pPr>
      <w:tabs>
        <w:tab w:val="left" w:pos="426"/>
      </w:tabs>
      <w:spacing w:after="120" w:line="300" w:lineRule="auto"/>
      <w:jc w:val="left"/>
    </w:pPr>
    <w:rPr>
      <w:rFonts w:ascii="Georgia" w:eastAsia="Times New Roman" w:hAnsi="Georgia" w:cs="Times New Roman"/>
      <w:sz w:val="20"/>
      <w:szCs w:val="20"/>
      <w:lang w:val="en-IE" w:eastAsia="en-IE" w:bidi="ar-SA"/>
    </w:rPr>
  </w:style>
  <w:style w:type="paragraph" w:styleId="BodyText">
    <w:name w:val="Body Text"/>
    <w:basedOn w:val="Normal"/>
    <w:link w:val="BodyTextChar"/>
    <w:uiPriority w:val="99"/>
    <w:semiHidden/>
    <w:unhideWhenUsed/>
    <w:rsid w:val="00934BE7"/>
    <w:pPr>
      <w:spacing w:after="120"/>
      <w:jc w:val="left"/>
    </w:pPr>
    <w:rPr>
      <w:rFonts w:ascii="Times New Roman" w:eastAsia="Times New Roman" w:hAnsi="Times New Roman" w:cs="Times New Roman"/>
      <w:sz w:val="24"/>
      <w:szCs w:val="24"/>
      <w:lang w:val="en-IE" w:eastAsia="en-IE" w:bidi="ar-SA"/>
    </w:rPr>
  </w:style>
  <w:style w:type="character" w:customStyle="1" w:styleId="BodyTextChar">
    <w:name w:val="Body Text Char"/>
    <w:basedOn w:val="DefaultParagraphFont"/>
    <w:link w:val="BodyText"/>
    <w:uiPriority w:val="99"/>
    <w:semiHidden/>
    <w:rsid w:val="00934BE7"/>
    <w:rPr>
      <w:rFonts w:ascii="Times New Roman" w:eastAsia="Times New Roman" w:hAnsi="Times New Roman" w:cs="Times New Roman"/>
      <w:sz w:val="24"/>
      <w:szCs w:val="24"/>
      <w:lang w:val="en-IE" w:eastAsia="en-IE"/>
    </w:rPr>
  </w:style>
  <w:style w:type="character" w:customStyle="1" w:styleId="IntenseEmphasis1">
    <w:name w:val="Intense Emphasis1"/>
    <w:uiPriority w:val="21"/>
    <w:qFormat/>
    <w:rsid w:val="00934BE7"/>
    <w:rPr>
      <w:b/>
      <w:bCs/>
      <w:i/>
      <w:iCs/>
      <w:color w:val="4F81BD"/>
    </w:rPr>
  </w:style>
  <w:style w:type="character" w:customStyle="1" w:styleId="BookTitle1">
    <w:name w:val="Book Title1"/>
    <w:uiPriority w:val="33"/>
    <w:qFormat/>
    <w:rsid w:val="00934BE7"/>
    <w:rPr>
      <w:b/>
      <w:bCs/>
      <w:smallCaps/>
      <w:spacing w:val="5"/>
    </w:rPr>
  </w:style>
  <w:style w:type="paragraph" w:customStyle="1" w:styleId="MediumGrid1-Accent21">
    <w:name w:val="Medium Grid 1 - Accent 21"/>
    <w:basedOn w:val="Normal"/>
    <w:uiPriority w:val="34"/>
    <w:qFormat/>
    <w:rsid w:val="00934BE7"/>
    <w:pPr>
      <w:ind w:left="720"/>
      <w:jc w:val="left"/>
    </w:pPr>
    <w:rPr>
      <w:rFonts w:ascii="Times New Roman" w:eastAsia="Times New Roman" w:hAnsi="Times New Roman" w:cs="Times New Roman"/>
      <w:sz w:val="24"/>
      <w:szCs w:val="24"/>
      <w:lang w:val="en-IE" w:eastAsia="en-IE" w:bidi="ar-SA"/>
    </w:rPr>
  </w:style>
  <w:style w:type="paragraph" w:customStyle="1" w:styleId="WWFSubtitle">
    <w:name w:val="WWF Subtitle"/>
    <w:basedOn w:val="Normal"/>
    <w:autoRedefine/>
    <w:qFormat/>
    <w:rsid w:val="00934BE7"/>
    <w:pPr>
      <w:spacing w:before="240" w:after="200" w:line="276" w:lineRule="auto"/>
      <w:ind w:hanging="11"/>
      <w:contextualSpacing/>
      <w:outlineLvl w:val="2"/>
    </w:pPr>
    <w:rPr>
      <w:rFonts w:ascii="Times New Roman" w:eastAsia="Times New Roman" w:hAnsi="Times New Roman" w:cs="Times New Roman"/>
      <w:b/>
      <w:sz w:val="24"/>
      <w:szCs w:val="20"/>
      <w:lang w:val="en-IE" w:eastAsia="en-IE" w:bidi="ar-SA"/>
    </w:rPr>
  </w:style>
  <w:style w:type="paragraph" w:customStyle="1" w:styleId="WWFPageTitle">
    <w:name w:val="WWF Page Title"/>
    <w:basedOn w:val="Normal"/>
    <w:qFormat/>
    <w:rsid w:val="00934BE7"/>
    <w:pPr>
      <w:tabs>
        <w:tab w:val="left" w:pos="4000"/>
      </w:tabs>
      <w:spacing w:line="720" w:lineRule="exact"/>
      <w:jc w:val="left"/>
    </w:pPr>
    <w:rPr>
      <w:rFonts w:ascii="WWF" w:eastAsia="Times New Roman" w:hAnsi="WWF" w:cs="Times New Roman"/>
      <w:caps/>
      <w:noProof/>
      <w:color w:val="41B3DC"/>
      <w:sz w:val="64"/>
      <w:szCs w:val="64"/>
      <w:lang w:val="en-IE" w:eastAsia="en-IE" w:bidi="ar-SA"/>
    </w:rPr>
  </w:style>
  <w:style w:type="paragraph" w:customStyle="1" w:styleId="WWFChaptertitle">
    <w:name w:val="WWF Chapter title"/>
    <w:basedOn w:val="Normal"/>
    <w:qFormat/>
    <w:rsid w:val="00934BE7"/>
    <w:pPr>
      <w:spacing w:after="100" w:afterAutospacing="1" w:line="740" w:lineRule="exact"/>
      <w:jc w:val="left"/>
    </w:pPr>
    <w:rPr>
      <w:rFonts w:ascii="WWF" w:eastAsia="Times New Roman" w:hAnsi="WWF" w:cs="Times New Roman"/>
      <w:caps/>
      <w:noProof/>
      <w:color w:val="005469"/>
      <w:sz w:val="80"/>
      <w:szCs w:val="80"/>
      <w:lang w:val="en-IE" w:eastAsia="en-IE" w:bidi="ar-SA"/>
    </w:rPr>
  </w:style>
  <w:style w:type="paragraph" w:customStyle="1" w:styleId="Arialsubtitle">
    <w:name w:val="Arial subtitle"/>
    <w:basedOn w:val="WWFBodytext"/>
    <w:qFormat/>
    <w:rsid w:val="00934BE7"/>
    <w:pPr>
      <w:tabs>
        <w:tab w:val="left" w:pos="284"/>
      </w:tabs>
    </w:pPr>
    <w:rPr>
      <w:b/>
      <w:sz w:val="22"/>
      <w:szCs w:val="22"/>
    </w:rPr>
  </w:style>
  <w:style w:type="paragraph" w:customStyle="1" w:styleId="WWFStandfirst-intro">
    <w:name w:val="WWF Standfirst-intro"/>
    <w:basedOn w:val="Normal"/>
    <w:qFormat/>
    <w:rsid w:val="00934BE7"/>
    <w:pPr>
      <w:tabs>
        <w:tab w:val="left" w:pos="3912"/>
        <w:tab w:val="left" w:pos="3969"/>
      </w:tabs>
      <w:spacing w:before="60" w:after="120" w:line="300" w:lineRule="auto"/>
      <w:jc w:val="left"/>
    </w:pPr>
    <w:rPr>
      <w:rFonts w:ascii="Georgia" w:eastAsia="Times New Roman" w:hAnsi="Georgia" w:cs="Times New Roman"/>
      <w:noProof/>
      <w:color w:val="63BDD4"/>
      <w:sz w:val="28"/>
      <w:szCs w:val="28"/>
      <w:lang w:bidi="ar-SA"/>
    </w:rPr>
  </w:style>
  <w:style w:type="paragraph" w:customStyle="1" w:styleId="Photocopyright-citation">
    <w:name w:val="Photo copyright-citation"/>
    <w:basedOn w:val="Normal"/>
    <w:qFormat/>
    <w:rsid w:val="00934BE7"/>
    <w:pPr>
      <w:spacing w:line="2880" w:lineRule="auto"/>
      <w:jc w:val="left"/>
    </w:pPr>
    <w:rPr>
      <w:rFonts w:eastAsia="Times New Roman" w:cs="Arial"/>
      <w:caps/>
      <w:sz w:val="12"/>
      <w:szCs w:val="12"/>
      <w:lang w:val="en-IE" w:eastAsia="en-IE" w:bidi="ar-SA"/>
    </w:rPr>
  </w:style>
  <w:style w:type="paragraph" w:customStyle="1" w:styleId="WWFGeorgiasub">
    <w:name w:val="WWF Georgia sub"/>
    <w:basedOn w:val="WWFBodytext"/>
    <w:qFormat/>
    <w:rsid w:val="00934BE7"/>
    <w:pPr>
      <w:tabs>
        <w:tab w:val="left" w:pos="284"/>
      </w:tabs>
    </w:pPr>
    <w:rPr>
      <w:b/>
      <w:sz w:val="22"/>
      <w:szCs w:val="22"/>
    </w:rPr>
  </w:style>
  <w:style w:type="paragraph" w:customStyle="1" w:styleId="WWFBodyBold">
    <w:name w:val="WWF Body Bold"/>
    <w:basedOn w:val="WWFBodytext"/>
    <w:qFormat/>
    <w:rsid w:val="00934BE7"/>
    <w:rPr>
      <w:b/>
    </w:rPr>
  </w:style>
  <w:style w:type="paragraph" w:customStyle="1" w:styleId="WWFArialSubhead">
    <w:name w:val="WWF Arial Subhead"/>
    <w:basedOn w:val="WWFGeorgiasub"/>
    <w:qFormat/>
    <w:rsid w:val="00934BE7"/>
    <w:rPr>
      <w:rFonts w:ascii="Arial" w:hAnsi="Arial"/>
      <w:bCs/>
      <w:szCs w:val="20"/>
    </w:rPr>
  </w:style>
  <w:style w:type="paragraph" w:customStyle="1" w:styleId="WWFinfographichere">
    <w:name w:val="WWF infographic here"/>
    <w:basedOn w:val="Normal"/>
    <w:qFormat/>
    <w:rsid w:val="00934BE7"/>
    <w:pPr>
      <w:spacing w:line="204" w:lineRule="auto"/>
      <w:jc w:val="left"/>
    </w:pPr>
    <w:rPr>
      <w:rFonts w:ascii="WWF" w:eastAsia="Times New Roman" w:hAnsi="WWF" w:cs="Times New Roman"/>
      <w:caps/>
      <w:color w:val="005469"/>
      <w:sz w:val="32"/>
      <w:szCs w:val="32"/>
      <w:lang w:val="en-IE" w:eastAsia="en-IE" w:bidi="ar-SA"/>
    </w:rPr>
  </w:style>
  <w:style w:type="paragraph" w:customStyle="1" w:styleId="TOCHeading1">
    <w:name w:val="TOC Heading1"/>
    <w:basedOn w:val="Heading1"/>
    <w:next w:val="Normal"/>
    <w:uiPriority w:val="39"/>
    <w:semiHidden/>
    <w:unhideWhenUsed/>
    <w:qFormat/>
    <w:rsid w:val="00934BE7"/>
    <w:pPr>
      <w:keepLines/>
      <w:spacing w:before="480" w:after="0"/>
      <w:outlineLvl w:val="9"/>
    </w:pPr>
    <w:rPr>
      <w:rFonts w:ascii="Cambria" w:hAnsi="Cambria" w:cs="Times New Roman"/>
      <w:caps/>
      <w:color w:val="365F91"/>
      <w:sz w:val="28"/>
      <w:lang w:val="en-US" w:eastAsia="ja-JP"/>
    </w:rPr>
  </w:style>
  <w:style w:type="paragraph" w:customStyle="1" w:styleId="WWFContents-ChapterHeading">
    <w:name w:val="WWF Contents - Chapter Heading"/>
    <w:basedOn w:val="Normal"/>
    <w:qFormat/>
    <w:rsid w:val="00934BE7"/>
    <w:pPr>
      <w:tabs>
        <w:tab w:val="left" w:pos="426"/>
      </w:tabs>
      <w:spacing w:before="240" w:after="120" w:line="300" w:lineRule="auto"/>
      <w:jc w:val="left"/>
    </w:pPr>
    <w:rPr>
      <w:rFonts w:ascii="Georgia" w:eastAsia="Calibri" w:hAnsi="Georgia" w:cs="Times New Roman"/>
      <w:b/>
      <w:bCs/>
      <w:lang w:val="en-AU" w:bidi="ar-SA"/>
    </w:rPr>
  </w:style>
  <w:style w:type="paragraph" w:customStyle="1" w:styleId="WWFContents-Subheadings">
    <w:name w:val="WWF Contents - Subheadings"/>
    <w:basedOn w:val="Normal"/>
    <w:qFormat/>
    <w:rsid w:val="00934BE7"/>
    <w:pPr>
      <w:tabs>
        <w:tab w:val="left" w:pos="426"/>
        <w:tab w:val="right" w:pos="9214"/>
      </w:tabs>
      <w:spacing w:after="120"/>
      <w:ind w:right="3402"/>
      <w:jc w:val="left"/>
    </w:pPr>
    <w:rPr>
      <w:rFonts w:ascii="Georgia" w:eastAsia="Calibri" w:hAnsi="Georgia" w:cs="Times New Roman"/>
      <w:sz w:val="20"/>
      <w:szCs w:val="20"/>
      <w:lang w:val="en-AU" w:bidi="ar-SA"/>
    </w:rPr>
  </w:style>
  <w:style w:type="paragraph" w:customStyle="1" w:styleId="WWFContents-Figures-graphs-maps">
    <w:name w:val="WWF Contents - Figures-graphs-maps"/>
    <w:basedOn w:val="WWFContents-ChapterHeading"/>
    <w:qFormat/>
    <w:rsid w:val="00934BE7"/>
  </w:style>
  <w:style w:type="paragraph" w:customStyle="1" w:styleId="WWFContents-SubFigures-graphs-maps">
    <w:name w:val="WWF Contents - Sub_Figures-graphs-maps"/>
    <w:basedOn w:val="WWFContents-Subheadings"/>
    <w:qFormat/>
    <w:rsid w:val="00934BE7"/>
  </w:style>
  <w:style w:type="paragraph" w:customStyle="1" w:styleId="ColorfulList-Accent11">
    <w:name w:val="Colorful List - Accent 11"/>
    <w:basedOn w:val="Normal"/>
    <w:uiPriority w:val="34"/>
    <w:qFormat/>
    <w:rsid w:val="00934BE7"/>
    <w:pPr>
      <w:spacing w:after="200" w:line="276" w:lineRule="auto"/>
      <w:ind w:left="720"/>
      <w:contextualSpacing/>
      <w:jc w:val="left"/>
    </w:pPr>
    <w:rPr>
      <w:rFonts w:ascii="Calibri" w:eastAsia="Calibri" w:hAnsi="Calibri" w:cs="Times New Roman"/>
      <w:lang w:val="en-AU" w:bidi="ar-SA"/>
    </w:rPr>
  </w:style>
  <w:style w:type="table" w:customStyle="1" w:styleId="TableGrid3">
    <w:name w:val="Table Grid3"/>
    <w:basedOn w:val="TableNormal"/>
    <w:next w:val="TableGrid"/>
    <w:rsid w:val="00E22333"/>
    <w:pPr>
      <w:ind w:firstLine="0"/>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244918">
      <w:bodyDiv w:val="1"/>
      <w:marLeft w:val="0"/>
      <w:marRight w:val="0"/>
      <w:marTop w:val="0"/>
      <w:marBottom w:val="0"/>
      <w:divBdr>
        <w:top w:val="none" w:sz="0" w:space="0" w:color="auto"/>
        <w:left w:val="none" w:sz="0" w:space="0" w:color="auto"/>
        <w:bottom w:val="none" w:sz="0" w:space="0" w:color="auto"/>
        <w:right w:val="none" w:sz="0" w:space="0" w:color="auto"/>
      </w:divBdr>
    </w:div>
    <w:div w:id="175971645">
      <w:bodyDiv w:val="1"/>
      <w:marLeft w:val="0"/>
      <w:marRight w:val="0"/>
      <w:marTop w:val="0"/>
      <w:marBottom w:val="0"/>
      <w:divBdr>
        <w:top w:val="none" w:sz="0" w:space="0" w:color="auto"/>
        <w:left w:val="none" w:sz="0" w:space="0" w:color="auto"/>
        <w:bottom w:val="none" w:sz="0" w:space="0" w:color="auto"/>
        <w:right w:val="none" w:sz="0" w:space="0" w:color="auto"/>
      </w:divBdr>
    </w:div>
    <w:div w:id="206072420">
      <w:bodyDiv w:val="1"/>
      <w:marLeft w:val="0"/>
      <w:marRight w:val="0"/>
      <w:marTop w:val="0"/>
      <w:marBottom w:val="0"/>
      <w:divBdr>
        <w:top w:val="none" w:sz="0" w:space="0" w:color="auto"/>
        <w:left w:val="none" w:sz="0" w:space="0" w:color="auto"/>
        <w:bottom w:val="none" w:sz="0" w:space="0" w:color="auto"/>
        <w:right w:val="none" w:sz="0" w:space="0" w:color="auto"/>
      </w:divBdr>
    </w:div>
    <w:div w:id="228732834">
      <w:bodyDiv w:val="1"/>
      <w:marLeft w:val="0"/>
      <w:marRight w:val="0"/>
      <w:marTop w:val="0"/>
      <w:marBottom w:val="0"/>
      <w:divBdr>
        <w:top w:val="none" w:sz="0" w:space="0" w:color="auto"/>
        <w:left w:val="none" w:sz="0" w:space="0" w:color="auto"/>
        <w:bottom w:val="none" w:sz="0" w:space="0" w:color="auto"/>
        <w:right w:val="none" w:sz="0" w:space="0" w:color="auto"/>
      </w:divBdr>
    </w:div>
    <w:div w:id="241985924">
      <w:bodyDiv w:val="1"/>
      <w:marLeft w:val="0"/>
      <w:marRight w:val="0"/>
      <w:marTop w:val="0"/>
      <w:marBottom w:val="0"/>
      <w:divBdr>
        <w:top w:val="none" w:sz="0" w:space="0" w:color="auto"/>
        <w:left w:val="none" w:sz="0" w:space="0" w:color="auto"/>
        <w:bottom w:val="none" w:sz="0" w:space="0" w:color="auto"/>
        <w:right w:val="none" w:sz="0" w:space="0" w:color="auto"/>
      </w:divBdr>
    </w:div>
    <w:div w:id="273757725">
      <w:bodyDiv w:val="1"/>
      <w:marLeft w:val="0"/>
      <w:marRight w:val="0"/>
      <w:marTop w:val="0"/>
      <w:marBottom w:val="0"/>
      <w:divBdr>
        <w:top w:val="none" w:sz="0" w:space="0" w:color="auto"/>
        <w:left w:val="none" w:sz="0" w:space="0" w:color="auto"/>
        <w:bottom w:val="none" w:sz="0" w:space="0" w:color="auto"/>
        <w:right w:val="none" w:sz="0" w:space="0" w:color="auto"/>
      </w:divBdr>
    </w:div>
    <w:div w:id="348217773">
      <w:bodyDiv w:val="1"/>
      <w:marLeft w:val="0"/>
      <w:marRight w:val="0"/>
      <w:marTop w:val="0"/>
      <w:marBottom w:val="0"/>
      <w:divBdr>
        <w:top w:val="none" w:sz="0" w:space="0" w:color="auto"/>
        <w:left w:val="none" w:sz="0" w:space="0" w:color="auto"/>
        <w:bottom w:val="none" w:sz="0" w:space="0" w:color="auto"/>
        <w:right w:val="none" w:sz="0" w:space="0" w:color="auto"/>
      </w:divBdr>
    </w:div>
    <w:div w:id="400762376">
      <w:bodyDiv w:val="1"/>
      <w:marLeft w:val="0"/>
      <w:marRight w:val="0"/>
      <w:marTop w:val="0"/>
      <w:marBottom w:val="0"/>
      <w:divBdr>
        <w:top w:val="none" w:sz="0" w:space="0" w:color="auto"/>
        <w:left w:val="none" w:sz="0" w:space="0" w:color="auto"/>
        <w:bottom w:val="none" w:sz="0" w:space="0" w:color="auto"/>
        <w:right w:val="none" w:sz="0" w:space="0" w:color="auto"/>
      </w:divBdr>
    </w:div>
    <w:div w:id="420874025">
      <w:bodyDiv w:val="1"/>
      <w:marLeft w:val="0"/>
      <w:marRight w:val="0"/>
      <w:marTop w:val="0"/>
      <w:marBottom w:val="0"/>
      <w:divBdr>
        <w:top w:val="none" w:sz="0" w:space="0" w:color="auto"/>
        <w:left w:val="none" w:sz="0" w:space="0" w:color="auto"/>
        <w:bottom w:val="none" w:sz="0" w:space="0" w:color="auto"/>
        <w:right w:val="none" w:sz="0" w:space="0" w:color="auto"/>
      </w:divBdr>
    </w:div>
    <w:div w:id="438647807">
      <w:bodyDiv w:val="1"/>
      <w:marLeft w:val="0"/>
      <w:marRight w:val="0"/>
      <w:marTop w:val="0"/>
      <w:marBottom w:val="0"/>
      <w:divBdr>
        <w:top w:val="none" w:sz="0" w:space="0" w:color="auto"/>
        <w:left w:val="none" w:sz="0" w:space="0" w:color="auto"/>
        <w:bottom w:val="none" w:sz="0" w:space="0" w:color="auto"/>
        <w:right w:val="none" w:sz="0" w:space="0" w:color="auto"/>
      </w:divBdr>
    </w:div>
    <w:div w:id="503666374">
      <w:bodyDiv w:val="1"/>
      <w:marLeft w:val="0"/>
      <w:marRight w:val="0"/>
      <w:marTop w:val="0"/>
      <w:marBottom w:val="0"/>
      <w:divBdr>
        <w:top w:val="none" w:sz="0" w:space="0" w:color="auto"/>
        <w:left w:val="none" w:sz="0" w:space="0" w:color="auto"/>
        <w:bottom w:val="none" w:sz="0" w:space="0" w:color="auto"/>
        <w:right w:val="none" w:sz="0" w:space="0" w:color="auto"/>
      </w:divBdr>
    </w:div>
    <w:div w:id="512764583">
      <w:bodyDiv w:val="1"/>
      <w:marLeft w:val="0"/>
      <w:marRight w:val="0"/>
      <w:marTop w:val="0"/>
      <w:marBottom w:val="0"/>
      <w:divBdr>
        <w:top w:val="none" w:sz="0" w:space="0" w:color="auto"/>
        <w:left w:val="none" w:sz="0" w:space="0" w:color="auto"/>
        <w:bottom w:val="none" w:sz="0" w:space="0" w:color="auto"/>
        <w:right w:val="none" w:sz="0" w:space="0" w:color="auto"/>
      </w:divBdr>
    </w:div>
    <w:div w:id="526407018">
      <w:bodyDiv w:val="1"/>
      <w:marLeft w:val="0"/>
      <w:marRight w:val="0"/>
      <w:marTop w:val="0"/>
      <w:marBottom w:val="0"/>
      <w:divBdr>
        <w:top w:val="none" w:sz="0" w:space="0" w:color="auto"/>
        <w:left w:val="none" w:sz="0" w:space="0" w:color="auto"/>
        <w:bottom w:val="none" w:sz="0" w:space="0" w:color="auto"/>
        <w:right w:val="none" w:sz="0" w:space="0" w:color="auto"/>
      </w:divBdr>
    </w:div>
    <w:div w:id="700937331">
      <w:bodyDiv w:val="1"/>
      <w:marLeft w:val="0"/>
      <w:marRight w:val="0"/>
      <w:marTop w:val="0"/>
      <w:marBottom w:val="0"/>
      <w:divBdr>
        <w:top w:val="none" w:sz="0" w:space="0" w:color="auto"/>
        <w:left w:val="none" w:sz="0" w:space="0" w:color="auto"/>
        <w:bottom w:val="none" w:sz="0" w:space="0" w:color="auto"/>
        <w:right w:val="none" w:sz="0" w:space="0" w:color="auto"/>
      </w:divBdr>
    </w:div>
    <w:div w:id="722173951">
      <w:bodyDiv w:val="1"/>
      <w:marLeft w:val="0"/>
      <w:marRight w:val="0"/>
      <w:marTop w:val="0"/>
      <w:marBottom w:val="0"/>
      <w:divBdr>
        <w:top w:val="none" w:sz="0" w:space="0" w:color="auto"/>
        <w:left w:val="none" w:sz="0" w:space="0" w:color="auto"/>
        <w:bottom w:val="none" w:sz="0" w:space="0" w:color="auto"/>
        <w:right w:val="none" w:sz="0" w:space="0" w:color="auto"/>
      </w:divBdr>
    </w:div>
    <w:div w:id="724451856">
      <w:bodyDiv w:val="1"/>
      <w:marLeft w:val="0"/>
      <w:marRight w:val="0"/>
      <w:marTop w:val="0"/>
      <w:marBottom w:val="0"/>
      <w:divBdr>
        <w:top w:val="none" w:sz="0" w:space="0" w:color="auto"/>
        <w:left w:val="none" w:sz="0" w:space="0" w:color="auto"/>
        <w:bottom w:val="none" w:sz="0" w:space="0" w:color="auto"/>
        <w:right w:val="none" w:sz="0" w:space="0" w:color="auto"/>
      </w:divBdr>
      <w:divsChild>
        <w:div w:id="21244734">
          <w:marLeft w:val="0"/>
          <w:marRight w:val="0"/>
          <w:marTop w:val="0"/>
          <w:marBottom w:val="0"/>
          <w:divBdr>
            <w:top w:val="none" w:sz="0" w:space="0" w:color="auto"/>
            <w:left w:val="none" w:sz="0" w:space="0" w:color="auto"/>
            <w:bottom w:val="none" w:sz="0" w:space="0" w:color="auto"/>
            <w:right w:val="none" w:sz="0" w:space="0" w:color="auto"/>
          </w:divBdr>
          <w:divsChild>
            <w:div w:id="411508805">
              <w:marLeft w:val="0"/>
              <w:marRight w:val="0"/>
              <w:marTop w:val="0"/>
              <w:marBottom w:val="0"/>
              <w:divBdr>
                <w:top w:val="none" w:sz="0" w:space="0" w:color="auto"/>
                <w:left w:val="none" w:sz="0" w:space="0" w:color="auto"/>
                <w:bottom w:val="none" w:sz="0" w:space="0" w:color="auto"/>
                <w:right w:val="none" w:sz="0" w:space="0" w:color="auto"/>
              </w:divBdr>
            </w:div>
          </w:divsChild>
        </w:div>
        <w:div w:id="104204467">
          <w:marLeft w:val="0"/>
          <w:marRight w:val="0"/>
          <w:marTop w:val="0"/>
          <w:marBottom w:val="0"/>
          <w:divBdr>
            <w:top w:val="none" w:sz="0" w:space="0" w:color="auto"/>
            <w:left w:val="none" w:sz="0" w:space="0" w:color="auto"/>
            <w:bottom w:val="none" w:sz="0" w:space="0" w:color="auto"/>
            <w:right w:val="none" w:sz="0" w:space="0" w:color="auto"/>
          </w:divBdr>
          <w:divsChild>
            <w:div w:id="601383042">
              <w:marLeft w:val="0"/>
              <w:marRight w:val="0"/>
              <w:marTop w:val="0"/>
              <w:marBottom w:val="0"/>
              <w:divBdr>
                <w:top w:val="none" w:sz="0" w:space="0" w:color="auto"/>
                <w:left w:val="none" w:sz="0" w:space="0" w:color="auto"/>
                <w:bottom w:val="none" w:sz="0" w:space="0" w:color="auto"/>
                <w:right w:val="none" w:sz="0" w:space="0" w:color="auto"/>
              </w:divBdr>
            </w:div>
          </w:divsChild>
        </w:div>
        <w:div w:id="280839347">
          <w:marLeft w:val="0"/>
          <w:marRight w:val="0"/>
          <w:marTop w:val="0"/>
          <w:marBottom w:val="0"/>
          <w:divBdr>
            <w:top w:val="none" w:sz="0" w:space="0" w:color="auto"/>
            <w:left w:val="none" w:sz="0" w:space="0" w:color="auto"/>
            <w:bottom w:val="none" w:sz="0" w:space="0" w:color="auto"/>
            <w:right w:val="none" w:sz="0" w:space="0" w:color="auto"/>
          </w:divBdr>
          <w:divsChild>
            <w:div w:id="1866165399">
              <w:marLeft w:val="0"/>
              <w:marRight w:val="0"/>
              <w:marTop w:val="0"/>
              <w:marBottom w:val="0"/>
              <w:divBdr>
                <w:top w:val="none" w:sz="0" w:space="0" w:color="auto"/>
                <w:left w:val="none" w:sz="0" w:space="0" w:color="auto"/>
                <w:bottom w:val="none" w:sz="0" w:space="0" w:color="auto"/>
                <w:right w:val="none" w:sz="0" w:space="0" w:color="auto"/>
              </w:divBdr>
            </w:div>
          </w:divsChild>
        </w:div>
        <w:div w:id="287976806">
          <w:marLeft w:val="0"/>
          <w:marRight w:val="0"/>
          <w:marTop w:val="0"/>
          <w:marBottom w:val="0"/>
          <w:divBdr>
            <w:top w:val="none" w:sz="0" w:space="0" w:color="auto"/>
            <w:left w:val="none" w:sz="0" w:space="0" w:color="auto"/>
            <w:bottom w:val="none" w:sz="0" w:space="0" w:color="auto"/>
            <w:right w:val="none" w:sz="0" w:space="0" w:color="auto"/>
          </w:divBdr>
          <w:divsChild>
            <w:div w:id="1088160341">
              <w:marLeft w:val="0"/>
              <w:marRight w:val="0"/>
              <w:marTop w:val="0"/>
              <w:marBottom w:val="0"/>
              <w:divBdr>
                <w:top w:val="none" w:sz="0" w:space="0" w:color="auto"/>
                <w:left w:val="none" w:sz="0" w:space="0" w:color="auto"/>
                <w:bottom w:val="none" w:sz="0" w:space="0" w:color="auto"/>
                <w:right w:val="none" w:sz="0" w:space="0" w:color="auto"/>
              </w:divBdr>
            </w:div>
          </w:divsChild>
        </w:div>
        <w:div w:id="303656152">
          <w:marLeft w:val="0"/>
          <w:marRight w:val="0"/>
          <w:marTop w:val="0"/>
          <w:marBottom w:val="0"/>
          <w:divBdr>
            <w:top w:val="none" w:sz="0" w:space="0" w:color="auto"/>
            <w:left w:val="none" w:sz="0" w:space="0" w:color="auto"/>
            <w:bottom w:val="none" w:sz="0" w:space="0" w:color="auto"/>
            <w:right w:val="none" w:sz="0" w:space="0" w:color="auto"/>
          </w:divBdr>
          <w:divsChild>
            <w:div w:id="1461071819">
              <w:marLeft w:val="0"/>
              <w:marRight w:val="0"/>
              <w:marTop w:val="0"/>
              <w:marBottom w:val="0"/>
              <w:divBdr>
                <w:top w:val="none" w:sz="0" w:space="0" w:color="auto"/>
                <w:left w:val="none" w:sz="0" w:space="0" w:color="auto"/>
                <w:bottom w:val="none" w:sz="0" w:space="0" w:color="auto"/>
                <w:right w:val="none" w:sz="0" w:space="0" w:color="auto"/>
              </w:divBdr>
            </w:div>
          </w:divsChild>
        </w:div>
        <w:div w:id="374890887">
          <w:marLeft w:val="0"/>
          <w:marRight w:val="0"/>
          <w:marTop w:val="0"/>
          <w:marBottom w:val="0"/>
          <w:divBdr>
            <w:top w:val="none" w:sz="0" w:space="0" w:color="auto"/>
            <w:left w:val="none" w:sz="0" w:space="0" w:color="auto"/>
            <w:bottom w:val="none" w:sz="0" w:space="0" w:color="auto"/>
            <w:right w:val="none" w:sz="0" w:space="0" w:color="auto"/>
          </w:divBdr>
          <w:divsChild>
            <w:div w:id="1218472534">
              <w:marLeft w:val="0"/>
              <w:marRight w:val="0"/>
              <w:marTop w:val="0"/>
              <w:marBottom w:val="0"/>
              <w:divBdr>
                <w:top w:val="none" w:sz="0" w:space="0" w:color="auto"/>
                <w:left w:val="none" w:sz="0" w:space="0" w:color="auto"/>
                <w:bottom w:val="none" w:sz="0" w:space="0" w:color="auto"/>
                <w:right w:val="none" w:sz="0" w:space="0" w:color="auto"/>
              </w:divBdr>
            </w:div>
          </w:divsChild>
        </w:div>
        <w:div w:id="478573622">
          <w:marLeft w:val="0"/>
          <w:marRight w:val="0"/>
          <w:marTop w:val="0"/>
          <w:marBottom w:val="0"/>
          <w:divBdr>
            <w:top w:val="none" w:sz="0" w:space="0" w:color="auto"/>
            <w:left w:val="none" w:sz="0" w:space="0" w:color="auto"/>
            <w:bottom w:val="none" w:sz="0" w:space="0" w:color="auto"/>
            <w:right w:val="none" w:sz="0" w:space="0" w:color="auto"/>
          </w:divBdr>
          <w:divsChild>
            <w:div w:id="1002391748">
              <w:marLeft w:val="0"/>
              <w:marRight w:val="0"/>
              <w:marTop w:val="0"/>
              <w:marBottom w:val="0"/>
              <w:divBdr>
                <w:top w:val="none" w:sz="0" w:space="0" w:color="auto"/>
                <w:left w:val="none" w:sz="0" w:space="0" w:color="auto"/>
                <w:bottom w:val="none" w:sz="0" w:space="0" w:color="auto"/>
                <w:right w:val="none" w:sz="0" w:space="0" w:color="auto"/>
              </w:divBdr>
            </w:div>
          </w:divsChild>
        </w:div>
        <w:div w:id="655690995">
          <w:marLeft w:val="0"/>
          <w:marRight w:val="0"/>
          <w:marTop w:val="0"/>
          <w:marBottom w:val="0"/>
          <w:divBdr>
            <w:top w:val="none" w:sz="0" w:space="0" w:color="auto"/>
            <w:left w:val="none" w:sz="0" w:space="0" w:color="auto"/>
            <w:bottom w:val="none" w:sz="0" w:space="0" w:color="auto"/>
            <w:right w:val="none" w:sz="0" w:space="0" w:color="auto"/>
          </w:divBdr>
          <w:divsChild>
            <w:div w:id="167864602">
              <w:marLeft w:val="0"/>
              <w:marRight w:val="0"/>
              <w:marTop w:val="0"/>
              <w:marBottom w:val="0"/>
              <w:divBdr>
                <w:top w:val="none" w:sz="0" w:space="0" w:color="auto"/>
                <w:left w:val="none" w:sz="0" w:space="0" w:color="auto"/>
                <w:bottom w:val="none" w:sz="0" w:space="0" w:color="auto"/>
                <w:right w:val="none" w:sz="0" w:space="0" w:color="auto"/>
              </w:divBdr>
            </w:div>
          </w:divsChild>
        </w:div>
        <w:div w:id="772283484">
          <w:marLeft w:val="0"/>
          <w:marRight w:val="0"/>
          <w:marTop w:val="0"/>
          <w:marBottom w:val="0"/>
          <w:divBdr>
            <w:top w:val="none" w:sz="0" w:space="0" w:color="auto"/>
            <w:left w:val="none" w:sz="0" w:space="0" w:color="auto"/>
            <w:bottom w:val="none" w:sz="0" w:space="0" w:color="auto"/>
            <w:right w:val="none" w:sz="0" w:space="0" w:color="auto"/>
          </w:divBdr>
          <w:divsChild>
            <w:div w:id="1425489515">
              <w:marLeft w:val="0"/>
              <w:marRight w:val="0"/>
              <w:marTop w:val="0"/>
              <w:marBottom w:val="0"/>
              <w:divBdr>
                <w:top w:val="none" w:sz="0" w:space="0" w:color="auto"/>
                <w:left w:val="none" w:sz="0" w:space="0" w:color="auto"/>
                <w:bottom w:val="none" w:sz="0" w:space="0" w:color="auto"/>
                <w:right w:val="none" w:sz="0" w:space="0" w:color="auto"/>
              </w:divBdr>
            </w:div>
          </w:divsChild>
        </w:div>
        <w:div w:id="800539065">
          <w:marLeft w:val="0"/>
          <w:marRight w:val="0"/>
          <w:marTop w:val="0"/>
          <w:marBottom w:val="0"/>
          <w:divBdr>
            <w:top w:val="none" w:sz="0" w:space="0" w:color="auto"/>
            <w:left w:val="none" w:sz="0" w:space="0" w:color="auto"/>
            <w:bottom w:val="none" w:sz="0" w:space="0" w:color="auto"/>
            <w:right w:val="none" w:sz="0" w:space="0" w:color="auto"/>
          </w:divBdr>
          <w:divsChild>
            <w:div w:id="806969288">
              <w:marLeft w:val="0"/>
              <w:marRight w:val="0"/>
              <w:marTop w:val="0"/>
              <w:marBottom w:val="0"/>
              <w:divBdr>
                <w:top w:val="none" w:sz="0" w:space="0" w:color="auto"/>
                <w:left w:val="none" w:sz="0" w:space="0" w:color="auto"/>
                <w:bottom w:val="none" w:sz="0" w:space="0" w:color="auto"/>
                <w:right w:val="none" w:sz="0" w:space="0" w:color="auto"/>
              </w:divBdr>
            </w:div>
          </w:divsChild>
        </w:div>
        <w:div w:id="809328852">
          <w:marLeft w:val="0"/>
          <w:marRight w:val="0"/>
          <w:marTop w:val="0"/>
          <w:marBottom w:val="0"/>
          <w:divBdr>
            <w:top w:val="none" w:sz="0" w:space="0" w:color="auto"/>
            <w:left w:val="none" w:sz="0" w:space="0" w:color="auto"/>
            <w:bottom w:val="none" w:sz="0" w:space="0" w:color="auto"/>
            <w:right w:val="none" w:sz="0" w:space="0" w:color="auto"/>
          </w:divBdr>
          <w:divsChild>
            <w:div w:id="1477451326">
              <w:marLeft w:val="0"/>
              <w:marRight w:val="0"/>
              <w:marTop w:val="0"/>
              <w:marBottom w:val="0"/>
              <w:divBdr>
                <w:top w:val="none" w:sz="0" w:space="0" w:color="auto"/>
                <w:left w:val="none" w:sz="0" w:space="0" w:color="auto"/>
                <w:bottom w:val="none" w:sz="0" w:space="0" w:color="auto"/>
                <w:right w:val="none" w:sz="0" w:space="0" w:color="auto"/>
              </w:divBdr>
            </w:div>
          </w:divsChild>
        </w:div>
        <w:div w:id="820467543">
          <w:marLeft w:val="0"/>
          <w:marRight w:val="0"/>
          <w:marTop w:val="0"/>
          <w:marBottom w:val="0"/>
          <w:divBdr>
            <w:top w:val="none" w:sz="0" w:space="0" w:color="auto"/>
            <w:left w:val="none" w:sz="0" w:space="0" w:color="auto"/>
            <w:bottom w:val="none" w:sz="0" w:space="0" w:color="auto"/>
            <w:right w:val="none" w:sz="0" w:space="0" w:color="auto"/>
          </w:divBdr>
          <w:divsChild>
            <w:div w:id="1338388164">
              <w:marLeft w:val="0"/>
              <w:marRight w:val="0"/>
              <w:marTop w:val="0"/>
              <w:marBottom w:val="0"/>
              <w:divBdr>
                <w:top w:val="none" w:sz="0" w:space="0" w:color="auto"/>
                <w:left w:val="none" w:sz="0" w:space="0" w:color="auto"/>
                <w:bottom w:val="none" w:sz="0" w:space="0" w:color="auto"/>
                <w:right w:val="none" w:sz="0" w:space="0" w:color="auto"/>
              </w:divBdr>
            </w:div>
          </w:divsChild>
        </w:div>
        <w:div w:id="834303278">
          <w:marLeft w:val="0"/>
          <w:marRight w:val="0"/>
          <w:marTop w:val="0"/>
          <w:marBottom w:val="0"/>
          <w:divBdr>
            <w:top w:val="none" w:sz="0" w:space="0" w:color="auto"/>
            <w:left w:val="none" w:sz="0" w:space="0" w:color="auto"/>
            <w:bottom w:val="none" w:sz="0" w:space="0" w:color="auto"/>
            <w:right w:val="none" w:sz="0" w:space="0" w:color="auto"/>
          </w:divBdr>
          <w:divsChild>
            <w:div w:id="344284511">
              <w:marLeft w:val="0"/>
              <w:marRight w:val="0"/>
              <w:marTop w:val="0"/>
              <w:marBottom w:val="0"/>
              <w:divBdr>
                <w:top w:val="none" w:sz="0" w:space="0" w:color="auto"/>
                <w:left w:val="none" w:sz="0" w:space="0" w:color="auto"/>
                <w:bottom w:val="none" w:sz="0" w:space="0" w:color="auto"/>
                <w:right w:val="none" w:sz="0" w:space="0" w:color="auto"/>
              </w:divBdr>
            </w:div>
          </w:divsChild>
        </w:div>
        <w:div w:id="866068811">
          <w:marLeft w:val="0"/>
          <w:marRight w:val="0"/>
          <w:marTop w:val="0"/>
          <w:marBottom w:val="0"/>
          <w:divBdr>
            <w:top w:val="none" w:sz="0" w:space="0" w:color="auto"/>
            <w:left w:val="none" w:sz="0" w:space="0" w:color="auto"/>
            <w:bottom w:val="none" w:sz="0" w:space="0" w:color="auto"/>
            <w:right w:val="none" w:sz="0" w:space="0" w:color="auto"/>
          </w:divBdr>
          <w:divsChild>
            <w:div w:id="1160268246">
              <w:marLeft w:val="0"/>
              <w:marRight w:val="0"/>
              <w:marTop w:val="0"/>
              <w:marBottom w:val="0"/>
              <w:divBdr>
                <w:top w:val="none" w:sz="0" w:space="0" w:color="auto"/>
                <w:left w:val="none" w:sz="0" w:space="0" w:color="auto"/>
                <w:bottom w:val="none" w:sz="0" w:space="0" w:color="auto"/>
                <w:right w:val="none" w:sz="0" w:space="0" w:color="auto"/>
              </w:divBdr>
            </w:div>
          </w:divsChild>
        </w:div>
        <w:div w:id="955140694">
          <w:marLeft w:val="0"/>
          <w:marRight w:val="0"/>
          <w:marTop w:val="0"/>
          <w:marBottom w:val="0"/>
          <w:divBdr>
            <w:top w:val="none" w:sz="0" w:space="0" w:color="auto"/>
            <w:left w:val="none" w:sz="0" w:space="0" w:color="auto"/>
            <w:bottom w:val="none" w:sz="0" w:space="0" w:color="auto"/>
            <w:right w:val="none" w:sz="0" w:space="0" w:color="auto"/>
          </w:divBdr>
          <w:divsChild>
            <w:div w:id="2108118554">
              <w:marLeft w:val="0"/>
              <w:marRight w:val="0"/>
              <w:marTop w:val="0"/>
              <w:marBottom w:val="0"/>
              <w:divBdr>
                <w:top w:val="none" w:sz="0" w:space="0" w:color="auto"/>
                <w:left w:val="none" w:sz="0" w:space="0" w:color="auto"/>
                <w:bottom w:val="none" w:sz="0" w:space="0" w:color="auto"/>
                <w:right w:val="none" w:sz="0" w:space="0" w:color="auto"/>
              </w:divBdr>
            </w:div>
          </w:divsChild>
        </w:div>
        <w:div w:id="985353924">
          <w:marLeft w:val="0"/>
          <w:marRight w:val="0"/>
          <w:marTop w:val="0"/>
          <w:marBottom w:val="0"/>
          <w:divBdr>
            <w:top w:val="none" w:sz="0" w:space="0" w:color="auto"/>
            <w:left w:val="none" w:sz="0" w:space="0" w:color="auto"/>
            <w:bottom w:val="none" w:sz="0" w:space="0" w:color="auto"/>
            <w:right w:val="none" w:sz="0" w:space="0" w:color="auto"/>
          </w:divBdr>
          <w:divsChild>
            <w:div w:id="557281830">
              <w:marLeft w:val="0"/>
              <w:marRight w:val="0"/>
              <w:marTop w:val="0"/>
              <w:marBottom w:val="0"/>
              <w:divBdr>
                <w:top w:val="none" w:sz="0" w:space="0" w:color="auto"/>
                <w:left w:val="none" w:sz="0" w:space="0" w:color="auto"/>
                <w:bottom w:val="none" w:sz="0" w:space="0" w:color="auto"/>
                <w:right w:val="none" w:sz="0" w:space="0" w:color="auto"/>
              </w:divBdr>
            </w:div>
          </w:divsChild>
        </w:div>
        <w:div w:id="1060247903">
          <w:marLeft w:val="0"/>
          <w:marRight w:val="0"/>
          <w:marTop w:val="0"/>
          <w:marBottom w:val="0"/>
          <w:divBdr>
            <w:top w:val="none" w:sz="0" w:space="0" w:color="auto"/>
            <w:left w:val="none" w:sz="0" w:space="0" w:color="auto"/>
            <w:bottom w:val="none" w:sz="0" w:space="0" w:color="auto"/>
            <w:right w:val="none" w:sz="0" w:space="0" w:color="auto"/>
          </w:divBdr>
          <w:divsChild>
            <w:div w:id="1372415879">
              <w:marLeft w:val="0"/>
              <w:marRight w:val="0"/>
              <w:marTop w:val="0"/>
              <w:marBottom w:val="0"/>
              <w:divBdr>
                <w:top w:val="none" w:sz="0" w:space="0" w:color="auto"/>
                <w:left w:val="none" w:sz="0" w:space="0" w:color="auto"/>
                <w:bottom w:val="none" w:sz="0" w:space="0" w:color="auto"/>
                <w:right w:val="none" w:sz="0" w:space="0" w:color="auto"/>
              </w:divBdr>
            </w:div>
          </w:divsChild>
        </w:div>
        <w:div w:id="1085224492">
          <w:marLeft w:val="0"/>
          <w:marRight w:val="0"/>
          <w:marTop w:val="0"/>
          <w:marBottom w:val="0"/>
          <w:divBdr>
            <w:top w:val="none" w:sz="0" w:space="0" w:color="auto"/>
            <w:left w:val="none" w:sz="0" w:space="0" w:color="auto"/>
            <w:bottom w:val="none" w:sz="0" w:space="0" w:color="auto"/>
            <w:right w:val="none" w:sz="0" w:space="0" w:color="auto"/>
          </w:divBdr>
          <w:divsChild>
            <w:div w:id="2113549684">
              <w:marLeft w:val="0"/>
              <w:marRight w:val="0"/>
              <w:marTop w:val="0"/>
              <w:marBottom w:val="0"/>
              <w:divBdr>
                <w:top w:val="none" w:sz="0" w:space="0" w:color="auto"/>
                <w:left w:val="none" w:sz="0" w:space="0" w:color="auto"/>
                <w:bottom w:val="none" w:sz="0" w:space="0" w:color="auto"/>
                <w:right w:val="none" w:sz="0" w:space="0" w:color="auto"/>
              </w:divBdr>
            </w:div>
          </w:divsChild>
        </w:div>
        <w:div w:id="1473861509">
          <w:marLeft w:val="0"/>
          <w:marRight w:val="0"/>
          <w:marTop w:val="0"/>
          <w:marBottom w:val="0"/>
          <w:divBdr>
            <w:top w:val="none" w:sz="0" w:space="0" w:color="auto"/>
            <w:left w:val="none" w:sz="0" w:space="0" w:color="auto"/>
            <w:bottom w:val="none" w:sz="0" w:space="0" w:color="auto"/>
            <w:right w:val="none" w:sz="0" w:space="0" w:color="auto"/>
          </w:divBdr>
          <w:divsChild>
            <w:div w:id="1676567768">
              <w:marLeft w:val="0"/>
              <w:marRight w:val="0"/>
              <w:marTop w:val="0"/>
              <w:marBottom w:val="0"/>
              <w:divBdr>
                <w:top w:val="none" w:sz="0" w:space="0" w:color="auto"/>
                <w:left w:val="none" w:sz="0" w:space="0" w:color="auto"/>
                <w:bottom w:val="none" w:sz="0" w:space="0" w:color="auto"/>
                <w:right w:val="none" w:sz="0" w:space="0" w:color="auto"/>
              </w:divBdr>
            </w:div>
          </w:divsChild>
        </w:div>
        <w:div w:id="1518229229">
          <w:marLeft w:val="0"/>
          <w:marRight w:val="0"/>
          <w:marTop w:val="0"/>
          <w:marBottom w:val="0"/>
          <w:divBdr>
            <w:top w:val="none" w:sz="0" w:space="0" w:color="auto"/>
            <w:left w:val="none" w:sz="0" w:space="0" w:color="auto"/>
            <w:bottom w:val="none" w:sz="0" w:space="0" w:color="auto"/>
            <w:right w:val="none" w:sz="0" w:space="0" w:color="auto"/>
          </w:divBdr>
          <w:divsChild>
            <w:div w:id="612785184">
              <w:marLeft w:val="0"/>
              <w:marRight w:val="0"/>
              <w:marTop w:val="0"/>
              <w:marBottom w:val="0"/>
              <w:divBdr>
                <w:top w:val="none" w:sz="0" w:space="0" w:color="auto"/>
                <w:left w:val="none" w:sz="0" w:space="0" w:color="auto"/>
                <w:bottom w:val="none" w:sz="0" w:space="0" w:color="auto"/>
                <w:right w:val="none" w:sz="0" w:space="0" w:color="auto"/>
              </w:divBdr>
            </w:div>
          </w:divsChild>
        </w:div>
        <w:div w:id="1810972903">
          <w:marLeft w:val="0"/>
          <w:marRight w:val="0"/>
          <w:marTop w:val="0"/>
          <w:marBottom w:val="0"/>
          <w:divBdr>
            <w:top w:val="none" w:sz="0" w:space="0" w:color="auto"/>
            <w:left w:val="none" w:sz="0" w:space="0" w:color="auto"/>
            <w:bottom w:val="none" w:sz="0" w:space="0" w:color="auto"/>
            <w:right w:val="none" w:sz="0" w:space="0" w:color="auto"/>
          </w:divBdr>
          <w:divsChild>
            <w:div w:id="866215309">
              <w:marLeft w:val="0"/>
              <w:marRight w:val="0"/>
              <w:marTop w:val="0"/>
              <w:marBottom w:val="0"/>
              <w:divBdr>
                <w:top w:val="none" w:sz="0" w:space="0" w:color="auto"/>
                <w:left w:val="none" w:sz="0" w:space="0" w:color="auto"/>
                <w:bottom w:val="none" w:sz="0" w:space="0" w:color="auto"/>
                <w:right w:val="none" w:sz="0" w:space="0" w:color="auto"/>
              </w:divBdr>
            </w:div>
          </w:divsChild>
        </w:div>
        <w:div w:id="1934976656">
          <w:marLeft w:val="0"/>
          <w:marRight w:val="0"/>
          <w:marTop w:val="0"/>
          <w:marBottom w:val="0"/>
          <w:divBdr>
            <w:top w:val="none" w:sz="0" w:space="0" w:color="auto"/>
            <w:left w:val="none" w:sz="0" w:space="0" w:color="auto"/>
            <w:bottom w:val="none" w:sz="0" w:space="0" w:color="auto"/>
            <w:right w:val="none" w:sz="0" w:space="0" w:color="auto"/>
          </w:divBdr>
          <w:divsChild>
            <w:div w:id="1543984080">
              <w:marLeft w:val="0"/>
              <w:marRight w:val="0"/>
              <w:marTop w:val="0"/>
              <w:marBottom w:val="0"/>
              <w:divBdr>
                <w:top w:val="none" w:sz="0" w:space="0" w:color="auto"/>
                <w:left w:val="none" w:sz="0" w:space="0" w:color="auto"/>
                <w:bottom w:val="none" w:sz="0" w:space="0" w:color="auto"/>
                <w:right w:val="none" w:sz="0" w:space="0" w:color="auto"/>
              </w:divBdr>
            </w:div>
          </w:divsChild>
        </w:div>
        <w:div w:id="1989048650">
          <w:marLeft w:val="0"/>
          <w:marRight w:val="0"/>
          <w:marTop w:val="0"/>
          <w:marBottom w:val="0"/>
          <w:divBdr>
            <w:top w:val="none" w:sz="0" w:space="0" w:color="auto"/>
            <w:left w:val="none" w:sz="0" w:space="0" w:color="auto"/>
            <w:bottom w:val="none" w:sz="0" w:space="0" w:color="auto"/>
            <w:right w:val="none" w:sz="0" w:space="0" w:color="auto"/>
          </w:divBdr>
          <w:divsChild>
            <w:div w:id="1663582602">
              <w:marLeft w:val="0"/>
              <w:marRight w:val="0"/>
              <w:marTop w:val="0"/>
              <w:marBottom w:val="0"/>
              <w:divBdr>
                <w:top w:val="none" w:sz="0" w:space="0" w:color="auto"/>
                <w:left w:val="none" w:sz="0" w:space="0" w:color="auto"/>
                <w:bottom w:val="none" w:sz="0" w:space="0" w:color="auto"/>
                <w:right w:val="none" w:sz="0" w:space="0" w:color="auto"/>
              </w:divBdr>
            </w:div>
          </w:divsChild>
        </w:div>
        <w:div w:id="2115665011">
          <w:marLeft w:val="0"/>
          <w:marRight w:val="0"/>
          <w:marTop w:val="0"/>
          <w:marBottom w:val="0"/>
          <w:divBdr>
            <w:top w:val="none" w:sz="0" w:space="0" w:color="auto"/>
            <w:left w:val="none" w:sz="0" w:space="0" w:color="auto"/>
            <w:bottom w:val="none" w:sz="0" w:space="0" w:color="auto"/>
            <w:right w:val="none" w:sz="0" w:space="0" w:color="auto"/>
          </w:divBdr>
          <w:divsChild>
            <w:div w:id="130705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0538202">
      <w:bodyDiv w:val="1"/>
      <w:marLeft w:val="0"/>
      <w:marRight w:val="0"/>
      <w:marTop w:val="0"/>
      <w:marBottom w:val="0"/>
      <w:divBdr>
        <w:top w:val="none" w:sz="0" w:space="0" w:color="auto"/>
        <w:left w:val="none" w:sz="0" w:space="0" w:color="auto"/>
        <w:bottom w:val="none" w:sz="0" w:space="0" w:color="auto"/>
        <w:right w:val="none" w:sz="0" w:space="0" w:color="auto"/>
      </w:divBdr>
    </w:div>
    <w:div w:id="756556484">
      <w:bodyDiv w:val="1"/>
      <w:marLeft w:val="0"/>
      <w:marRight w:val="0"/>
      <w:marTop w:val="0"/>
      <w:marBottom w:val="0"/>
      <w:divBdr>
        <w:top w:val="none" w:sz="0" w:space="0" w:color="auto"/>
        <w:left w:val="none" w:sz="0" w:space="0" w:color="auto"/>
        <w:bottom w:val="none" w:sz="0" w:space="0" w:color="auto"/>
        <w:right w:val="none" w:sz="0" w:space="0" w:color="auto"/>
      </w:divBdr>
    </w:div>
    <w:div w:id="797527999">
      <w:bodyDiv w:val="1"/>
      <w:marLeft w:val="0"/>
      <w:marRight w:val="0"/>
      <w:marTop w:val="0"/>
      <w:marBottom w:val="0"/>
      <w:divBdr>
        <w:top w:val="none" w:sz="0" w:space="0" w:color="auto"/>
        <w:left w:val="none" w:sz="0" w:space="0" w:color="auto"/>
        <w:bottom w:val="none" w:sz="0" w:space="0" w:color="auto"/>
        <w:right w:val="none" w:sz="0" w:space="0" w:color="auto"/>
      </w:divBdr>
    </w:div>
    <w:div w:id="858660389">
      <w:bodyDiv w:val="1"/>
      <w:marLeft w:val="0"/>
      <w:marRight w:val="0"/>
      <w:marTop w:val="0"/>
      <w:marBottom w:val="0"/>
      <w:divBdr>
        <w:top w:val="none" w:sz="0" w:space="0" w:color="auto"/>
        <w:left w:val="none" w:sz="0" w:space="0" w:color="auto"/>
        <w:bottom w:val="none" w:sz="0" w:space="0" w:color="auto"/>
        <w:right w:val="none" w:sz="0" w:space="0" w:color="auto"/>
      </w:divBdr>
    </w:div>
    <w:div w:id="872499122">
      <w:bodyDiv w:val="1"/>
      <w:marLeft w:val="0"/>
      <w:marRight w:val="0"/>
      <w:marTop w:val="0"/>
      <w:marBottom w:val="0"/>
      <w:divBdr>
        <w:top w:val="none" w:sz="0" w:space="0" w:color="auto"/>
        <w:left w:val="none" w:sz="0" w:space="0" w:color="auto"/>
        <w:bottom w:val="none" w:sz="0" w:space="0" w:color="auto"/>
        <w:right w:val="none" w:sz="0" w:space="0" w:color="auto"/>
      </w:divBdr>
    </w:div>
    <w:div w:id="1000816441">
      <w:bodyDiv w:val="1"/>
      <w:marLeft w:val="0"/>
      <w:marRight w:val="0"/>
      <w:marTop w:val="0"/>
      <w:marBottom w:val="0"/>
      <w:divBdr>
        <w:top w:val="none" w:sz="0" w:space="0" w:color="auto"/>
        <w:left w:val="none" w:sz="0" w:space="0" w:color="auto"/>
        <w:bottom w:val="none" w:sz="0" w:space="0" w:color="auto"/>
        <w:right w:val="none" w:sz="0" w:space="0" w:color="auto"/>
      </w:divBdr>
    </w:div>
    <w:div w:id="1003436675">
      <w:bodyDiv w:val="1"/>
      <w:marLeft w:val="0"/>
      <w:marRight w:val="0"/>
      <w:marTop w:val="0"/>
      <w:marBottom w:val="0"/>
      <w:divBdr>
        <w:top w:val="none" w:sz="0" w:space="0" w:color="auto"/>
        <w:left w:val="none" w:sz="0" w:space="0" w:color="auto"/>
        <w:bottom w:val="none" w:sz="0" w:space="0" w:color="auto"/>
        <w:right w:val="none" w:sz="0" w:space="0" w:color="auto"/>
      </w:divBdr>
    </w:div>
    <w:div w:id="1099132991">
      <w:bodyDiv w:val="1"/>
      <w:marLeft w:val="0"/>
      <w:marRight w:val="0"/>
      <w:marTop w:val="0"/>
      <w:marBottom w:val="0"/>
      <w:divBdr>
        <w:top w:val="none" w:sz="0" w:space="0" w:color="auto"/>
        <w:left w:val="none" w:sz="0" w:space="0" w:color="auto"/>
        <w:bottom w:val="none" w:sz="0" w:space="0" w:color="auto"/>
        <w:right w:val="none" w:sz="0" w:space="0" w:color="auto"/>
      </w:divBdr>
    </w:div>
    <w:div w:id="1146360739">
      <w:bodyDiv w:val="1"/>
      <w:marLeft w:val="0"/>
      <w:marRight w:val="0"/>
      <w:marTop w:val="0"/>
      <w:marBottom w:val="0"/>
      <w:divBdr>
        <w:top w:val="none" w:sz="0" w:space="0" w:color="auto"/>
        <w:left w:val="none" w:sz="0" w:space="0" w:color="auto"/>
        <w:bottom w:val="none" w:sz="0" w:space="0" w:color="auto"/>
        <w:right w:val="none" w:sz="0" w:space="0" w:color="auto"/>
      </w:divBdr>
    </w:div>
    <w:div w:id="1282877755">
      <w:bodyDiv w:val="1"/>
      <w:marLeft w:val="0"/>
      <w:marRight w:val="0"/>
      <w:marTop w:val="0"/>
      <w:marBottom w:val="0"/>
      <w:divBdr>
        <w:top w:val="none" w:sz="0" w:space="0" w:color="auto"/>
        <w:left w:val="none" w:sz="0" w:space="0" w:color="auto"/>
        <w:bottom w:val="none" w:sz="0" w:space="0" w:color="auto"/>
        <w:right w:val="none" w:sz="0" w:space="0" w:color="auto"/>
      </w:divBdr>
    </w:div>
    <w:div w:id="1299414823">
      <w:bodyDiv w:val="1"/>
      <w:marLeft w:val="0"/>
      <w:marRight w:val="0"/>
      <w:marTop w:val="0"/>
      <w:marBottom w:val="0"/>
      <w:divBdr>
        <w:top w:val="none" w:sz="0" w:space="0" w:color="auto"/>
        <w:left w:val="none" w:sz="0" w:space="0" w:color="auto"/>
        <w:bottom w:val="none" w:sz="0" w:space="0" w:color="auto"/>
        <w:right w:val="none" w:sz="0" w:space="0" w:color="auto"/>
      </w:divBdr>
    </w:div>
    <w:div w:id="1300526543">
      <w:bodyDiv w:val="1"/>
      <w:marLeft w:val="0"/>
      <w:marRight w:val="0"/>
      <w:marTop w:val="0"/>
      <w:marBottom w:val="0"/>
      <w:divBdr>
        <w:top w:val="none" w:sz="0" w:space="0" w:color="auto"/>
        <w:left w:val="none" w:sz="0" w:space="0" w:color="auto"/>
        <w:bottom w:val="none" w:sz="0" w:space="0" w:color="auto"/>
        <w:right w:val="none" w:sz="0" w:space="0" w:color="auto"/>
      </w:divBdr>
    </w:div>
    <w:div w:id="1308897958">
      <w:bodyDiv w:val="1"/>
      <w:marLeft w:val="0"/>
      <w:marRight w:val="0"/>
      <w:marTop w:val="0"/>
      <w:marBottom w:val="0"/>
      <w:divBdr>
        <w:top w:val="none" w:sz="0" w:space="0" w:color="auto"/>
        <w:left w:val="none" w:sz="0" w:space="0" w:color="auto"/>
        <w:bottom w:val="none" w:sz="0" w:space="0" w:color="auto"/>
        <w:right w:val="none" w:sz="0" w:space="0" w:color="auto"/>
      </w:divBdr>
    </w:div>
    <w:div w:id="1438716761">
      <w:bodyDiv w:val="1"/>
      <w:marLeft w:val="0"/>
      <w:marRight w:val="0"/>
      <w:marTop w:val="0"/>
      <w:marBottom w:val="0"/>
      <w:divBdr>
        <w:top w:val="none" w:sz="0" w:space="0" w:color="auto"/>
        <w:left w:val="none" w:sz="0" w:space="0" w:color="auto"/>
        <w:bottom w:val="none" w:sz="0" w:space="0" w:color="auto"/>
        <w:right w:val="none" w:sz="0" w:space="0" w:color="auto"/>
      </w:divBdr>
    </w:div>
    <w:div w:id="1470174737">
      <w:bodyDiv w:val="1"/>
      <w:marLeft w:val="0"/>
      <w:marRight w:val="0"/>
      <w:marTop w:val="0"/>
      <w:marBottom w:val="0"/>
      <w:divBdr>
        <w:top w:val="none" w:sz="0" w:space="0" w:color="auto"/>
        <w:left w:val="none" w:sz="0" w:space="0" w:color="auto"/>
        <w:bottom w:val="none" w:sz="0" w:space="0" w:color="auto"/>
        <w:right w:val="none" w:sz="0" w:space="0" w:color="auto"/>
      </w:divBdr>
    </w:div>
    <w:div w:id="1471826539">
      <w:bodyDiv w:val="1"/>
      <w:marLeft w:val="0"/>
      <w:marRight w:val="0"/>
      <w:marTop w:val="0"/>
      <w:marBottom w:val="0"/>
      <w:divBdr>
        <w:top w:val="none" w:sz="0" w:space="0" w:color="auto"/>
        <w:left w:val="none" w:sz="0" w:space="0" w:color="auto"/>
        <w:bottom w:val="none" w:sz="0" w:space="0" w:color="auto"/>
        <w:right w:val="none" w:sz="0" w:space="0" w:color="auto"/>
      </w:divBdr>
    </w:div>
    <w:div w:id="1475950331">
      <w:bodyDiv w:val="1"/>
      <w:marLeft w:val="0"/>
      <w:marRight w:val="0"/>
      <w:marTop w:val="0"/>
      <w:marBottom w:val="0"/>
      <w:divBdr>
        <w:top w:val="none" w:sz="0" w:space="0" w:color="auto"/>
        <w:left w:val="none" w:sz="0" w:space="0" w:color="auto"/>
        <w:bottom w:val="none" w:sz="0" w:space="0" w:color="auto"/>
        <w:right w:val="none" w:sz="0" w:space="0" w:color="auto"/>
      </w:divBdr>
    </w:div>
    <w:div w:id="1476752631">
      <w:bodyDiv w:val="1"/>
      <w:marLeft w:val="0"/>
      <w:marRight w:val="0"/>
      <w:marTop w:val="0"/>
      <w:marBottom w:val="0"/>
      <w:divBdr>
        <w:top w:val="none" w:sz="0" w:space="0" w:color="auto"/>
        <w:left w:val="none" w:sz="0" w:space="0" w:color="auto"/>
        <w:bottom w:val="none" w:sz="0" w:space="0" w:color="auto"/>
        <w:right w:val="none" w:sz="0" w:space="0" w:color="auto"/>
      </w:divBdr>
    </w:div>
    <w:div w:id="1506936718">
      <w:bodyDiv w:val="1"/>
      <w:marLeft w:val="0"/>
      <w:marRight w:val="0"/>
      <w:marTop w:val="0"/>
      <w:marBottom w:val="0"/>
      <w:divBdr>
        <w:top w:val="none" w:sz="0" w:space="0" w:color="auto"/>
        <w:left w:val="none" w:sz="0" w:space="0" w:color="auto"/>
        <w:bottom w:val="none" w:sz="0" w:space="0" w:color="auto"/>
        <w:right w:val="none" w:sz="0" w:space="0" w:color="auto"/>
      </w:divBdr>
    </w:div>
    <w:div w:id="1509439946">
      <w:bodyDiv w:val="1"/>
      <w:marLeft w:val="0"/>
      <w:marRight w:val="0"/>
      <w:marTop w:val="0"/>
      <w:marBottom w:val="0"/>
      <w:divBdr>
        <w:top w:val="none" w:sz="0" w:space="0" w:color="auto"/>
        <w:left w:val="none" w:sz="0" w:space="0" w:color="auto"/>
        <w:bottom w:val="none" w:sz="0" w:space="0" w:color="auto"/>
        <w:right w:val="none" w:sz="0" w:space="0" w:color="auto"/>
      </w:divBdr>
    </w:div>
    <w:div w:id="1673601006">
      <w:bodyDiv w:val="1"/>
      <w:marLeft w:val="0"/>
      <w:marRight w:val="0"/>
      <w:marTop w:val="0"/>
      <w:marBottom w:val="0"/>
      <w:divBdr>
        <w:top w:val="none" w:sz="0" w:space="0" w:color="auto"/>
        <w:left w:val="none" w:sz="0" w:space="0" w:color="auto"/>
        <w:bottom w:val="none" w:sz="0" w:space="0" w:color="auto"/>
        <w:right w:val="none" w:sz="0" w:space="0" w:color="auto"/>
      </w:divBdr>
    </w:div>
    <w:div w:id="1812942716">
      <w:bodyDiv w:val="1"/>
      <w:marLeft w:val="0"/>
      <w:marRight w:val="0"/>
      <w:marTop w:val="0"/>
      <w:marBottom w:val="0"/>
      <w:divBdr>
        <w:top w:val="none" w:sz="0" w:space="0" w:color="auto"/>
        <w:left w:val="none" w:sz="0" w:space="0" w:color="auto"/>
        <w:bottom w:val="none" w:sz="0" w:space="0" w:color="auto"/>
        <w:right w:val="none" w:sz="0" w:space="0" w:color="auto"/>
      </w:divBdr>
    </w:div>
    <w:div w:id="1826816474">
      <w:bodyDiv w:val="1"/>
      <w:marLeft w:val="0"/>
      <w:marRight w:val="0"/>
      <w:marTop w:val="0"/>
      <w:marBottom w:val="0"/>
      <w:divBdr>
        <w:top w:val="none" w:sz="0" w:space="0" w:color="auto"/>
        <w:left w:val="none" w:sz="0" w:space="0" w:color="auto"/>
        <w:bottom w:val="none" w:sz="0" w:space="0" w:color="auto"/>
        <w:right w:val="none" w:sz="0" w:space="0" w:color="auto"/>
      </w:divBdr>
    </w:div>
    <w:div w:id="1905989664">
      <w:bodyDiv w:val="1"/>
      <w:marLeft w:val="0"/>
      <w:marRight w:val="0"/>
      <w:marTop w:val="0"/>
      <w:marBottom w:val="0"/>
      <w:divBdr>
        <w:top w:val="none" w:sz="0" w:space="0" w:color="auto"/>
        <w:left w:val="none" w:sz="0" w:space="0" w:color="auto"/>
        <w:bottom w:val="none" w:sz="0" w:space="0" w:color="auto"/>
        <w:right w:val="none" w:sz="0" w:space="0" w:color="auto"/>
      </w:divBdr>
    </w:div>
    <w:div w:id="1950047519">
      <w:bodyDiv w:val="1"/>
      <w:marLeft w:val="0"/>
      <w:marRight w:val="0"/>
      <w:marTop w:val="0"/>
      <w:marBottom w:val="0"/>
      <w:divBdr>
        <w:top w:val="none" w:sz="0" w:space="0" w:color="auto"/>
        <w:left w:val="none" w:sz="0" w:space="0" w:color="auto"/>
        <w:bottom w:val="none" w:sz="0" w:space="0" w:color="auto"/>
        <w:right w:val="none" w:sz="0" w:space="0" w:color="auto"/>
      </w:divBdr>
    </w:div>
    <w:div w:id="1991905708">
      <w:bodyDiv w:val="1"/>
      <w:marLeft w:val="0"/>
      <w:marRight w:val="0"/>
      <w:marTop w:val="0"/>
      <w:marBottom w:val="0"/>
      <w:divBdr>
        <w:top w:val="none" w:sz="0" w:space="0" w:color="auto"/>
        <w:left w:val="none" w:sz="0" w:space="0" w:color="auto"/>
        <w:bottom w:val="none" w:sz="0" w:space="0" w:color="auto"/>
        <w:right w:val="none" w:sz="0" w:space="0" w:color="auto"/>
      </w:divBdr>
    </w:div>
    <w:div w:id="2005208526">
      <w:bodyDiv w:val="1"/>
      <w:marLeft w:val="0"/>
      <w:marRight w:val="0"/>
      <w:marTop w:val="0"/>
      <w:marBottom w:val="0"/>
      <w:divBdr>
        <w:top w:val="none" w:sz="0" w:space="0" w:color="auto"/>
        <w:left w:val="none" w:sz="0" w:space="0" w:color="auto"/>
        <w:bottom w:val="none" w:sz="0" w:space="0" w:color="auto"/>
        <w:right w:val="none" w:sz="0" w:space="0" w:color="auto"/>
      </w:divBdr>
    </w:div>
    <w:div w:id="2009407047">
      <w:bodyDiv w:val="1"/>
      <w:marLeft w:val="0"/>
      <w:marRight w:val="0"/>
      <w:marTop w:val="0"/>
      <w:marBottom w:val="0"/>
      <w:divBdr>
        <w:top w:val="none" w:sz="0" w:space="0" w:color="auto"/>
        <w:left w:val="none" w:sz="0" w:space="0" w:color="auto"/>
        <w:bottom w:val="none" w:sz="0" w:space="0" w:color="auto"/>
        <w:right w:val="none" w:sz="0" w:space="0" w:color="auto"/>
      </w:divBdr>
    </w:div>
    <w:div w:id="2037464945">
      <w:bodyDiv w:val="1"/>
      <w:marLeft w:val="0"/>
      <w:marRight w:val="0"/>
      <w:marTop w:val="0"/>
      <w:marBottom w:val="0"/>
      <w:divBdr>
        <w:top w:val="none" w:sz="0" w:space="0" w:color="auto"/>
        <w:left w:val="none" w:sz="0" w:space="0" w:color="auto"/>
        <w:bottom w:val="none" w:sz="0" w:space="0" w:color="auto"/>
        <w:right w:val="none" w:sz="0" w:space="0" w:color="auto"/>
      </w:divBdr>
    </w:div>
    <w:div w:id="2104689701">
      <w:bodyDiv w:val="1"/>
      <w:marLeft w:val="0"/>
      <w:marRight w:val="0"/>
      <w:marTop w:val="0"/>
      <w:marBottom w:val="0"/>
      <w:divBdr>
        <w:top w:val="none" w:sz="0" w:space="0" w:color="auto"/>
        <w:left w:val="none" w:sz="0" w:space="0" w:color="auto"/>
        <w:bottom w:val="none" w:sz="0" w:space="0" w:color="auto"/>
        <w:right w:val="none" w:sz="0" w:space="0" w:color="auto"/>
      </w:divBdr>
    </w:div>
    <w:div w:id="2126803934">
      <w:bodyDiv w:val="1"/>
      <w:marLeft w:val="0"/>
      <w:marRight w:val="0"/>
      <w:marTop w:val="0"/>
      <w:marBottom w:val="0"/>
      <w:divBdr>
        <w:top w:val="none" w:sz="0" w:space="0" w:color="auto"/>
        <w:left w:val="none" w:sz="0" w:space="0" w:color="auto"/>
        <w:bottom w:val="none" w:sz="0" w:space="0" w:color="auto"/>
        <w:right w:val="none" w:sz="0" w:space="0" w:color="auto"/>
      </w:divBdr>
    </w:div>
    <w:div w:id="2139685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QuickStyle" Target="diagrams/quickStyle1.xml"/><Relationship Id="rId21" Type="http://schemas.openxmlformats.org/officeDocument/2006/relationships/image" Target="media/image2.png"/><Relationship Id="rId42" Type="http://schemas.openxmlformats.org/officeDocument/2006/relationships/image" Target="media/image11.emf"/><Relationship Id="rId47" Type="http://schemas.openxmlformats.org/officeDocument/2006/relationships/image" Target="media/image16.emf"/><Relationship Id="rId63" Type="http://schemas.openxmlformats.org/officeDocument/2006/relationships/image" Target="media/image30.png"/><Relationship Id="rId68" Type="http://schemas.openxmlformats.org/officeDocument/2006/relationships/image" Target="media/image35.emf"/><Relationship Id="rId84" Type="http://schemas.openxmlformats.org/officeDocument/2006/relationships/image" Target="media/image51.png"/><Relationship Id="rId89" Type="http://schemas.openxmlformats.org/officeDocument/2006/relationships/image" Target="media/image56.png"/><Relationship Id="rId16" Type="http://schemas.openxmlformats.org/officeDocument/2006/relationships/header" Target="header3.xml"/><Relationship Id="rId11" Type="http://schemas.openxmlformats.org/officeDocument/2006/relationships/endnotes" Target="endnotes.xml"/><Relationship Id="rId32" Type="http://schemas.openxmlformats.org/officeDocument/2006/relationships/image" Target="media/image5.jpeg"/><Relationship Id="rId37" Type="http://schemas.openxmlformats.org/officeDocument/2006/relationships/footer" Target="footer6.xml"/><Relationship Id="rId53" Type="http://schemas.openxmlformats.org/officeDocument/2006/relationships/image" Target="media/image22.emf"/><Relationship Id="rId58" Type="http://schemas.openxmlformats.org/officeDocument/2006/relationships/image" Target="media/image27.emf"/><Relationship Id="rId74" Type="http://schemas.openxmlformats.org/officeDocument/2006/relationships/image" Target="media/image41.emf"/><Relationship Id="rId79" Type="http://schemas.openxmlformats.org/officeDocument/2006/relationships/image" Target="media/image46.png"/><Relationship Id="rId5" Type="http://schemas.openxmlformats.org/officeDocument/2006/relationships/customXml" Target="../customXml/item5.xml"/><Relationship Id="rId90" Type="http://schemas.openxmlformats.org/officeDocument/2006/relationships/fontTable" Target="fontTable.xml"/><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diagramColors" Target="diagrams/colors1.xml"/><Relationship Id="rId30" Type="http://schemas.openxmlformats.org/officeDocument/2006/relationships/image" Target="media/image4.png"/><Relationship Id="rId35" Type="http://schemas.openxmlformats.org/officeDocument/2006/relationships/image" Target="media/image7.emf"/><Relationship Id="rId43" Type="http://schemas.openxmlformats.org/officeDocument/2006/relationships/image" Target="media/image12.png"/><Relationship Id="rId48" Type="http://schemas.openxmlformats.org/officeDocument/2006/relationships/image" Target="media/image17.emf"/><Relationship Id="rId56" Type="http://schemas.openxmlformats.org/officeDocument/2006/relationships/image" Target="media/image25.emf"/><Relationship Id="rId64" Type="http://schemas.openxmlformats.org/officeDocument/2006/relationships/image" Target="media/image31.png"/><Relationship Id="rId69" Type="http://schemas.openxmlformats.org/officeDocument/2006/relationships/image" Target="media/image36.emf"/><Relationship Id="rId77" Type="http://schemas.openxmlformats.org/officeDocument/2006/relationships/image" Target="media/image44.emf"/><Relationship Id="rId8" Type="http://schemas.openxmlformats.org/officeDocument/2006/relationships/settings" Target="settings.xml"/><Relationship Id="rId51" Type="http://schemas.openxmlformats.org/officeDocument/2006/relationships/image" Target="media/image20.emf"/><Relationship Id="rId72" Type="http://schemas.openxmlformats.org/officeDocument/2006/relationships/image" Target="media/image39.emf"/><Relationship Id="rId80" Type="http://schemas.openxmlformats.org/officeDocument/2006/relationships/image" Target="media/image47.png"/><Relationship Id="rId85" Type="http://schemas.openxmlformats.org/officeDocument/2006/relationships/image" Target="media/image52.png"/><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diagramLayout" Target="diagrams/layout1.xml"/><Relationship Id="rId33" Type="http://schemas.openxmlformats.org/officeDocument/2006/relationships/image" Target="media/image6.jpeg"/><Relationship Id="rId38" Type="http://schemas.openxmlformats.org/officeDocument/2006/relationships/hyperlink" Target="http://watermonitoring.dnrm.qld.gov.au/host.htm" TargetMode="External"/><Relationship Id="rId46" Type="http://schemas.openxmlformats.org/officeDocument/2006/relationships/image" Target="media/image15.png"/><Relationship Id="rId59" Type="http://schemas.openxmlformats.org/officeDocument/2006/relationships/hyperlink" Target="file:///C:\Users\uqshal13\AppData\Local\Microsoft\Windows\INetCache\Content.Outlook\VFFFJ1V3\Warne%20MStJ,%20Neelamraju%20C,%20Strauss%20J,%20Smith%20RA,%20Turner%20RDR,%20Mann%20RM%20(2019)%20Development%20of%20a%20Pesticide%20Risk%20Baseline%20for%20the%20Reef%202050%20Water%20Quality%20Improvement%20Plan" TargetMode="External"/><Relationship Id="rId67" Type="http://schemas.openxmlformats.org/officeDocument/2006/relationships/image" Target="media/image34.emf"/><Relationship Id="rId20" Type="http://schemas.openxmlformats.org/officeDocument/2006/relationships/hyperlink" Target="http://creativecommons.org/licences/by/3.0/au" TargetMode="External"/><Relationship Id="rId41" Type="http://schemas.openxmlformats.org/officeDocument/2006/relationships/image" Target="media/image10.emf"/><Relationship Id="rId54" Type="http://schemas.openxmlformats.org/officeDocument/2006/relationships/image" Target="media/image23.emf"/><Relationship Id="rId62" Type="http://schemas.openxmlformats.org/officeDocument/2006/relationships/image" Target="media/image29.emf"/><Relationship Id="rId70" Type="http://schemas.openxmlformats.org/officeDocument/2006/relationships/image" Target="media/image37.emf"/><Relationship Id="rId75" Type="http://schemas.openxmlformats.org/officeDocument/2006/relationships/image" Target="media/image42.emf"/><Relationship Id="rId83" Type="http://schemas.openxmlformats.org/officeDocument/2006/relationships/image" Target="media/image50.png"/><Relationship Id="rId88" Type="http://schemas.openxmlformats.org/officeDocument/2006/relationships/image" Target="media/image55.png"/><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4.xml"/><Relationship Id="rId28" Type="http://schemas.microsoft.com/office/2007/relationships/diagramDrawing" Target="diagrams/drawing1.xml"/><Relationship Id="rId36" Type="http://schemas.openxmlformats.org/officeDocument/2006/relationships/image" Target="media/image8.png"/><Relationship Id="rId49" Type="http://schemas.openxmlformats.org/officeDocument/2006/relationships/image" Target="media/image18.emf"/><Relationship Id="rId57" Type="http://schemas.openxmlformats.org/officeDocument/2006/relationships/image" Target="media/image26.emf"/><Relationship Id="rId10" Type="http://schemas.openxmlformats.org/officeDocument/2006/relationships/footnotes" Target="footnotes.xml"/><Relationship Id="rId31" Type="http://schemas.openxmlformats.org/officeDocument/2006/relationships/hyperlink" Target="http://watermonitoring.dnrm.qld.gov.au/host.htm" TargetMode="External"/><Relationship Id="rId44" Type="http://schemas.openxmlformats.org/officeDocument/2006/relationships/image" Target="media/image13.png"/><Relationship Id="rId52" Type="http://schemas.openxmlformats.org/officeDocument/2006/relationships/image" Target="media/image21.emf"/><Relationship Id="rId60" Type="http://schemas.openxmlformats.org/officeDocument/2006/relationships/image" Target="media/image28.emf"/><Relationship Id="rId65" Type="http://schemas.openxmlformats.org/officeDocument/2006/relationships/image" Target="media/image32.png"/><Relationship Id="rId73" Type="http://schemas.openxmlformats.org/officeDocument/2006/relationships/image" Target="media/image40.emf"/><Relationship Id="rId78" Type="http://schemas.openxmlformats.org/officeDocument/2006/relationships/image" Target="media/image45.emf"/><Relationship Id="rId81" Type="http://schemas.openxmlformats.org/officeDocument/2006/relationships/image" Target="media/image48.png"/><Relationship Id="rId86" Type="http://schemas.openxmlformats.org/officeDocument/2006/relationships/image" Target="media/image53.png"/><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1.jpg"/><Relationship Id="rId39" Type="http://schemas.openxmlformats.org/officeDocument/2006/relationships/image" Target="media/image9.emf"/><Relationship Id="rId34" Type="http://schemas.openxmlformats.org/officeDocument/2006/relationships/footer" Target="footer5.xml"/><Relationship Id="rId50" Type="http://schemas.openxmlformats.org/officeDocument/2006/relationships/image" Target="media/image19.png"/><Relationship Id="rId55" Type="http://schemas.openxmlformats.org/officeDocument/2006/relationships/image" Target="media/image24.emf"/><Relationship Id="rId76" Type="http://schemas.openxmlformats.org/officeDocument/2006/relationships/image" Target="media/image43.emf"/><Relationship Id="rId7" Type="http://schemas.openxmlformats.org/officeDocument/2006/relationships/styles" Target="styles.xml"/><Relationship Id="rId71" Type="http://schemas.openxmlformats.org/officeDocument/2006/relationships/image" Target="media/image38.emf"/><Relationship Id="rId2" Type="http://schemas.openxmlformats.org/officeDocument/2006/relationships/customXml" Target="../customXml/item2.xml"/><Relationship Id="rId29" Type="http://schemas.openxmlformats.org/officeDocument/2006/relationships/image" Target="media/image3.png"/><Relationship Id="rId24" Type="http://schemas.openxmlformats.org/officeDocument/2006/relationships/diagramData" Target="diagrams/data1.xml"/><Relationship Id="rId40" Type="http://schemas.openxmlformats.org/officeDocument/2006/relationships/hyperlink" Target="http://watermonitoring.dnrm.qld.gov.au/host.htm" TargetMode="External"/><Relationship Id="rId45" Type="http://schemas.openxmlformats.org/officeDocument/2006/relationships/image" Target="media/image14.png"/><Relationship Id="rId66" Type="http://schemas.openxmlformats.org/officeDocument/2006/relationships/image" Target="media/image33.emf"/><Relationship Id="rId87" Type="http://schemas.openxmlformats.org/officeDocument/2006/relationships/image" Target="media/image54.png"/><Relationship Id="rId61" Type="http://schemas.openxmlformats.org/officeDocument/2006/relationships/hyperlink" Target="http://watermonitoring.dnrm.qld.gov.au/host.htm" TargetMode="External"/><Relationship Id="rId82" Type="http://schemas.openxmlformats.org/officeDocument/2006/relationships/image" Target="media/image49.png"/><Relationship Id="rId19" Type="http://schemas.openxmlformats.org/officeDocument/2006/relationships/hyperlink" Target="http://creativecommons.org/licences/by/4.0"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DE0A195-7637-4670-804D-CD666DC672AA}" type="doc">
      <dgm:prSet loTypeId="urn:microsoft.com/office/officeart/2005/8/layout/cycle6" loCatId="cycle" qsTypeId="urn:microsoft.com/office/officeart/2005/8/quickstyle/simple1" qsCatId="simple" csTypeId="urn:microsoft.com/office/officeart/2005/8/colors/accent1_2" csCatId="accent1" phldr="1"/>
      <dgm:spPr/>
      <dgm:t>
        <a:bodyPr/>
        <a:lstStyle/>
        <a:p>
          <a:endParaRPr lang="en-AU"/>
        </a:p>
      </dgm:t>
    </dgm:pt>
    <dgm:pt modelId="{8C15F1C6-92E8-4CC4-B9E4-2C73FA7B4D11}">
      <dgm:prSet phldrT="[Text]" custT="1"/>
      <dgm:spPr/>
      <dgm:t>
        <a:bodyPr/>
        <a:lstStyle/>
        <a:p>
          <a:pPr algn="ctr">
            <a:spcAft>
              <a:spcPts val="0"/>
            </a:spcAft>
          </a:pPr>
          <a:r>
            <a:rPr lang="en-AU" sz="1000" b="1"/>
            <a:t>DRIVERS &amp; ACTIVITIES</a:t>
          </a:r>
        </a:p>
        <a:p>
          <a:pPr algn="ctr">
            <a:spcAft>
              <a:spcPts val="0"/>
            </a:spcAft>
          </a:pPr>
          <a:r>
            <a:rPr lang="en-AU" sz="1000" b="0">
              <a:solidFill>
                <a:srgbClr val="FFFF00"/>
              </a:solidFill>
            </a:rPr>
            <a:t>Climate</a:t>
          </a:r>
        </a:p>
        <a:p>
          <a:pPr algn="ctr">
            <a:spcAft>
              <a:spcPts val="0"/>
            </a:spcAft>
          </a:pPr>
          <a:r>
            <a:rPr lang="en-AU" sz="1000" b="0"/>
            <a:t>Population growth</a:t>
          </a:r>
        </a:p>
        <a:p>
          <a:pPr algn="ctr">
            <a:spcAft>
              <a:spcPts val="0"/>
            </a:spcAft>
          </a:pPr>
          <a:r>
            <a:rPr lang="en-AU" sz="1000" b="0">
              <a:solidFill>
                <a:srgbClr val="FFFF00"/>
              </a:solidFill>
            </a:rPr>
            <a:t>Economic growth (incl. agriculture </a:t>
          </a:r>
          <a:r>
            <a:rPr lang="en-AU" sz="1000" b="0">
              <a:solidFill>
                <a:schemeClr val="bg1"/>
              </a:solidFill>
            </a:rPr>
            <a:t>and coastal development)</a:t>
          </a:r>
        </a:p>
        <a:p>
          <a:pPr algn="ctr">
            <a:spcAft>
              <a:spcPts val="0"/>
            </a:spcAft>
          </a:pPr>
          <a:r>
            <a:rPr lang="en-AU" sz="1000" b="0"/>
            <a:t>Technological development</a:t>
          </a:r>
        </a:p>
        <a:p>
          <a:pPr algn="ctr">
            <a:spcAft>
              <a:spcPts val="0"/>
            </a:spcAft>
          </a:pPr>
          <a:r>
            <a:rPr lang="en-AU" sz="1000" b="0"/>
            <a:t>Societal attitudes</a:t>
          </a:r>
        </a:p>
      </dgm:t>
    </dgm:pt>
    <dgm:pt modelId="{96D77D5D-334F-46D8-882C-831F9D077427}" type="parTrans" cxnId="{3A66810B-60F3-4086-8F28-0ECF5F821BFD}">
      <dgm:prSet/>
      <dgm:spPr/>
      <dgm:t>
        <a:bodyPr/>
        <a:lstStyle/>
        <a:p>
          <a:pPr algn="ctr"/>
          <a:endParaRPr lang="en-AU" sz="1000"/>
        </a:p>
      </dgm:t>
    </dgm:pt>
    <dgm:pt modelId="{6B04BBD9-6CE7-46B7-BEAD-E15D94DAD825}" type="sibTrans" cxnId="{3A66810B-60F3-4086-8F28-0ECF5F821BFD}">
      <dgm:prSet/>
      <dgm:spPr>
        <a:ln>
          <a:headEnd type="none" w="med" len="med"/>
          <a:tailEnd type="triangle" w="med" len="med"/>
        </a:ln>
      </dgm:spPr>
      <dgm:t>
        <a:bodyPr/>
        <a:lstStyle/>
        <a:p>
          <a:pPr algn="ctr"/>
          <a:endParaRPr lang="en-AU" sz="1000"/>
        </a:p>
      </dgm:t>
    </dgm:pt>
    <dgm:pt modelId="{CD172D3B-8806-4FC9-89EE-EE069681EFC5}">
      <dgm:prSet phldrT="[Text]" custT="1"/>
      <dgm:spPr/>
      <dgm:t>
        <a:bodyPr/>
        <a:lstStyle/>
        <a:p>
          <a:pPr algn="ctr">
            <a:spcAft>
              <a:spcPts val="0"/>
            </a:spcAft>
          </a:pPr>
          <a:r>
            <a:rPr lang="en-AU" sz="1000" b="1"/>
            <a:t>PRESSURES </a:t>
          </a:r>
        </a:p>
        <a:p>
          <a:pPr algn="ctr">
            <a:spcAft>
              <a:spcPts val="0"/>
            </a:spcAft>
          </a:pPr>
          <a:r>
            <a:rPr lang="en-AU" sz="1000" b="0" i="0">
              <a:solidFill>
                <a:srgbClr val="FFFF00"/>
              </a:solidFill>
            </a:rPr>
            <a:t>Cyclones</a:t>
          </a:r>
        </a:p>
        <a:p>
          <a:pPr algn="ctr">
            <a:spcAft>
              <a:spcPts val="0"/>
            </a:spcAft>
          </a:pPr>
          <a:r>
            <a:rPr lang="en-AU" sz="1000">
              <a:solidFill>
                <a:srgbClr val="FFFF00"/>
              </a:solidFill>
            </a:rPr>
            <a:t>Freshwater discharge</a:t>
          </a:r>
        </a:p>
        <a:p>
          <a:pPr algn="ctr">
            <a:spcAft>
              <a:spcPts val="0"/>
            </a:spcAft>
          </a:pPr>
          <a:r>
            <a:rPr lang="en-AU" sz="1000">
              <a:solidFill>
                <a:srgbClr val="FFFF00"/>
              </a:solidFill>
            </a:rPr>
            <a:t>Catchment run-off (sediment, nutrient, pesticides)</a:t>
          </a:r>
        </a:p>
        <a:p>
          <a:pPr algn="ctr">
            <a:spcAft>
              <a:spcPts val="0"/>
            </a:spcAft>
          </a:pPr>
          <a:r>
            <a:rPr lang="en-AU" sz="1000">
              <a:solidFill>
                <a:srgbClr val="FFFF00"/>
              </a:solidFill>
            </a:rPr>
            <a:t>Degradation of coastal ecosystems</a:t>
          </a:r>
        </a:p>
        <a:p>
          <a:pPr algn="ctr">
            <a:spcAft>
              <a:spcPts val="0"/>
            </a:spcAft>
          </a:pPr>
          <a:r>
            <a:rPr lang="en-AU" sz="1000"/>
            <a:t>Direct  use</a:t>
          </a:r>
        </a:p>
      </dgm:t>
    </dgm:pt>
    <dgm:pt modelId="{81CA75D1-A4F5-4F57-9003-65DEC5845519}" type="parTrans" cxnId="{0AAB7034-7873-49F8-987F-FB4BBC260C76}">
      <dgm:prSet/>
      <dgm:spPr/>
      <dgm:t>
        <a:bodyPr/>
        <a:lstStyle/>
        <a:p>
          <a:pPr algn="ctr"/>
          <a:endParaRPr lang="en-AU" sz="1000"/>
        </a:p>
      </dgm:t>
    </dgm:pt>
    <dgm:pt modelId="{9C8C3A09-1621-4AD7-A907-8D308900C424}" type="sibTrans" cxnId="{0AAB7034-7873-49F8-987F-FB4BBC260C76}">
      <dgm:prSet/>
      <dgm:spPr>
        <a:ln>
          <a:headEnd type="none" w="med" len="med"/>
          <a:tailEnd type="triangle" w="med" len="med"/>
        </a:ln>
      </dgm:spPr>
      <dgm:t>
        <a:bodyPr/>
        <a:lstStyle/>
        <a:p>
          <a:pPr algn="ctr"/>
          <a:endParaRPr lang="en-AU" sz="1000"/>
        </a:p>
      </dgm:t>
    </dgm:pt>
    <dgm:pt modelId="{8B66A6C3-1604-40D1-A68F-1E81B2544239}">
      <dgm:prSet phldrT="[Text]" custT="1"/>
      <dgm:spPr/>
      <dgm:t>
        <a:bodyPr/>
        <a:lstStyle/>
        <a:p>
          <a:pPr algn="ctr">
            <a:spcAft>
              <a:spcPts val="0"/>
            </a:spcAft>
          </a:pPr>
          <a:r>
            <a:rPr lang="en-AU" sz="1000" b="1"/>
            <a:t>STATE/CONDITION &amp; TREND</a:t>
          </a:r>
        </a:p>
        <a:p>
          <a:pPr algn="ctr">
            <a:spcAft>
              <a:spcPts val="0"/>
            </a:spcAft>
          </a:pPr>
          <a:r>
            <a:rPr lang="en-AU" sz="1000"/>
            <a:t>Environmental values </a:t>
          </a:r>
          <a:r>
            <a:rPr lang="en-AU" sz="1000">
              <a:solidFill>
                <a:srgbClr val="FFFF00"/>
              </a:solidFill>
            </a:rPr>
            <a:t>incl water quality, </a:t>
          </a:r>
          <a:r>
            <a:rPr lang="en-AU" sz="1000">
              <a:solidFill>
                <a:schemeClr val="bg1"/>
              </a:solidFill>
            </a:rPr>
            <a:t>h</a:t>
          </a:r>
          <a:r>
            <a:rPr lang="en-AU" sz="1000"/>
            <a:t>abitats, species &amp; ecological processes </a:t>
          </a:r>
        </a:p>
        <a:p>
          <a:pPr algn="ctr">
            <a:spcAft>
              <a:spcPts val="0"/>
            </a:spcAft>
          </a:pPr>
          <a:r>
            <a:rPr lang="en-AU" sz="1000"/>
            <a:t>Heritage values</a:t>
          </a:r>
        </a:p>
      </dgm:t>
    </dgm:pt>
    <dgm:pt modelId="{8D8C8AA0-E2E8-4B5F-9ED4-984C5FFD31A5}" type="parTrans" cxnId="{51B4571D-37B5-4C64-B7E2-677E944EE095}">
      <dgm:prSet/>
      <dgm:spPr/>
      <dgm:t>
        <a:bodyPr/>
        <a:lstStyle/>
        <a:p>
          <a:pPr algn="ctr"/>
          <a:endParaRPr lang="en-AU" sz="1000"/>
        </a:p>
      </dgm:t>
    </dgm:pt>
    <dgm:pt modelId="{D59EE7D9-ADDF-4C7F-8033-1BE15CD5E135}" type="sibTrans" cxnId="{51B4571D-37B5-4C64-B7E2-677E944EE095}">
      <dgm:prSet/>
      <dgm:spPr>
        <a:ln>
          <a:headEnd type="none" w="med" len="med"/>
          <a:tailEnd type="triangle" w="med" len="med"/>
        </a:ln>
      </dgm:spPr>
      <dgm:t>
        <a:bodyPr/>
        <a:lstStyle/>
        <a:p>
          <a:pPr algn="ctr"/>
          <a:endParaRPr lang="en-AU" sz="1000"/>
        </a:p>
      </dgm:t>
    </dgm:pt>
    <dgm:pt modelId="{8A570E8D-FCBB-40E4-8E41-FB05931142D0}">
      <dgm:prSet phldrT="[Text]" custT="1"/>
      <dgm:spPr/>
      <dgm:t>
        <a:bodyPr/>
        <a:lstStyle/>
        <a:p>
          <a:pPr algn="ctr">
            <a:spcAft>
              <a:spcPts val="0"/>
            </a:spcAft>
          </a:pPr>
          <a:r>
            <a:rPr lang="en-AU" sz="1000" b="1"/>
            <a:t>RESPONSES </a:t>
          </a:r>
        </a:p>
        <a:p>
          <a:pPr algn="ctr">
            <a:spcAft>
              <a:spcPts val="0"/>
            </a:spcAft>
          </a:pPr>
          <a:r>
            <a:rPr lang="en-AU" sz="1000" b="1"/>
            <a:t>Management a</a:t>
          </a:r>
          <a:r>
            <a:rPr lang="en-AU" sz="1000"/>
            <a:t>ctions under e.g. </a:t>
          </a:r>
        </a:p>
        <a:p>
          <a:pPr algn="ctr">
            <a:spcAft>
              <a:spcPts val="0"/>
            </a:spcAft>
          </a:pPr>
          <a:r>
            <a:rPr lang="en-AU" sz="1000">
              <a:solidFill>
                <a:srgbClr val="FFFF00"/>
              </a:solidFill>
            </a:rPr>
            <a:t>Reef 2050 WQIP </a:t>
          </a:r>
          <a:r>
            <a:rPr lang="en-AU" sz="1000"/>
            <a:t>and Reef 2050 Long Term Sustainability Plan</a:t>
          </a:r>
        </a:p>
        <a:p>
          <a:pPr algn="ctr">
            <a:spcAft>
              <a:spcPts val="0"/>
            </a:spcAft>
          </a:pPr>
          <a:endParaRPr lang="en-AU" sz="1000"/>
        </a:p>
        <a:p>
          <a:pPr algn="ctr">
            <a:spcAft>
              <a:spcPts val="0"/>
            </a:spcAft>
          </a:pPr>
          <a:endParaRPr lang="en-AU" sz="1000"/>
        </a:p>
      </dgm:t>
    </dgm:pt>
    <dgm:pt modelId="{E8069402-2BEB-4D94-BF1C-5A97A418D6D7}" type="parTrans" cxnId="{77C80292-CB67-4092-BB37-55A8C2F80AF8}">
      <dgm:prSet/>
      <dgm:spPr/>
      <dgm:t>
        <a:bodyPr/>
        <a:lstStyle/>
        <a:p>
          <a:pPr algn="ctr"/>
          <a:endParaRPr lang="en-AU" sz="1000"/>
        </a:p>
      </dgm:t>
    </dgm:pt>
    <dgm:pt modelId="{91E738BA-473A-42E6-B4BA-D3FFE86009FD}" type="sibTrans" cxnId="{77C80292-CB67-4092-BB37-55A8C2F80AF8}">
      <dgm:prSet/>
      <dgm:spPr>
        <a:ln>
          <a:headEnd type="none" w="med" len="med"/>
          <a:tailEnd type="triangle" w="med" len="med"/>
        </a:ln>
      </dgm:spPr>
      <dgm:t>
        <a:bodyPr/>
        <a:lstStyle/>
        <a:p>
          <a:pPr algn="ctr"/>
          <a:endParaRPr lang="en-AU" sz="1000"/>
        </a:p>
      </dgm:t>
    </dgm:pt>
    <dgm:pt modelId="{D4B6B105-087C-4601-9DCD-1F9ED905ECB8}">
      <dgm:prSet custT="1"/>
      <dgm:spPr/>
      <dgm:t>
        <a:bodyPr/>
        <a:lstStyle/>
        <a:p>
          <a:pPr algn="ctr">
            <a:lnSpc>
              <a:spcPct val="100000"/>
            </a:lnSpc>
            <a:spcAft>
              <a:spcPts val="0"/>
            </a:spcAft>
          </a:pPr>
          <a:r>
            <a:rPr lang="en-AU" sz="1000" b="1"/>
            <a:t>COMMUNITY BENEFITS</a:t>
          </a:r>
        </a:p>
        <a:p>
          <a:pPr algn="ctr">
            <a:lnSpc>
              <a:spcPct val="100000"/>
            </a:lnSpc>
            <a:spcAft>
              <a:spcPts val="0"/>
            </a:spcAft>
          </a:pPr>
          <a:r>
            <a:rPr lang="en-AU" sz="1000" b="1"/>
            <a:t>Ecosystem services:</a:t>
          </a:r>
        </a:p>
        <a:p>
          <a:pPr algn="ctr">
            <a:lnSpc>
              <a:spcPct val="100000"/>
            </a:lnSpc>
            <a:spcAft>
              <a:spcPts val="0"/>
            </a:spcAft>
          </a:pPr>
          <a:r>
            <a:rPr lang="en-AU" sz="1000" b="0"/>
            <a:t>provisioning, </a:t>
          </a:r>
        </a:p>
        <a:p>
          <a:pPr algn="ctr">
            <a:lnSpc>
              <a:spcPct val="100000"/>
            </a:lnSpc>
            <a:spcAft>
              <a:spcPts val="0"/>
            </a:spcAft>
          </a:pPr>
          <a:r>
            <a:rPr lang="en-AU" sz="1000" b="0"/>
            <a:t>regulating,</a:t>
          </a:r>
        </a:p>
        <a:p>
          <a:pPr algn="ctr">
            <a:lnSpc>
              <a:spcPct val="100000"/>
            </a:lnSpc>
            <a:spcAft>
              <a:spcPts val="0"/>
            </a:spcAft>
          </a:pPr>
          <a:r>
            <a:rPr lang="en-AU" sz="1000" b="0"/>
            <a:t>cultural,</a:t>
          </a:r>
        </a:p>
        <a:p>
          <a:pPr algn="ctr">
            <a:lnSpc>
              <a:spcPct val="100000"/>
            </a:lnSpc>
            <a:spcAft>
              <a:spcPts val="0"/>
            </a:spcAft>
          </a:pPr>
          <a:r>
            <a:rPr lang="en-AU" sz="1000" b="0"/>
            <a:t>supporting</a:t>
          </a:r>
          <a:endParaRPr lang="en-AU" sz="1000" b="1"/>
        </a:p>
      </dgm:t>
    </dgm:pt>
    <dgm:pt modelId="{B79B5453-8BEA-4837-A7C7-8737220FE85D}" type="parTrans" cxnId="{9D7BB083-796D-4AAB-9FDA-E531CE4D78F4}">
      <dgm:prSet/>
      <dgm:spPr/>
      <dgm:t>
        <a:bodyPr/>
        <a:lstStyle/>
        <a:p>
          <a:pPr algn="ctr"/>
          <a:endParaRPr lang="en-AU"/>
        </a:p>
      </dgm:t>
    </dgm:pt>
    <dgm:pt modelId="{B829D853-E02D-46E1-87A5-07DDA8155249}" type="sibTrans" cxnId="{9D7BB083-796D-4AAB-9FDA-E531CE4D78F4}">
      <dgm:prSet/>
      <dgm:spPr>
        <a:ln>
          <a:headEnd type="none" w="med" len="med"/>
          <a:tailEnd type="triangle" w="med" len="med"/>
        </a:ln>
      </dgm:spPr>
      <dgm:t>
        <a:bodyPr/>
        <a:lstStyle/>
        <a:p>
          <a:pPr algn="ctr"/>
          <a:endParaRPr lang="en-AU"/>
        </a:p>
      </dgm:t>
    </dgm:pt>
    <dgm:pt modelId="{53DF50D0-95B5-4AB4-A7EB-9C1686B6E6EF}" type="pres">
      <dgm:prSet presAssocID="{1DE0A195-7637-4670-804D-CD666DC672AA}" presName="cycle" presStyleCnt="0">
        <dgm:presLayoutVars>
          <dgm:dir/>
          <dgm:resizeHandles val="exact"/>
        </dgm:presLayoutVars>
      </dgm:prSet>
      <dgm:spPr/>
      <dgm:t>
        <a:bodyPr/>
        <a:lstStyle/>
        <a:p>
          <a:endParaRPr lang="en-AU"/>
        </a:p>
      </dgm:t>
    </dgm:pt>
    <dgm:pt modelId="{3DBFC7A1-0FA2-4F1F-A073-8E9E56A32DF2}" type="pres">
      <dgm:prSet presAssocID="{8C15F1C6-92E8-4CC4-B9E4-2C73FA7B4D11}" presName="node" presStyleLbl="node1" presStyleIdx="0" presStyleCnt="5" custScaleY="144969" custRadScaleRad="90596">
        <dgm:presLayoutVars>
          <dgm:bulletEnabled val="1"/>
        </dgm:presLayoutVars>
      </dgm:prSet>
      <dgm:spPr/>
      <dgm:t>
        <a:bodyPr/>
        <a:lstStyle/>
        <a:p>
          <a:endParaRPr lang="en-AU"/>
        </a:p>
      </dgm:t>
    </dgm:pt>
    <dgm:pt modelId="{01CB1DC5-947F-4AAF-9AB1-B3F03E621D65}" type="pres">
      <dgm:prSet presAssocID="{8C15F1C6-92E8-4CC4-B9E4-2C73FA7B4D11}" presName="spNode" presStyleCnt="0"/>
      <dgm:spPr/>
    </dgm:pt>
    <dgm:pt modelId="{36327801-6DFD-445C-8E46-413C8DD253DA}" type="pres">
      <dgm:prSet presAssocID="{6B04BBD9-6CE7-46B7-BEAD-E15D94DAD825}" presName="sibTrans" presStyleLbl="sibTrans1D1" presStyleIdx="0" presStyleCnt="5"/>
      <dgm:spPr/>
      <dgm:t>
        <a:bodyPr/>
        <a:lstStyle/>
        <a:p>
          <a:endParaRPr lang="en-AU"/>
        </a:p>
      </dgm:t>
    </dgm:pt>
    <dgm:pt modelId="{4ABEAA84-B142-4B17-8A52-698A3C839A2D}" type="pres">
      <dgm:prSet presAssocID="{CD172D3B-8806-4FC9-89EE-EE069681EFC5}" presName="node" presStyleLbl="node1" presStyleIdx="1" presStyleCnt="5" custScaleY="142755">
        <dgm:presLayoutVars>
          <dgm:bulletEnabled val="1"/>
        </dgm:presLayoutVars>
      </dgm:prSet>
      <dgm:spPr/>
      <dgm:t>
        <a:bodyPr/>
        <a:lstStyle/>
        <a:p>
          <a:endParaRPr lang="en-AU"/>
        </a:p>
      </dgm:t>
    </dgm:pt>
    <dgm:pt modelId="{DDA60C34-2DD7-4796-B886-4EF7826FEF28}" type="pres">
      <dgm:prSet presAssocID="{CD172D3B-8806-4FC9-89EE-EE069681EFC5}" presName="spNode" presStyleCnt="0"/>
      <dgm:spPr/>
    </dgm:pt>
    <dgm:pt modelId="{A10BDE99-D6B7-4B51-BE75-75F7C6BE1885}" type="pres">
      <dgm:prSet presAssocID="{9C8C3A09-1621-4AD7-A907-8D308900C424}" presName="sibTrans" presStyleLbl="sibTrans1D1" presStyleIdx="1" presStyleCnt="5"/>
      <dgm:spPr/>
      <dgm:t>
        <a:bodyPr/>
        <a:lstStyle/>
        <a:p>
          <a:endParaRPr lang="en-AU"/>
        </a:p>
      </dgm:t>
    </dgm:pt>
    <dgm:pt modelId="{5373B97C-1964-491D-9E5F-1DD6F77E1A9D}" type="pres">
      <dgm:prSet presAssocID="{8B66A6C3-1604-40D1-A68F-1E81B2544239}" presName="node" presStyleLbl="node1" presStyleIdx="2" presStyleCnt="5" custScaleY="123930" custRadScaleRad="90851" custRadScaleInc="-12903">
        <dgm:presLayoutVars>
          <dgm:bulletEnabled val="1"/>
        </dgm:presLayoutVars>
      </dgm:prSet>
      <dgm:spPr/>
      <dgm:t>
        <a:bodyPr/>
        <a:lstStyle/>
        <a:p>
          <a:endParaRPr lang="en-AU"/>
        </a:p>
      </dgm:t>
    </dgm:pt>
    <dgm:pt modelId="{E64D2173-1FE3-429B-B4C0-CCF4B79561AF}" type="pres">
      <dgm:prSet presAssocID="{8B66A6C3-1604-40D1-A68F-1E81B2544239}" presName="spNode" presStyleCnt="0"/>
      <dgm:spPr/>
    </dgm:pt>
    <dgm:pt modelId="{7C739E9A-C2B3-44FB-A3B3-D4BE19697EC5}" type="pres">
      <dgm:prSet presAssocID="{D59EE7D9-ADDF-4C7F-8033-1BE15CD5E135}" presName="sibTrans" presStyleLbl="sibTrans1D1" presStyleIdx="2" presStyleCnt="5"/>
      <dgm:spPr/>
      <dgm:t>
        <a:bodyPr/>
        <a:lstStyle/>
        <a:p>
          <a:endParaRPr lang="en-AU"/>
        </a:p>
      </dgm:t>
    </dgm:pt>
    <dgm:pt modelId="{29CDC468-4EBC-4F8B-8519-A258012955D8}" type="pres">
      <dgm:prSet presAssocID="{D4B6B105-087C-4601-9DCD-1F9ED905ECB8}" presName="node" presStyleLbl="node1" presStyleIdx="3" presStyleCnt="5" custScaleY="124555" custRadScaleRad="90540" custRadScaleInc="11890">
        <dgm:presLayoutVars>
          <dgm:bulletEnabled val="1"/>
        </dgm:presLayoutVars>
      </dgm:prSet>
      <dgm:spPr/>
      <dgm:t>
        <a:bodyPr/>
        <a:lstStyle/>
        <a:p>
          <a:endParaRPr lang="en-AU"/>
        </a:p>
      </dgm:t>
    </dgm:pt>
    <dgm:pt modelId="{38D35AC7-3943-4E2A-B396-41D408E622EC}" type="pres">
      <dgm:prSet presAssocID="{D4B6B105-087C-4601-9DCD-1F9ED905ECB8}" presName="spNode" presStyleCnt="0"/>
      <dgm:spPr/>
    </dgm:pt>
    <dgm:pt modelId="{4C63CF13-70E5-4322-88CC-DCE46D536B23}" type="pres">
      <dgm:prSet presAssocID="{B829D853-E02D-46E1-87A5-07DDA8155249}" presName="sibTrans" presStyleLbl="sibTrans1D1" presStyleIdx="3" presStyleCnt="5"/>
      <dgm:spPr/>
      <dgm:t>
        <a:bodyPr/>
        <a:lstStyle/>
        <a:p>
          <a:endParaRPr lang="en-AU"/>
        </a:p>
      </dgm:t>
    </dgm:pt>
    <dgm:pt modelId="{317E6803-C980-41B5-BE06-61659E038B48}" type="pres">
      <dgm:prSet presAssocID="{8A570E8D-FCBB-40E4-8E41-FB05931142D0}" presName="node" presStyleLbl="node1" presStyleIdx="4" presStyleCnt="5" custScaleY="142755">
        <dgm:presLayoutVars>
          <dgm:bulletEnabled val="1"/>
        </dgm:presLayoutVars>
      </dgm:prSet>
      <dgm:spPr/>
      <dgm:t>
        <a:bodyPr/>
        <a:lstStyle/>
        <a:p>
          <a:endParaRPr lang="en-AU"/>
        </a:p>
      </dgm:t>
    </dgm:pt>
    <dgm:pt modelId="{97DE43F0-148F-4640-88B5-C1A12B7D0979}" type="pres">
      <dgm:prSet presAssocID="{8A570E8D-FCBB-40E4-8E41-FB05931142D0}" presName="spNode" presStyleCnt="0"/>
      <dgm:spPr/>
    </dgm:pt>
    <dgm:pt modelId="{06CF278F-0012-4B15-B0B3-89F1E3B64D07}" type="pres">
      <dgm:prSet presAssocID="{91E738BA-473A-42E6-B4BA-D3FFE86009FD}" presName="sibTrans" presStyleLbl="sibTrans1D1" presStyleIdx="4" presStyleCnt="5"/>
      <dgm:spPr/>
      <dgm:t>
        <a:bodyPr/>
        <a:lstStyle/>
        <a:p>
          <a:endParaRPr lang="en-AU"/>
        </a:p>
      </dgm:t>
    </dgm:pt>
  </dgm:ptLst>
  <dgm:cxnLst>
    <dgm:cxn modelId="{88BF5D86-E2B7-4928-BE9A-5B78D02F77C9}" type="presOf" srcId="{9C8C3A09-1621-4AD7-A907-8D308900C424}" destId="{A10BDE99-D6B7-4B51-BE75-75F7C6BE1885}" srcOrd="0" destOrd="0" presId="urn:microsoft.com/office/officeart/2005/8/layout/cycle6"/>
    <dgm:cxn modelId="{9D7BB083-796D-4AAB-9FDA-E531CE4D78F4}" srcId="{1DE0A195-7637-4670-804D-CD666DC672AA}" destId="{D4B6B105-087C-4601-9DCD-1F9ED905ECB8}" srcOrd="3" destOrd="0" parTransId="{B79B5453-8BEA-4837-A7C7-8737220FE85D}" sibTransId="{B829D853-E02D-46E1-87A5-07DDA8155249}"/>
    <dgm:cxn modelId="{91902812-8AA1-4269-BE59-C0E78C317276}" type="presOf" srcId="{B829D853-E02D-46E1-87A5-07DDA8155249}" destId="{4C63CF13-70E5-4322-88CC-DCE46D536B23}" srcOrd="0" destOrd="0" presId="urn:microsoft.com/office/officeart/2005/8/layout/cycle6"/>
    <dgm:cxn modelId="{A79DD72E-B48E-43F6-853A-93B026D51267}" type="presOf" srcId="{8B66A6C3-1604-40D1-A68F-1E81B2544239}" destId="{5373B97C-1964-491D-9E5F-1DD6F77E1A9D}" srcOrd="0" destOrd="0" presId="urn:microsoft.com/office/officeart/2005/8/layout/cycle6"/>
    <dgm:cxn modelId="{000ECFD5-9B3E-4B80-8A24-91C3880C5719}" type="presOf" srcId="{CD172D3B-8806-4FC9-89EE-EE069681EFC5}" destId="{4ABEAA84-B142-4B17-8A52-698A3C839A2D}" srcOrd="0" destOrd="0" presId="urn:microsoft.com/office/officeart/2005/8/layout/cycle6"/>
    <dgm:cxn modelId="{77C80292-CB67-4092-BB37-55A8C2F80AF8}" srcId="{1DE0A195-7637-4670-804D-CD666DC672AA}" destId="{8A570E8D-FCBB-40E4-8E41-FB05931142D0}" srcOrd="4" destOrd="0" parTransId="{E8069402-2BEB-4D94-BF1C-5A97A418D6D7}" sibTransId="{91E738BA-473A-42E6-B4BA-D3FFE86009FD}"/>
    <dgm:cxn modelId="{2FAFFFF9-3C69-41A9-81E6-B1C696FC10A8}" type="presOf" srcId="{6B04BBD9-6CE7-46B7-BEAD-E15D94DAD825}" destId="{36327801-6DFD-445C-8E46-413C8DD253DA}" srcOrd="0" destOrd="0" presId="urn:microsoft.com/office/officeart/2005/8/layout/cycle6"/>
    <dgm:cxn modelId="{3A66810B-60F3-4086-8F28-0ECF5F821BFD}" srcId="{1DE0A195-7637-4670-804D-CD666DC672AA}" destId="{8C15F1C6-92E8-4CC4-B9E4-2C73FA7B4D11}" srcOrd="0" destOrd="0" parTransId="{96D77D5D-334F-46D8-882C-831F9D077427}" sibTransId="{6B04BBD9-6CE7-46B7-BEAD-E15D94DAD825}"/>
    <dgm:cxn modelId="{95DCD31E-2343-46C3-A153-46CD39F4828C}" type="presOf" srcId="{91E738BA-473A-42E6-B4BA-D3FFE86009FD}" destId="{06CF278F-0012-4B15-B0B3-89F1E3B64D07}" srcOrd="0" destOrd="0" presId="urn:microsoft.com/office/officeart/2005/8/layout/cycle6"/>
    <dgm:cxn modelId="{22E7D22B-3FE1-4E10-9642-FBA018087962}" type="presOf" srcId="{8A570E8D-FCBB-40E4-8E41-FB05931142D0}" destId="{317E6803-C980-41B5-BE06-61659E038B48}" srcOrd="0" destOrd="0" presId="urn:microsoft.com/office/officeart/2005/8/layout/cycle6"/>
    <dgm:cxn modelId="{945D781E-E988-4AFB-B216-F8DAEA8A840E}" type="presOf" srcId="{D4B6B105-087C-4601-9DCD-1F9ED905ECB8}" destId="{29CDC468-4EBC-4F8B-8519-A258012955D8}" srcOrd="0" destOrd="0" presId="urn:microsoft.com/office/officeart/2005/8/layout/cycle6"/>
    <dgm:cxn modelId="{AF6FBDDE-A2F8-4837-8B29-B8551C2867B1}" type="presOf" srcId="{8C15F1C6-92E8-4CC4-B9E4-2C73FA7B4D11}" destId="{3DBFC7A1-0FA2-4F1F-A073-8E9E56A32DF2}" srcOrd="0" destOrd="0" presId="urn:microsoft.com/office/officeart/2005/8/layout/cycle6"/>
    <dgm:cxn modelId="{1C0A4D8B-8A1A-474C-9188-8807A3CE09F3}" type="presOf" srcId="{D59EE7D9-ADDF-4C7F-8033-1BE15CD5E135}" destId="{7C739E9A-C2B3-44FB-A3B3-D4BE19697EC5}" srcOrd="0" destOrd="0" presId="urn:microsoft.com/office/officeart/2005/8/layout/cycle6"/>
    <dgm:cxn modelId="{51B4571D-37B5-4C64-B7E2-677E944EE095}" srcId="{1DE0A195-7637-4670-804D-CD666DC672AA}" destId="{8B66A6C3-1604-40D1-A68F-1E81B2544239}" srcOrd="2" destOrd="0" parTransId="{8D8C8AA0-E2E8-4B5F-9ED4-984C5FFD31A5}" sibTransId="{D59EE7D9-ADDF-4C7F-8033-1BE15CD5E135}"/>
    <dgm:cxn modelId="{0AAB7034-7873-49F8-987F-FB4BBC260C76}" srcId="{1DE0A195-7637-4670-804D-CD666DC672AA}" destId="{CD172D3B-8806-4FC9-89EE-EE069681EFC5}" srcOrd="1" destOrd="0" parTransId="{81CA75D1-A4F5-4F57-9003-65DEC5845519}" sibTransId="{9C8C3A09-1621-4AD7-A907-8D308900C424}"/>
    <dgm:cxn modelId="{F30B85A2-1B7F-45AD-9EA6-D083D27326C2}" type="presOf" srcId="{1DE0A195-7637-4670-804D-CD666DC672AA}" destId="{53DF50D0-95B5-4AB4-A7EB-9C1686B6E6EF}" srcOrd="0" destOrd="0" presId="urn:microsoft.com/office/officeart/2005/8/layout/cycle6"/>
    <dgm:cxn modelId="{44B3FBFB-63A6-4168-B947-D545A34E2904}" type="presParOf" srcId="{53DF50D0-95B5-4AB4-A7EB-9C1686B6E6EF}" destId="{3DBFC7A1-0FA2-4F1F-A073-8E9E56A32DF2}" srcOrd="0" destOrd="0" presId="urn:microsoft.com/office/officeart/2005/8/layout/cycle6"/>
    <dgm:cxn modelId="{54A40E4D-392D-4A77-A5AD-8A173E84932B}" type="presParOf" srcId="{53DF50D0-95B5-4AB4-A7EB-9C1686B6E6EF}" destId="{01CB1DC5-947F-4AAF-9AB1-B3F03E621D65}" srcOrd="1" destOrd="0" presId="urn:microsoft.com/office/officeart/2005/8/layout/cycle6"/>
    <dgm:cxn modelId="{018EF97C-360B-46A4-A2AB-6A5ACAA9FDFB}" type="presParOf" srcId="{53DF50D0-95B5-4AB4-A7EB-9C1686B6E6EF}" destId="{36327801-6DFD-445C-8E46-413C8DD253DA}" srcOrd="2" destOrd="0" presId="urn:microsoft.com/office/officeart/2005/8/layout/cycle6"/>
    <dgm:cxn modelId="{2A9C448C-7C77-498F-99BF-807A66989A19}" type="presParOf" srcId="{53DF50D0-95B5-4AB4-A7EB-9C1686B6E6EF}" destId="{4ABEAA84-B142-4B17-8A52-698A3C839A2D}" srcOrd="3" destOrd="0" presId="urn:microsoft.com/office/officeart/2005/8/layout/cycle6"/>
    <dgm:cxn modelId="{D3591CF3-4B7A-4089-B33D-3759FBAFBBE5}" type="presParOf" srcId="{53DF50D0-95B5-4AB4-A7EB-9C1686B6E6EF}" destId="{DDA60C34-2DD7-4796-B886-4EF7826FEF28}" srcOrd="4" destOrd="0" presId="urn:microsoft.com/office/officeart/2005/8/layout/cycle6"/>
    <dgm:cxn modelId="{5D538A2E-D136-4427-9635-1C4E464FE200}" type="presParOf" srcId="{53DF50D0-95B5-4AB4-A7EB-9C1686B6E6EF}" destId="{A10BDE99-D6B7-4B51-BE75-75F7C6BE1885}" srcOrd="5" destOrd="0" presId="urn:microsoft.com/office/officeart/2005/8/layout/cycle6"/>
    <dgm:cxn modelId="{1E5EB28F-71BE-4A7E-AE81-5E9EF25B5435}" type="presParOf" srcId="{53DF50D0-95B5-4AB4-A7EB-9C1686B6E6EF}" destId="{5373B97C-1964-491D-9E5F-1DD6F77E1A9D}" srcOrd="6" destOrd="0" presId="urn:microsoft.com/office/officeart/2005/8/layout/cycle6"/>
    <dgm:cxn modelId="{FAB07F32-B26F-4D24-9650-BB9D89DEB859}" type="presParOf" srcId="{53DF50D0-95B5-4AB4-A7EB-9C1686B6E6EF}" destId="{E64D2173-1FE3-429B-B4C0-CCF4B79561AF}" srcOrd="7" destOrd="0" presId="urn:microsoft.com/office/officeart/2005/8/layout/cycle6"/>
    <dgm:cxn modelId="{22807512-8BF4-4440-B811-443162FC931C}" type="presParOf" srcId="{53DF50D0-95B5-4AB4-A7EB-9C1686B6E6EF}" destId="{7C739E9A-C2B3-44FB-A3B3-D4BE19697EC5}" srcOrd="8" destOrd="0" presId="urn:microsoft.com/office/officeart/2005/8/layout/cycle6"/>
    <dgm:cxn modelId="{0901089D-F43E-4EBF-BE2B-05CCAD89650B}" type="presParOf" srcId="{53DF50D0-95B5-4AB4-A7EB-9C1686B6E6EF}" destId="{29CDC468-4EBC-4F8B-8519-A258012955D8}" srcOrd="9" destOrd="0" presId="urn:microsoft.com/office/officeart/2005/8/layout/cycle6"/>
    <dgm:cxn modelId="{A09D3D14-1A66-43C5-BA1A-15B57D278748}" type="presParOf" srcId="{53DF50D0-95B5-4AB4-A7EB-9C1686B6E6EF}" destId="{38D35AC7-3943-4E2A-B396-41D408E622EC}" srcOrd="10" destOrd="0" presId="urn:microsoft.com/office/officeart/2005/8/layout/cycle6"/>
    <dgm:cxn modelId="{C665C48F-64DA-41DA-843C-BC20EFDB9E9C}" type="presParOf" srcId="{53DF50D0-95B5-4AB4-A7EB-9C1686B6E6EF}" destId="{4C63CF13-70E5-4322-88CC-DCE46D536B23}" srcOrd="11" destOrd="0" presId="urn:microsoft.com/office/officeart/2005/8/layout/cycle6"/>
    <dgm:cxn modelId="{DE1E275F-CCC5-46A5-867B-B4B0B1EEAF35}" type="presParOf" srcId="{53DF50D0-95B5-4AB4-A7EB-9C1686B6E6EF}" destId="{317E6803-C980-41B5-BE06-61659E038B48}" srcOrd="12" destOrd="0" presId="urn:microsoft.com/office/officeart/2005/8/layout/cycle6"/>
    <dgm:cxn modelId="{3507F479-79FC-4635-99BA-39A2C181D7A8}" type="presParOf" srcId="{53DF50D0-95B5-4AB4-A7EB-9C1686B6E6EF}" destId="{97DE43F0-148F-4640-88B5-C1A12B7D0979}" srcOrd="13" destOrd="0" presId="urn:microsoft.com/office/officeart/2005/8/layout/cycle6"/>
    <dgm:cxn modelId="{8C59C168-F0D5-4B08-8129-607532704B6F}" type="presParOf" srcId="{53DF50D0-95B5-4AB4-A7EB-9C1686B6E6EF}" destId="{06CF278F-0012-4B15-B0B3-89F1E3B64D07}" srcOrd="14" destOrd="0" presId="urn:microsoft.com/office/officeart/2005/8/layout/cycle6"/>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BFC7A1-0FA2-4F1F-A073-8E9E56A32DF2}">
      <dsp:nvSpPr>
        <dsp:cNvPr id="0" name=""/>
        <dsp:cNvSpPr/>
      </dsp:nvSpPr>
      <dsp:spPr>
        <a:xfrm>
          <a:off x="2062247" y="48067"/>
          <a:ext cx="1480658" cy="139522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DRIVERS &amp; ACTIVITIES</a:t>
          </a:r>
        </a:p>
        <a:p>
          <a:pPr lvl="0" algn="ctr" defTabSz="444500">
            <a:lnSpc>
              <a:spcPct val="90000"/>
            </a:lnSpc>
            <a:spcBef>
              <a:spcPct val="0"/>
            </a:spcBef>
            <a:spcAft>
              <a:spcPts val="0"/>
            </a:spcAft>
          </a:pPr>
          <a:r>
            <a:rPr lang="en-AU" sz="1000" b="0" kern="1200">
              <a:solidFill>
                <a:srgbClr val="FFFF00"/>
              </a:solidFill>
            </a:rPr>
            <a:t>Climate</a:t>
          </a:r>
        </a:p>
        <a:p>
          <a:pPr lvl="0" algn="ctr" defTabSz="444500">
            <a:lnSpc>
              <a:spcPct val="90000"/>
            </a:lnSpc>
            <a:spcBef>
              <a:spcPct val="0"/>
            </a:spcBef>
            <a:spcAft>
              <a:spcPts val="0"/>
            </a:spcAft>
          </a:pPr>
          <a:r>
            <a:rPr lang="en-AU" sz="1000" b="0" kern="1200"/>
            <a:t>Population growth</a:t>
          </a:r>
        </a:p>
        <a:p>
          <a:pPr lvl="0" algn="ctr" defTabSz="444500">
            <a:lnSpc>
              <a:spcPct val="90000"/>
            </a:lnSpc>
            <a:spcBef>
              <a:spcPct val="0"/>
            </a:spcBef>
            <a:spcAft>
              <a:spcPts val="0"/>
            </a:spcAft>
          </a:pPr>
          <a:r>
            <a:rPr lang="en-AU" sz="1000" b="0" kern="1200">
              <a:solidFill>
                <a:srgbClr val="FFFF00"/>
              </a:solidFill>
            </a:rPr>
            <a:t>Economic growth (incl. agriculture </a:t>
          </a:r>
          <a:r>
            <a:rPr lang="en-AU" sz="1000" b="0" kern="1200">
              <a:solidFill>
                <a:schemeClr val="bg1"/>
              </a:solidFill>
            </a:rPr>
            <a:t>and coastal development)</a:t>
          </a:r>
        </a:p>
        <a:p>
          <a:pPr lvl="0" algn="ctr" defTabSz="444500">
            <a:lnSpc>
              <a:spcPct val="90000"/>
            </a:lnSpc>
            <a:spcBef>
              <a:spcPct val="0"/>
            </a:spcBef>
            <a:spcAft>
              <a:spcPts val="0"/>
            </a:spcAft>
          </a:pPr>
          <a:r>
            <a:rPr lang="en-AU" sz="1000" b="0" kern="1200"/>
            <a:t>Technological development</a:t>
          </a:r>
        </a:p>
        <a:p>
          <a:pPr lvl="0" algn="ctr" defTabSz="444500">
            <a:lnSpc>
              <a:spcPct val="90000"/>
            </a:lnSpc>
            <a:spcBef>
              <a:spcPct val="0"/>
            </a:spcBef>
            <a:spcAft>
              <a:spcPts val="0"/>
            </a:spcAft>
          </a:pPr>
          <a:r>
            <a:rPr lang="en-AU" sz="1000" b="0" kern="1200"/>
            <a:t>Societal attitudes</a:t>
          </a:r>
        </a:p>
      </dsp:txBody>
      <dsp:txXfrm>
        <a:off x="2130356" y="116176"/>
        <a:ext cx="1344440" cy="1259003"/>
      </dsp:txXfrm>
    </dsp:sp>
    <dsp:sp modelId="{36327801-6DFD-445C-8E46-413C8DD253DA}">
      <dsp:nvSpPr>
        <dsp:cNvPr id="0" name=""/>
        <dsp:cNvSpPr/>
      </dsp:nvSpPr>
      <dsp:spPr>
        <a:xfrm>
          <a:off x="1225069" y="870038"/>
          <a:ext cx="3849010" cy="3849010"/>
        </a:xfrm>
        <a:custGeom>
          <a:avLst/>
          <a:gdLst/>
          <a:ahLst/>
          <a:cxnLst/>
          <a:rect l="0" t="0" r="0" b="0"/>
          <a:pathLst>
            <a:path>
              <a:moveTo>
                <a:pt x="2325234" y="42183"/>
              </a:moveTo>
              <a:arcTo wR="1924505" hR="1924505" stAng="16921099" swAng="1332342"/>
            </a:path>
          </a:pathLst>
        </a:custGeom>
        <a:noFill/>
        <a:ln w="9525" cap="flat" cmpd="sng" algn="ctr">
          <a:solidFill>
            <a:scrgbClr r="0" g="0" b="0">
              <a:shade val="95000"/>
              <a:satMod val="105000"/>
            </a:scrgbClr>
          </a:solidFill>
          <a:prstDash val="solid"/>
          <a:headEnd type="none" w="med" len="med"/>
          <a:tailEnd type="triangle" w="med" len="med"/>
        </a:ln>
        <a:effectLst/>
      </dsp:spPr>
      <dsp:style>
        <a:lnRef idx="1">
          <a:scrgbClr r="0" g="0" b="0"/>
        </a:lnRef>
        <a:fillRef idx="0">
          <a:scrgbClr r="0" g="0" b="0"/>
        </a:fillRef>
        <a:effectRef idx="0">
          <a:scrgbClr r="0" g="0" b="0"/>
        </a:effectRef>
        <a:fontRef idx="minor"/>
      </dsp:style>
    </dsp:sp>
    <dsp:sp modelId="{4ABEAA84-B142-4B17-8A52-698A3C839A2D}">
      <dsp:nvSpPr>
        <dsp:cNvPr id="0" name=""/>
        <dsp:cNvSpPr/>
      </dsp:nvSpPr>
      <dsp:spPr>
        <a:xfrm>
          <a:off x="3892560" y="1207541"/>
          <a:ext cx="1480658" cy="137391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PRESSURES </a:t>
          </a:r>
        </a:p>
        <a:p>
          <a:pPr lvl="0" algn="ctr" defTabSz="444500">
            <a:lnSpc>
              <a:spcPct val="90000"/>
            </a:lnSpc>
            <a:spcBef>
              <a:spcPct val="0"/>
            </a:spcBef>
            <a:spcAft>
              <a:spcPts val="0"/>
            </a:spcAft>
          </a:pPr>
          <a:r>
            <a:rPr lang="en-AU" sz="1000" b="0" i="0" kern="1200">
              <a:solidFill>
                <a:srgbClr val="FFFF00"/>
              </a:solidFill>
            </a:rPr>
            <a:t>Cyclones</a:t>
          </a:r>
        </a:p>
        <a:p>
          <a:pPr lvl="0" algn="ctr" defTabSz="444500">
            <a:lnSpc>
              <a:spcPct val="90000"/>
            </a:lnSpc>
            <a:spcBef>
              <a:spcPct val="0"/>
            </a:spcBef>
            <a:spcAft>
              <a:spcPts val="0"/>
            </a:spcAft>
          </a:pPr>
          <a:r>
            <a:rPr lang="en-AU" sz="1000" kern="1200">
              <a:solidFill>
                <a:srgbClr val="FFFF00"/>
              </a:solidFill>
            </a:rPr>
            <a:t>Freshwater discharge</a:t>
          </a:r>
        </a:p>
        <a:p>
          <a:pPr lvl="0" algn="ctr" defTabSz="444500">
            <a:lnSpc>
              <a:spcPct val="90000"/>
            </a:lnSpc>
            <a:spcBef>
              <a:spcPct val="0"/>
            </a:spcBef>
            <a:spcAft>
              <a:spcPts val="0"/>
            </a:spcAft>
          </a:pPr>
          <a:r>
            <a:rPr lang="en-AU" sz="1000" kern="1200">
              <a:solidFill>
                <a:srgbClr val="FFFF00"/>
              </a:solidFill>
            </a:rPr>
            <a:t>Catchment run-off (sediment, nutrient, pesticides)</a:t>
          </a:r>
        </a:p>
        <a:p>
          <a:pPr lvl="0" algn="ctr" defTabSz="444500">
            <a:lnSpc>
              <a:spcPct val="90000"/>
            </a:lnSpc>
            <a:spcBef>
              <a:spcPct val="0"/>
            </a:spcBef>
            <a:spcAft>
              <a:spcPts val="0"/>
            </a:spcAft>
          </a:pPr>
          <a:r>
            <a:rPr lang="en-AU" sz="1000" kern="1200">
              <a:solidFill>
                <a:srgbClr val="FFFF00"/>
              </a:solidFill>
            </a:rPr>
            <a:t>Degradation of coastal ecosystems</a:t>
          </a:r>
        </a:p>
        <a:p>
          <a:pPr lvl="0" algn="ctr" defTabSz="444500">
            <a:lnSpc>
              <a:spcPct val="90000"/>
            </a:lnSpc>
            <a:spcBef>
              <a:spcPct val="0"/>
            </a:spcBef>
            <a:spcAft>
              <a:spcPts val="0"/>
            </a:spcAft>
          </a:pPr>
          <a:r>
            <a:rPr lang="en-AU" sz="1000" kern="1200"/>
            <a:t>Direct  use</a:t>
          </a:r>
        </a:p>
      </dsp:txBody>
      <dsp:txXfrm>
        <a:off x="3959629" y="1274610"/>
        <a:ext cx="1346520" cy="1239775"/>
      </dsp:txXfrm>
    </dsp:sp>
    <dsp:sp modelId="{A10BDE99-D6B7-4B51-BE75-75F7C6BE1885}">
      <dsp:nvSpPr>
        <dsp:cNvPr id="0" name=""/>
        <dsp:cNvSpPr/>
      </dsp:nvSpPr>
      <dsp:spPr>
        <a:xfrm>
          <a:off x="952409" y="119563"/>
          <a:ext cx="3849010" cy="3849010"/>
        </a:xfrm>
        <a:custGeom>
          <a:avLst/>
          <a:gdLst/>
          <a:ahLst/>
          <a:cxnLst/>
          <a:rect l="0" t="0" r="0" b="0"/>
          <a:pathLst>
            <a:path>
              <a:moveTo>
                <a:pt x="3770341" y="2469122"/>
              </a:moveTo>
              <a:arcTo wR="1924505" hR="1924505" stAng="986328" swAng="1327736"/>
            </a:path>
          </a:pathLst>
        </a:custGeom>
        <a:noFill/>
        <a:ln w="9525" cap="flat" cmpd="sng" algn="ctr">
          <a:solidFill>
            <a:scrgbClr r="0" g="0" b="0">
              <a:shade val="95000"/>
              <a:satMod val="105000"/>
            </a:scrgbClr>
          </a:solidFill>
          <a:prstDash val="solid"/>
          <a:headEnd type="none" w="med" len="med"/>
          <a:tailEnd type="triangle" w="med" len="med"/>
        </a:ln>
        <a:effectLst/>
      </dsp:spPr>
      <dsp:style>
        <a:lnRef idx="1">
          <a:scrgbClr r="0" g="0" b="0"/>
        </a:lnRef>
        <a:fillRef idx="0">
          <a:scrgbClr r="0" g="0" b="0"/>
        </a:fillRef>
        <a:effectRef idx="0">
          <a:scrgbClr r="0" g="0" b="0"/>
        </a:effectRef>
        <a:fontRef idx="minor"/>
      </dsp:style>
    </dsp:sp>
    <dsp:sp modelId="{5373B97C-1964-491D-9E5F-1DD6F77E1A9D}">
      <dsp:nvSpPr>
        <dsp:cNvPr id="0" name=""/>
        <dsp:cNvSpPr/>
      </dsp:nvSpPr>
      <dsp:spPr>
        <a:xfrm>
          <a:off x="3164863" y="3249762"/>
          <a:ext cx="1480658" cy="119273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STATE/CONDITION &amp; TREND</a:t>
          </a:r>
        </a:p>
        <a:p>
          <a:pPr lvl="0" algn="ctr" defTabSz="444500">
            <a:lnSpc>
              <a:spcPct val="90000"/>
            </a:lnSpc>
            <a:spcBef>
              <a:spcPct val="0"/>
            </a:spcBef>
            <a:spcAft>
              <a:spcPts val="0"/>
            </a:spcAft>
          </a:pPr>
          <a:r>
            <a:rPr lang="en-AU" sz="1000" kern="1200"/>
            <a:t>Environmental values </a:t>
          </a:r>
          <a:r>
            <a:rPr lang="en-AU" sz="1000" kern="1200">
              <a:solidFill>
                <a:srgbClr val="FFFF00"/>
              </a:solidFill>
            </a:rPr>
            <a:t>incl water quality, </a:t>
          </a:r>
          <a:r>
            <a:rPr lang="en-AU" sz="1000" kern="1200">
              <a:solidFill>
                <a:schemeClr val="bg1"/>
              </a:solidFill>
            </a:rPr>
            <a:t>h</a:t>
          </a:r>
          <a:r>
            <a:rPr lang="en-AU" sz="1000" kern="1200"/>
            <a:t>abitats, species &amp; ecological processes </a:t>
          </a:r>
        </a:p>
        <a:p>
          <a:pPr lvl="0" algn="ctr" defTabSz="444500">
            <a:lnSpc>
              <a:spcPct val="90000"/>
            </a:lnSpc>
            <a:spcBef>
              <a:spcPct val="0"/>
            </a:spcBef>
            <a:spcAft>
              <a:spcPts val="0"/>
            </a:spcAft>
          </a:pPr>
          <a:r>
            <a:rPr lang="en-AU" sz="1000" kern="1200"/>
            <a:t>Heritage values</a:t>
          </a:r>
        </a:p>
      </dsp:txBody>
      <dsp:txXfrm>
        <a:off x="3223088" y="3307987"/>
        <a:ext cx="1364208" cy="1076286"/>
      </dsp:txXfrm>
    </dsp:sp>
    <dsp:sp modelId="{7C739E9A-C2B3-44FB-A3B3-D4BE19697EC5}">
      <dsp:nvSpPr>
        <dsp:cNvPr id="0" name=""/>
        <dsp:cNvSpPr/>
      </dsp:nvSpPr>
      <dsp:spPr>
        <a:xfrm>
          <a:off x="893733" y="382151"/>
          <a:ext cx="3849010" cy="3849010"/>
        </a:xfrm>
        <a:custGeom>
          <a:avLst/>
          <a:gdLst/>
          <a:ahLst/>
          <a:cxnLst/>
          <a:rect l="0" t="0" r="0" b="0"/>
          <a:pathLst>
            <a:path>
              <a:moveTo>
                <a:pt x="2264093" y="3818812"/>
              </a:moveTo>
              <a:arcTo wR="1924505" hR="1924505" stAng="4790199" swAng="1259237"/>
            </a:path>
          </a:pathLst>
        </a:custGeom>
        <a:noFill/>
        <a:ln w="9525" cap="flat" cmpd="sng" algn="ctr">
          <a:solidFill>
            <a:scrgbClr r="0" g="0" b="0">
              <a:shade val="95000"/>
              <a:satMod val="105000"/>
            </a:scrgbClr>
          </a:solidFill>
          <a:prstDash val="solid"/>
          <a:headEnd type="none" w="med" len="med"/>
          <a:tailEnd type="triangle" w="med" len="med"/>
        </a:ln>
        <a:effectLst/>
      </dsp:spPr>
      <dsp:style>
        <a:lnRef idx="1">
          <a:scrgbClr r="0" g="0" b="0"/>
        </a:lnRef>
        <a:fillRef idx="0">
          <a:scrgbClr r="0" g="0" b="0"/>
        </a:fillRef>
        <a:effectRef idx="0">
          <a:scrgbClr r="0" g="0" b="0"/>
        </a:effectRef>
        <a:fontRef idx="minor"/>
      </dsp:style>
    </dsp:sp>
    <dsp:sp modelId="{29CDC468-4EBC-4F8B-8519-A258012955D8}">
      <dsp:nvSpPr>
        <dsp:cNvPr id="0" name=""/>
        <dsp:cNvSpPr/>
      </dsp:nvSpPr>
      <dsp:spPr>
        <a:xfrm>
          <a:off x="969153" y="3246759"/>
          <a:ext cx="1480658" cy="119875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ts val="0"/>
            </a:spcAft>
          </a:pPr>
          <a:r>
            <a:rPr lang="en-AU" sz="1000" b="1" kern="1200"/>
            <a:t>COMMUNITY BENEFITS</a:t>
          </a:r>
        </a:p>
        <a:p>
          <a:pPr lvl="0" algn="ctr" defTabSz="444500">
            <a:lnSpc>
              <a:spcPct val="100000"/>
            </a:lnSpc>
            <a:spcBef>
              <a:spcPct val="0"/>
            </a:spcBef>
            <a:spcAft>
              <a:spcPts val="0"/>
            </a:spcAft>
          </a:pPr>
          <a:r>
            <a:rPr lang="en-AU" sz="1000" b="1" kern="1200"/>
            <a:t>Ecosystem services:</a:t>
          </a:r>
        </a:p>
        <a:p>
          <a:pPr lvl="0" algn="ctr" defTabSz="444500">
            <a:lnSpc>
              <a:spcPct val="100000"/>
            </a:lnSpc>
            <a:spcBef>
              <a:spcPct val="0"/>
            </a:spcBef>
            <a:spcAft>
              <a:spcPts val="0"/>
            </a:spcAft>
          </a:pPr>
          <a:r>
            <a:rPr lang="en-AU" sz="1000" b="0" kern="1200"/>
            <a:t>provisioning, </a:t>
          </a:r>
        </a:p>
        <a:p>
          <a:pPr lvl="0" algn="ctr" defTabSz="444500">
            <a:lnSpc>
              <a:spcPct val="100000"/>
            </a:lnSpc>
            <a:spcBef>
              <a:spcPct val="0"/>
            </a:spcBef>
            <a:spcAft>
              <a:spcPts val="0"/>
            </a:spcAft>
          </a:pPr>
          <a:r>
            <a:rPr lang="en-AU" sz="1000" b="0" kern="1200"/>
            <a:t>regulating,</a:t>
          </a:r>
        </a:p>
        <a:p>
          <a:pPr lvl="0" algn="ctr" defTabSz="444500">
            <a:lnSpc>
              <a:spcPct val="100000"/>
            </a:lnSpc>
            <a:spcBef>
              <a:spcPct val="0"/>
            </a:spcBef>
            <a:spcAft>
              <a:spcPts val="0"/>
            </a:spcAft>
          </a:pPr>
          <a:r>
            <a:rPr lang="en-AU" sz="1000" b="0" kern="1200"/>
            <a:t>cultural,</a:t>
          </a:r>
        </a:p>
        <a:p>
          <a:pPr lvl="0" algn="ctr" defTabSz="444500">
            <a:lnSpc>
              <a:spcPct val="100000"/>
            </a:lnSpc>
            <a:spcBef>
              <a:spcPct val="0"/>
            </a:spcBef>
            <a:spcAft>
              <a:spcPts val="0"/>
            </a:spcAft>
          </a:pPr>
          <a:r>
            <a:rPr lang="en-AU" sz="1000" b="0" kern="1200"/>
            <a:t>supporting</a:t>
          </a:r>
          <a:endParaRPr lang="en-AU" sz="1000" b="1" kern="1200"/>
        </a:p>
      </dsp:txBody>
      <dsp:txXfrm>
        <a:off x="1027671" y="3305277"/>
        <a:ext cx="1363622" cy="1081715"/>
      </dsp:txXfrm>
    </dsp:sp>
    <dsp:sp modelId="{4C63CF13-70E5-4322-88CC-DCE46D536B23}">
      <dsp:nvSpPr>
        <dsp:cNvPr id="0" name=""/>
        <dsp:cNvSpPr/>
      </dsp:nvSpPr>
      <dsp:spPr>
        <a:xfrm>
          <a:off x="799361" y="104753"/>
          <a:ext cx="3849010" cy="3849010"/>
        </a:xfrm>
        <a:custGeom>
          <a:avLst/>
          <a:gdLst/>
          <a:ahLst/>
          <a:cxnLst/>
          <a:rect l="0" t="0" r="0" b="0"/>
          <a:pathLst>
            <a:path>
              <a:moveTo>
                <a:pt x="429312" y="3136164"/>
              </a:moveTo>
              <a:arcTo wR="1924505" hR="1924505" stAng="8458784" swAng="1327309"/>
            </a:path>
          </a:pathLst>
        </a:custGeom>
        <a:noFill/>
        <a:ln w="9525" cap="flat" cmpd="sng" algn="ctr">
          <a:solidFill>
            <a:scrgbClr r="0" g="0" b="0">
              <a:shade val="95000"/>
              <a:satMod val="105000"/>
            </a:scrgbClr>
          </a:solidFill>
          <a:prstDash val="solid"/>
          <a:headEnd type="none" w="med" len="med"/>
          <a:tailEnd type="triangle" w="med" len="med"/>
        </a:ln>
        <a:effectLst/>
      </dsp:spPr>
      <dsp:style>
        <a:lnRef idx="1">
          <a:scrgbClr r="0" g="0" b="0"/>
        </a:lnRef>
        <a:fillRef idx="0">
          <a:scrgbClr r="0" g="0" b="0"/>
        </a:fillRef>
        <a:effectRef idx="0">
          <a:scrgbClr r="0" g="0" b="0"/>
        </a:effectRef>
        <a:fontRef idx="minor"/>
      </dsp:style>
    </dsp:sp>
    <dsp:sp modelId="{317E6803-C980-41B5-BE06-61659E038B48}">
      <dsp:nvSpPr>
        <dsp:cNvPr id="0" name=""/>
        <dsp:cNvSpPr/>
      </dsp:nvSpPr>
      <dsp:spPr>
        <a:xfrm>
          <a:off x="231934" y="1207541"/>
          <a:ext cx="1480658" cy="137391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RESPONSES </a:t>
          </a:r>
        </a:p>
        <a:p>
          <a:pPr lvl="0" algn="ctr" defTabSz="444500">
            <a:lnSpc>
              <a:spcPct val="90000"/>
            </a:lnSpc>
            <a:spcBef>
              <a:spcPct val="0"/>
            </a:spcBef>
            <a:spcAft>
              <a:spcPts val="0"/>
            </a:spcAft>
          </a:pPr>
          <a:r>
            <a:rPr lang="en-AU" sz="1000" b="1" kern="1200"/>
            <a:t>Management a</a:t>
          </a:r>
          <a:r>
            <a:rPr lang="en-AU" sz="1000" kern="1200"/>
            <a:t>ctions under e.g. </a:t>
          </a:r>
        </a:p>
        <a:p>
          <a:pPr lvl="0" algn="ctr" defTabSz="444500">
            <a:lnSpc>
              <a:spcPct val="90000"/>
            </a:lnSpc>
            <a:spcBef>
              <a:spcPct val="0"/>
            </a:spcBef>
            <a:spcAft>
              <a:spcPts val="0"/>
            </a:spcAft>
          </a:pPr>
          <a:r>
            <a:rPr lang="en-AU" sz="1000" kern="1200">
              <a:solidFill>
                <a:srgbClr val="FFFF00"/>
              </a:solidFill>
            </a:rPr>
            <a:t>Reef 2050 WQIP </a:t>
          </a:r>
          <a:r>
            <a:rPr lang="en-AU" sz="1000" kern="1200"/>
            <a:t>and Reef 2050 Long Term Sustainability Plan</a:t>
          </a:r>
        </a:p>
        <a:p>
          <a:pPr lvl="0" algn="ctr" defTabSz="444500">
            <a:lnSpc>
              <a:spcPct val="90000"/>
            </a:lnSpc>
            <a:spcBef>
              <a:spcPct val="0"/>
            </a:spcBef>
            <a:spcAft>
              <a:spcPts val="0"/>
            </a:spcAft>
          </a:pPr>
          <a:endParaRPr lang="en-AU" sz="1000" kern="1200"/>
        </a:p>
        <a:p>
          <a:pPr lvl="0" algn="ctr" defTabSz="444500">
            <a:lnSpc>
              <a:spcPct val="90000"/>
            </a:lnSpc>
            <a:spcBef>
              <a:spcPct val="0"/>
            </a:spcBef>
            <a:spcAft>
              <a:spcPts val="0"/>
            </a:spcAft>
          </a:pPr>
          <a:endParaRPr lang="en-AU" sz="1000" kern="1200"/>
        </a:p>
      </dsp:txBody>
      <dsp:txXfrm>
        <a:off x="299003" y="1274610"/>
        <a:ext cx="1346520" cy="1239775"/>
      </dsp:txXfrm>
    </dsp:sp>
    <dsp:sp modelId="{06CF278F-0012-4B15-B0B3-89F1E3B64D07}">
      <dsp:nvSpPr>
        <dsp:cNvPr id="0" name=""/>
        <dsp:cNvSpPr/>
      </dsp:nvSpPr>
      <dsp:spPr>
        <a:xfrm>
          <a:off x="531073" y="870038"/>
          <a:ext cx="3849010" cy="3849010"/>
        </a:xfrm>
        <a:custGeom>
          <a:avLst/>
          <a:gdLst/>
          <a:ahLst/>
          <a:cxnLst/>
          <a:rect l="0" t="0" r="0" b="0"/>
          <a:pathLst>
            <a:path>
              <a:moveTo>
                <a:pt x="842105" y="333238"/>
              </a:moveTo>
              <a:arcTo wR="1924505" hR="1924505" stAng="14146559" swAng="1332342"/>
            </a:path>
          </a:pathLst>
        </a:custGeom>
        <a:noFill/>
        <a:ln w="9525" cap="flat" cmpd="sng" algn="ctr">
          <a:solidFill>
            <a:scrgbClr r="0" g="0" b="0">
              <a:shade val="95000"/>
              <a:satMod val="105000"/>
            </a:scrgbClr>
          </a:solidFill>
          <a:prstDash val="solid"/>
          <a:headEnd type="none" w="med" len="med"/>
          <a:tailEnd type="triangle" w="med" len="med"/>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ccc4631-9afc-4718-b120-5e2e37a03cc7">PROJ-1577287649-490</_dlc_DocId>
    <_dlc_DocIdUrl xmlns="8ccc4631-9afc-4718-b120-5e2e37a03cc7">
      <Url>http://thedock.gbrmpa.gov.au/sites/Projects/P000056/_layouts/DocIdRedir.aspx?ID=PROJ-1577287649-490</Url>
      <Description>PROJ-1577287649-490</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4206DAF773D642AB4BBAE5FA28F7D9" ma:contentTypeVersion="4" ma:contentTypeDescription="Create a new document." ma:contentTypeScope="" ma:versionID="c96aeaa8e016e0aeabbef54a9858cf8a">
  <xsd:schema xmlns:xsd="http://www.w3.org/2001/XMLSchema" xmlns:xs="http://www.w3.org/2001/XMLSchema" xmlns:p="http://schemas.microsoft.com/office/2006/metadata/properties" xmlns:ns2="8ccc4631-9afc-4718-b120-5e2e37a03cc7" targetNamespace="http://schemas.microsoft.com/office/2006/metadata/properties" ma:root="true" ma:fieldsID="617c8364a985a70160f3d4ab75627f66"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5A52CC-60B5-406A-A8BE-13DB3FEC36F4}">
  <ds:schemaRefs>
    <ds:schemaRef ds:uri="http://schemas.microsoft.com/office/2006/documentManagement/types"/>
    <ds:schemaRef ds:uri="http://purl.org/dc/dcmitype/"/>
    <ds:schemaRef ds:uri="http://schemas.microsoft.com/office/infopath/2007/PartnerControls"/>
    <ds:schemaRef ds:uri="http://www.w3.org/XML/1998/namespace"/>
    <ds:schemaRef ds:uri="8ccc4631-9afc-4718-b120-5e2e37a03cc7"/>
    <ds:schemaRef ds:uri="http://purl.org/dc/elements/1.1/"/>
    <ds:schemaRef ds:uri="http://schemas.openxmlformats.org/package/2006/metadata/core-properti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8BE51C1B-9D3F-46AA-AC7F-C30B3FE443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C6A9397-6D1D-4B00-A1B1-385882A9FE21}">
  <ds:schemaRefs>
    <ds:schemaRef ds:uri="http://schemas.microsoft.com/sharepoint/v3/contenttype/forms"/>
  </ds:schemaRefs>
</ds:datastoreItem>
</file>

<file path=customXml/itemProps4.xml><?xml version="1.0" encoding="utf-8"?>
<ds:datastoreItem xmlns:ds="http://schemas.openxmlformats.org/officeDocument/2006/customXml" ds:itemID="{0269FDC5-2DA8-4B30-A1F1-5E92BF8DD254}">
  <ds:schemaRefs>
    <ds:schemaRef ds:uri="http://schemas.microsoft.com/sharepoint/events"/>
  </ds:schemaRefs>
</ds:datastoreItem>
</file>

<file path=customXml/itemProps5.xml><?xml version="1.0" encoding="utf-8"?>
<ds:datastoreItem xmlns:ds="http://schemas.openxmlformats.org/officeDocument/2006/customXml" ds:itemID="{02B23BC1-C019-40A3-B599-74536D7DFB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118</Pages>
  <Words>43626</Words>
  <Characters>248669</Characters>
  <Application>Microsoft Office Word</Application>
  <DocSecurity>0</DocSecurity>
  <Lines>2072</Lines>
  <Paragraphs>583</Paragraphs>
  <ScaleCrop>false</ScaleCrop>
  <HeadingPairs>
    <vt:vector size="2" baseType="variant">
      <vt:variant>
        <vt:lpstr>Title</vt:lpstr>
      </vt:variant>
      <vt:variant>
        <vt:i4>1</vt:i4>
      </vt:variant>
    </vt:vector>
  </HeadingPairs>
  <TitlesOfParts>
    <vt:vector size="1" baseType="lpstr">
      <vt:lpstr>Pesticides-report-new-msPAF</vt:lpstr>
    </vt:vector>
  </TitlesOfParts>
  <LinksUpToDate>false</LinksUpToDate>
  <CharactersWithSpaces>291712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Pesticides-report-new-msPAF</dc:title>
  <dc:subject/>
  <dc:creator/>
  <cp:keywords/>
  <dc:description/>
  <cp:lastModifiedBy/>
  <cp:revision>1</cp:revision>
  <dcterms:created xsi:type="dcterms:W3CDTF">2019-08-06T07:00:00Z</dcterms:created>
  <dcterms:modified xsi:type="dcterms:W3CDTF">2019-08-19T04:40:00Z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0x010100514206DAF773D642AB4BBAE5FA28F7D9</vt:lpwstr>
  </property>
  <property fmtid="{D5CDD505-2E9C-101B-9397-08002B2CF9AE}" pid="3" name="_dlc_DocIdItemGuid">
    <vt:lpwstr>85ba4d86-1b47-4345-85e2-5f2d1ab824b6</vt:lpwstr>
  </property>
  <property fmtid="{D5CDD505-2E9C-101B-9397-08002B2CF9AE}" pid="4" name="ProjectPhase">
    <vt:lpwstr>1;#Implement|62d382d8-9615-4fb9-9171-542b0baa426a</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{4b37b1f1-1864-45c7-8f8d-9f91400467f1}</vt:lpwstr>
  </property>
  <property fmtid="{D5CDD505-2E9C-101B-9397-08002B2CF9AE}" pid="8" name="RecordPoint_ActiveItemUniqueId">
    <vt:lpwstr>{c879b75c-31b0-4cf8-9a37-4449d6968eac}</vt:lpwstr>
  </property>
  <property fmtid="{D5CDD505-2E9C-101B-9397-08002B2CF9AE}" pid="9" name="RecordPoint_ActiveItemWebId">
    <vt:lpwstr>{e7821751-c451-45dc-b45e-82cfe574dc6e}</vt:lpwstr>
  </property>
  <property fmtid="{D5CDD505-2E9C-101B-9397-08002B2CF9AE}" pid="10" name="RecordPoint_RecordNumberSubmitted">
    <vt:lpwstr/>
  </property>
  <property fmtid="{D5CDD505-2E9C-101B-9397-08002B2CF9AE}" pid="11" name="RecordPoint_SubmissionCompleted">
    <vt:lpwstr/>
  </property>
  <property fmtid="{D5CDD505-2E9C-101B-9397-08002B2CF9AE}" pid="12" name="DocumentSetDescription">
    <vt:lpwstr>Documents relating to the preparation and review of draft MMP Annual Technical Reports up to the stage when they are finalized.</vt:lpwstr>
  </property>
  <property fmtid="{D5CDD505-2E9C-101B-9397-08002B2CF9AE}" pid="13" name="RecordPoint_SubmissionDate">
    <vt:lpwstr/>
  </property>
  <property fmtid="{D5CDD505-2E9C-101B-9397-08002B2CF9AE}" pid="14" name="RecordPoint_ActiveItemMoved">
    <vt:lpwstr/>
  </property>
  <property fmtid="{D5CDD505-2E9C-101B-9397-08002B2CF9AE}" pid="15" name="RecordPoint_RecordFormat">
    <vt:lpwstr/>
  </property>
  <property fmtid="{D5CDD505-2E9C-101B-9397-08002B2CF9AE}" pid="16" name="a2118650a77a4a97b805ceb1a6b3e3dc">
    <vt:lpwstr>Implement|62d382d8-9615-4fb9-9171-542b0baa426a</vt:lpwstr>
  </property>
  <property fmtid="{D5CDD505-2E9C-101B-9397-08002B2CF9AE}" pid="17" name="TaxCatchAll">
    <vt:lpwstr>1;#Implement|62d382d8-9615-4fb9-9171-542b0baa426a</vt:lpwstr>
  </property>
  <property fmtid="{D5CDD505-2E9C-101B-9397-08002B2CF9AE}" pid="18" name="TitusGUID">
    <vt:lpwstr>5877cf3f-0945-4b3c-b65e-32a46b9d147a</vt:lpwstr>
  </property>
  <property fmtid="{D5CDD505-2E9C-101B-9397-08002B2CF9AE}" pid="19" name="SEC">
    <vt:lpwstr>UNCLASSIFIED</vt:lpwstr>
  </property>
  <property fmtid="{D5CDD505-2E9C-101B-9397-08002B2CF9AE}" pid="20" name="DLM">
    <vt:lpwstr>No DLM</vt:lpwstr>
  </property>
</Properties>
</file>